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B1F6B6">
      <w:pPr>
        <w:wordWrap w:val="0"/>
        <w:spacing w:line="240" w:lineRule="auto"/>
        <w:ind w:firstLine="0" w:firstLineChars="0"/>
        <w:jc w:val="center"/>
        <w:rPr>
          <w:rFonts w:ascii="仿宋_GB2312" w:hAnsi="仿宋_GB2312" w:eastAsia="仿宋_GB2312" w:cs="仿宋_GB2312"/>
          <w:sz w:val="36"/>
          <w:szCs w:val="36"/>
        </w:rPr>
      </w:pPr>
    </w:p>
    <w:p w14:paraId="2BAC4881">
      <w:pPr>
        <w:wordWrap w:val="0"/>
        <w:spacing w:line="240" w:lineRule="auto"/>
        <w:ind w:firstLine="0" w:firstLineChars="0"/>
        <w:jc w:val="center"/>
        <w:rPr>
          <w:rFonts w:ascii="仿宋_GB2312" w:hAnsi="仿宋_GB2312" w:eastAsia="仿宋_GB2312" w:cs="仿宋_GB2312"/>
          <w:sz w:val="36"/>
          <w:szCs w:val="36"/>
        </w:rPr>
      </w:pPr>
    </w:p>
    <w:p w14:paraId="1746F3B2">
      <w:pPr>
        <w:wordWrap w:val="0"/>
        <w:spacing w:line="240" w:lineRule="auto"/>
        <w:ind w:firstLine="0" w:firstLineChars="0"/>
        <w:jc w:val="center"/>
        <w:rPr>
          <w:rFonts w:ascii="仿宋_GB2312" w:hAnsi="仿宋_GB2312" w:eastAsia="仿宋_GB2312" w:cs="仿宋_GB2312"/>
          <w:sz w:val="36"/>
          <w:szCs w:val="36"/>
        </w:rPr>
      </w:pPr>
    </w:p>
    <w:p w14:paraId="2DA11005">
      <w:pPr>
        <w:wordWrap w:val="0"/>
        <w:spacing w:line="240" w:lineRule="auto"/>
        <w:ind w:firstLine="0" w:firstLineChars="0"/>
        <w:jc w:val="center"/>
        <w:rPr>
          <w:rFonts w:ascii="仿宋_GB2312" w:hAnsi="仿宋_GB2312" w:eastAsia="仿宋_GB2312" w:cs="仿宋_GB2312"/>
          <w:sz w:val="36"/>
          <w:szCs w:val="36"/>
        </w:rPr>
      </w:pPr>
    </w:p>
    <w:p w14:paraId="414D0872">
      <w:pPr>
        <w:wordWrap w:val="0"/>
        <w:adjustRightInd w:val="0"/>
        <w:snapToGrid w:val="0"/>
        <w:spacing w:line="240" w:lineRule="auto"/>
        <w:ind w:firstLine="0" w:firstLineChars="0"/>
        <w:jc w:val="center"/>
        <w:rPr>
          <w:rFonts w:ascii="方正小标宋_GBK" w:eastAsia="方正小标宋_GBK"/>
          <w:bCs/>
          <w:sz w:val="72"/>
          <w:szCs w:val="72"/>
        </w:rPr>
      </w:pPr>
      <w:r>
        <w:rPr>
          <w:rFonts w:hint="eastAsia" w:ascii="方正小标宋_GBK" w:eastAsia="方正小标宋_GBK"/>
          <w:bCs/>
          <w:sz w:val="72"/>
          <w:szCs w:val="72"/>
        </w:rPr>
        <w:t>建设项目环境影响报告表</w:t>
      </w:r>
    </w:p>
    <w:p w14:paraId="30976C10">
      <w:pPr>
        <w:wordWrap w:val="0"/>
        <w:adjustRightInd w:val="0"/>
        <w:snapToGrid w:val="0"/>
        <w:spacing w:before="192" w:beforeLines="80" w:line="240" w:lineRule="auto"/>
        <w:ind w:firstLine="0" w:firstLineChars="0"/>
        <w:jc w:val="center"/>
        <w:rPr>
          <w:rFonts w:eastAsia="楷体_GB2312"/>
          <w:bCs/>
          <w:color w:val="000000" w:themeColor="text1"/>
          <w:sz w:val="48"/>
          <w:szCs w:val="48"/>
          <w14:textFill>
            <w14:solidFill>
              <w14:schemeClr w14:val="tx1"/>
            </w14:solidFill>
          </w14:textFill>
        </w:rPr>
      </w:pPr>
      <w:r>
        <w:rPr>
          <w:rFonts w:hint="eastAsia" w:eastAsia="楷体_GB2312"/>
          <w:bCs/>
          <w:color w:val="000000" w:themeColor="text1"/>
          <w:sz w:val="48"/>
          <w:szCs w:val="48"/>
          <w14:textFill>
            <w14:solidFill>
              <w14:schemeClr w14:val="tx1"/>
            </w14:solidFill>
          </w14:textFill>
        </w:rPr>
        <w:t>（污染影响类）</w:t>
      </w:r>
    </w:p>
    <w:p w14:paraId="29F47837">
      <w:pPr>
        <w:wordWrap w:val="0"/>
        <w:adjustRightInd w:val="0"/>
        <w:snapToGrid w:val="0"/>
        <w:spacing w:line="240" w:lineRule="auto"/>
        <w:ind w:firstLine="0" w:firstLineChars="0"/>
        <w:jc w:val="center"/>
        <w:rPr>
          <w:rFonts w:ascii="华文仿宋" w:hAnsi="华文仿宋" w:eastAsia="华文仿宋" w:cs="华文仿宋"/>
          <w:color w:val="000000"/>
          <w:kern w:val="44"/>
          <w:sz w:val="44"/>
          <w:szCs w:val="44"/>
        </w:rPr>
      </w:pPr>
    </w:p>
    <w:p w14:paraId="4EB0C381">
      <w:pPr>
        <w:wordWrap w:val="0"/>
        <w:spacing w:line="240" w:lineRule="auto"/>
        <w:ind w:firstLine="0" w:firstLineChars="0"/>
        <w:jc w:val="center"/>
        <w:rPr>
          <w:rFonts w:eastAsia="仿宋"/>
          <w:sz w:val="52"/>
          <w:szCs w:val="52"/>
        </w:rPr>
      </w:pPr>
    </w:p>
    <w:p w14:paraId="191F5C83">
      <w:pPr>
        <w:wordWrap w:val="0"/>
        <w:spacing w:line="240" w:lineRule="auto"/>
        <w:ind w:firstLine="0" w:firstLineChars="0"/>
        <w:jc w:val="center"/>
        <w:rPr>
          <w:rFonts w:eastAsia="仿宋"/>
          <w:sz w:val="44"/>
          <w:szCs w:val="44"/>
        </w:rPr>
      </w:pPr>
    </w:p>
    <w:p w14:paraId="2702C58E">
      <w:pPr>
        <w:wordWrap w:val="0"/>
        <w:spacing w:line="240" w:lineRule="auto"/>
        <w:ind w:firstLine="0" w:firstLineChars="0"/>
        <w:jc w:val="center"/>
        <w:rPr>
          <w:rFonts w:eastAsia="仿宋"/>
          <w:sz w:val="44"/>
          <w:szCs w:val="44"/>
        </w:rPr>
      </w:pPr>
    </w:p>
    <w:p w14:paraId="3C6EAFA9">
      <w:pPr>
        <w:wordWrap w:val="0"/>
        <w:spacing w:line="240" w:lineRule="auto"/>
        <w:ind w:firstLine="0" w:firstLineChars="0"/>
        <w:jc w:val="center"/>
        <w:rPr>
          <w:rFonts w:eastAsia="仿宋"/>
          <w:sz w:val="44"/>
          <w:szCs w:val="44"/>
        </w:rPr>
      </w:pPr>
    </w:p>
    <w:p w14:paraId="32250D83">
      <w:pPr>
        <w:wordWrap w:val="0"/>
        <w:spacing w:line="240" w:lineRule="auto"/>
        <w:ind w:firstLine="0" w:firstLineChars="0"/>
        <w:jc w:val="center"/>
        <w:rPr>
          <w:rFonts w:eastAsia="仿宋"/>
          <w:sz w:val="44"/>
          <w:szCs w:val="44"/>
        </w:rPr>
      </w:pPr>
    </w:p>
    <w:p w14:paraId="405AC544">
      <w:pPr>
        <w:wordWrap w:val="0"/>
        <w:spacing w:line="288" w:lineRule="auto"/>
        <w:ind w:left="1620" w:hanging="1620" w:hangingChars="450"/>
        <w:jc w:val="left"/>
        <w:rPr>
          <w:rFonts w:eastAsia="仿宋_GB2312"/>
          <w:sz w:val="36"/>
          <w:szCs w:val="36"/>
        </w:rPr>
      </w:pPr>
      <w:bookmarkStart w:id="0" w:name="_Hlk57884087"/>
      <w:r>
        <w:rPr>
          <w:rFonts w:eastAsia="仿宋_GB2312"/>
          <w:sz w:val="36"/>
          <w:szCs w:val="36"/>
        </w:rPr>
        <w:t>项目名称：</w:t>
      </w:r>
      <w:r>
        <w:rPr>
          <w:rFonts w:eastAsia="仿宋_GB2312"/>
          <w:sz w:val="36"/>
          <w:szCs w:val="36"/>
          <w:u w:val="single"/>
        </w:rPr>
        <w:t xml:space="preserve">    </w:t>
      </w:r>
      <w:r>
        <w:rPr>
          <w:rFonts w:hint="eastAsia" w:eastAsia="仿宋_GB2312"/>
          <w:sz w:val="36"/>
          <w:szCs w:val="36"/>
          <w:u w:val="single"/>
          <w:lang w:val="en-US" w:eastAsia="zh-CN"/>
        </w:rPr>
        <w:t xml:space="preserve">    </w:t>
      </w:r>
      <w:r>
        <w:rPr>
          <w:rFonts w:eastAsia="仿宋_GB2312"/>
          <w:sz w:val="36"/>
          <w:szCs w:val="36"/>
          <w:u w:val="single"/>
        </w:rPr>
        <w:t xml:space="preserve"> </w:t>
      </w:r>
      <w:r>
        <w:rPr>
          <w:rFonts w:hint="eastAsia" w:eastAsia="仿宋_GB2312"/>
          <w:sz w:val="36"/>
          <w:szCs w:val="36"/>
          <w:u w:val="single"/>
          <w:lang w:val="en-US" w:eastAsia="zh-CN"/>
        </w:rPr>
        <w:t xml:space="preserve">  </w:t>
      </w:r>
      <w:r>
        <w:rPr>
          <w:rFonts w:hint="eastAsia" w:eastAsia="仿宋_GB2312"/>
          <w:sz w:val="36"/>
          <w:szCs w:val="36"/>
          <w:u w:val="single"/>
        </w:rPr>
        <w:t>九江市城门加油站建设项目</w:t>
      </w:r>
      <w:r>
        <w:rPr>
          <w:rFonts w:hint="eastAsia" w:eastAsia="仿宋_GB2312"/>
          <w:sz w:val="36"/>
          <w:szCs w:val="36"/>
          <w:u w:val="single"/>
          <w:lang w:val="en-US" w:eastAsia="zh-CN"/>
        </w:rPr>
        <w:t xml:space="preserve"> </w:t>
      </w:r>
      <w:r>
        <w:rPr>
          <w:rFonts w:eastAsia="仿宋_GB2312"/>
          <w:sz w:val="36"/>
          <w:szCs w:val="36"/>
          <w:u w:val="single"/>
        </w:rPr>
        <w:t xml:space="preserve">  </w:t>
      </w:r>
      <w:r>
        <w:rPr>
          <w:rFonts w:hint="eastAsia" w:eastAsia="仿宋_GB2312"/>
          <w:sz w:val="36"/>
          <w:szCs w:val="36"/>
          <w:u w:val="single"/>
          <w:lang w:val="en-US" w:eastAsia="zh-CN"/>
        </w:rPr>
        <w:t xml:space="preserve">      </w:t>
      </w:r>
      <w:r>
        <w:rPr>
          <w:rFonts w:eastAsia="仿宋_GB2312"/>
          <w:sz w:val="36"/>
          <w:szCs w:val="36"/>
          <w:u w:val="single"/>
        </w:rPr>
        <w:t xml:space="preserve"> </w:t>
      </w:r>
    </w:p>
    <w:p w14:paraId="35FCB6FA">
      <w:pPr>
        <w:wordWrap w:val="0"/>
        <w:spacing w:line="288" w:lineRule="auto"/>
        <w:ind w:left="2880" w:hanging="2880" w:hangingChars="800"/>
        <w:jc w:val="left"/>
        <w:rPr>
          <w:rFonts w:eastAsia="仿宋_GB2312"/>
          <w:sz w:val="36"/>
          <w:szCs w:val="36"/>
        </w:rPr>
      </w:pPr>
      <w:r>
        <w:rPr>
          <w:rFonts w:eastAsia="仿宋_GB2312"/>
          <w:sz w:val="36"/>
          <w:szCs w:val="36"/>
        </w:rPr>
        <w:t>建设单位（盖章）：</w:t>
      </w:r>
      <w:r>
        <w:rPr>
          <w:rFonts w:eastAsia="仿宋_GB2312"/>
          <w:sz w:val="36"/>
          <w:szCs w:val="36"/>
          <w:u w:val="single"/>
        </w:rPr>
        <w:t xml:space="preserve"> </w:t>
      </w:r>
      <w:r>
        <w:rPr>
          <w:rFonts w:hint="eastAsia" w:eastAsia="仿宋_GB2312"/>
          <w:sz w:val="36"/>
          <w:szCs w:val="36"/>
          <w:u w:val="single"/>
          <w:lang w:val="en-US" w:eastAsia="zh-CN"/>
        </w:rPr>
        <w:t xml:space="preserve">    九江江汇能源有限公司</w:t>
      </w:r>
      <w:r>
        <w:rPr>
          <w:rFonts w:hint="eastAsia" w:eastAsia="仿宋_GB2312"/>
          <w:sz w:val="36"/>
          <w:szCs w:val="36"/>
          <w:u w:val="single"/>
        </w:rPr>
        <w:t xml:space="preserve">  </w:t>
      </w:r>
      <w:r>
        <w:rPr>
          <w:rFonts w:hint="eastAsia" w:eastAsia="仿宋_GB2312"/>
          <w:sz w:val="36"/>
          <w:szCs w:val="36"/>
          <w:u w:val="single"/>
          <w:lang w:val="en-US" w:eastAsia="zh-CN"/>
        </w:rPr>
        <w:t xml:space="preserve">     </w:t>
      </w:r>
      <w:r>
        <w:rPr>
          <w:rFonts w:hint="eastAsia" w:eastAsia="仿宋_GB2312"/>
          <w:sz w:val="36"/>
          <w:szCs w:val="36"/>
          <w:u w:val="single"/>
        </w:rPr>
        <w:t xml:space="preserve">     </w:t>
      </w:r>
    </w:p>
    <w:p w14:paraId="240E484D">
      <w:pPr>
        <w:wordWrap w:val="0"/>
        <w:spacing w:line="288" w:lineRule="auto"/>
        <w:ind w:firstLine="0" w:firstLineChars="0"/>
        <w:jc w:val="left"/>
        <w:rPr>
          <w:rFonts w:eastAsia="仿宋_GB2312"/>
          <w:sz w:val="36"/>
          <w:szCs w:val="36"/>
        </w:rPr>
      </w:pPr>
      <w:r>
        <w:rPr>
          <w:rFonts w:eastAsia="仿宋_GB2312"/>
          <w:sz w:val="36"/>
          <w:szCs w:val="36"/>
        </w:rPr>
        <w:t>编制日期：</w:t>
      </w:r>
      <w:r>
        <w:rPr>
          <w:rFonts w:eastAsia="仿宋_GB2312"/>
          <w:sz w:val="36"/>
          <w:szCs w:val="36"/>
          <w:u w:val="single"/>
        </w:rPr>
        <w:t xml:space="preserve">          </w:t>
      </w:r>
      <w:r>
        <w:rPr>
          <w:rFonts w:hint="eastAsia" w:eastAsia="仿宋_GB2312"/>
          <w:sz w:val="36"/>
          <w:szCs w:val="36"/>
          <w:u w:val="single"/>
          <w:lang w:val="en-US" w:eastAsia="zh-CN"/>
        </w:rPr>
        <w:t xml:space="preserve">       </w:t>
      </w:r>
      <w:r>
        <w:rPr>
          <w:rFonts w:eastAsia="仿宋_GB2312"/>
          <w:sz w:val="36"/>
          <w:szCs w:val="36"/>
          <w:u w:val="single"/>
        </w:rPr>
        <w:t>202</w:t>
      </w:r>
      <w:r>
        <w:rPr>
          <w:rFonts w:hint="eastAsia" w:eastAsia="仿宋_GB2312"/>
          <w:sz w:val="36"/>
          <w:szCs w:val="36"/>
          <w:u w:val="single"/>
          <w:lang w:val="en-US" w:eastAsia="zh-CN"/>
        </w:rPr>
        <w:t>5</w:t>
      </w:r>
      <w:r>
        <w:rPr>
          <w:rFonts w:eastAsia="仿宋_GB2312"/>
          <w:sz w:val="36"/>
          <w:szCs w:val="36"/>
          <w:u w:val="single"/>
        </w:rPr>
        <w:t>年</w:t>
      </w:r>
      <w:r>
        <w:rPr>
          <w:rFonts w:hint="eastAsia" w:eastAsia="仿宋_GB2312"/>
          <w:sz w:val="36"/>
          <w:szCs w:val="36"/>
          <w:u w:val="single"/>
          <w:lang w:val="en-US" w:eastAsia="zh-CN"/>
        </w:rPr>
        <w:t>12</w:t>
      </w:r>
      <w:r>
        <w:rPr>
          <w:rFonts w:eastAsia="仿宋_GB2312"/>
          <w:sz w:val="36"/>
          <w:szCs w:val="36"/>
          <w:u w:val="single"/>
        </w:rPr>
        <w:t xml:space="preserve">月   </w:t>
      </w:r>
      <w:r>
        <w:rPr>
          <w:rFonts w:hint="eastAsia" w:eastAsia="仿宋_GB2312"/>
          <w:sz w:val="36"/>
          <w:szCs w:val="36"/>
          <w:u w:val="single"/>
          <w:lang w:val="en-US" w:eastAsia="zh-CN"/>
        </w:rPr>
        <w:t xml:space="preserve">  </w:t>
      </w:r>
      <w:r>
        <w:rPr>
          <w:rFonts w:eastAsia="仿宋_GB2312"/>
          <w:sz w:val="36"/>
          <w:szCs w:val="36"/>
          <w:u w:val="single"/>
        </w:rPr>
        <w:t xml:space="preserve"> </w:t>
      </w:r>
      <w:r>
        <w:rPr>
          <w:rFonts w:hint="eastAsia" w:eastAsia="仿宋_GB2312"/>
          <w:sz w:val="36"/>
          <w:szCs w:val="36"/>
          <w:u w:val="single"/>
        </w:rPr>
        <w:t xml:space="preserve">    </w:t>
      </w:r>
      <w:r>
        <w:rPr>
          <w:rFonts w:eastAsia="仿宋_GB2312"/>
          <w:sz w:val="36"/>
          <w:szCs w:val="36"/>
          <w:u w:val="single"/>
        </w:rPr>
        <w:t xml:space="preserve">      </w:t>
      </w:r>
    </w:p>
    <w:bookmarkEnd w:id="0"/>
    <w:p w14:paraId="564429A5">
      <w:pPr>
        <w:wordWrap w:val="0"/>
        <w:adjustRightInd w:val="0"/>
        <w:snapToGrid w:val="0"/>
        <w:spacing w:line="288" w:lineRule="auto"/>
        <w:ind w:firstLine="0" w:firstLineChars="0"/>
        <w:jc w:val="center"/>
        <w:rPr>
          <w:rFonts w:ascii="仿宋_GB2312" w:eastAsia="仿宋_GB2312"/>
          <w:sz w:val="36"/>
          <w:szCs w:val="36"/>
          <w:u w:val="single"/>
        </w:rPr>
      </w:pPr>
    </w:p>
    <w:p w14:paraId="75289E5D">
      <w:pPr>
        <w:wordWrap w:val="0"/>
        <w:adjustRightInd w:val="0"/>
        <w:snapToGrid w:val="0"/>
        <w:spacing w:line="288" w:lineRule="auto"/>
        <w:ind w:firstLine="0" w:firstLineChars="0"/>
        <w:jc w:val="center"/>
        <w:rPr>
          <w:rFonts w:ascii="仿宋_GB2312" w:eastAsia="仿宋_GB2312"/>
          <w:sz w:val="36"/>
          <w:szCs w:val="36"/>
        </w:rPr>
      </w:pPr>
    </w:p>
    <w:p w14:paraId="3159A623">
      <w:pPr>
        <w:wordWrap w:val="0"/>
        <w:adjustRightInd w:val="0"/>
        <w:snapToGrid w:val="0"/>
        <w:spacing w:line="288" w:lineRule="auto"/>
        <w:ind w:firstLine="0" w:firstLineChars="0"/>
        <w:jc w:val="center"/>
        <w:rPr>
          <w:rFonts w:ascii="仿宋_GB2312" w:eastAsia="仿宋_GB2312"/>
          <w:sz w:val="36"/>
          <w:szCs w:val="36"/>
        </w:rPr>
      </w:pPr>
    </w:p>
    <w:p w14:paraId="4482DE86">
      <w:pPr>
        <w:wordWrap w:val="0"/>
        <w:adjustRightInd w:val="0"/>
        <w:snapToGrid w:val="0"/>
        <w:spacing w:line="288" w:lineRule="auto"/>
        <w:ind w:firstLine="0" w:firstLineChars="0"/>
        <w:jc w:val="center"/>
        <w:rPr>
          <w:rFonts w:ascii="仿宋_GB2312" w:eastAsia="仿宋_GB2312"/>
          <w:sz w:val="36"/>
          <w:szCs w:val="36"/>
        </w:rPr>
      </w:pPr>
    </w:p>
    <w:p w14:paraId="4FAC8372">
      <w:pPr>
        <w:wordWrap w:val="0"/>
        <w:spacing w:line="240" w:lineRule="auto"/>
        <w:ind w:firstLine="0" w:firstLineChars="0"/>
        <w:jc w:val="center"/>
        <w:rPr>
          <w:rFonts w:ascii="楷体" w:hAnsi="楷体" w:eastAsia="楷体"/>
          <w:sz w:val="36"/>
          <w:szCs w:val="36"/>
        </w:rPr>
      </w:pPr>
      <w:r>
        <w:rPr>
          <w:rFonts w:hint="eastAsia" w:ascii="楷体" w:hAnsi="楷体" w:eastAsia="楷体"/>
          <w:sz w:val="36"/>
          <w:szCs w:val="36"/>
        </w:rPr>
        <w:t>中华人民共和国生态环境部制</w:t>
      </w:r>
    </w:p>
    <w:p w14:paraId="03D1A5DF">
      <w:pPr>
        <w:wordWrap w:val="0"/>
        <w:spacing w:line="240" w:lineRule="auto"/>
        <w:ind w:firstLine="0" w:firstLineChars="0"/>
        <w:jc w:val="center"/>
        <w:rPr>
          <w:rFonts w:hint="eastAsia"/>
        </w:rPr>
      </w:pPr>
    </w:p>
    <w:p w14:paraId="759E7876">
      <w:pPr>
        <w:wordWrap w:val="0"/>
        <w:spacing w:line="240" w:lineRule="auto"/>
        <w:ind w:firstLine="0" w:firstLineChars="0"/>
        <w:jc w:val="center"/>
        <w:rPr>
          <w:rFonts w:hint="eastAsia"/>
        </w:rPr>
      </w:pPr>
    </w:p>
    <w:p w14:paraId="5C82E8F2">
      <w:pPr>
        <w:wordWrap w:val="0"/>
        <w:spacing w:line="240" w:lineRule="auto"/>
        <w:ind w:firstLine="0" w:firstLineChars="0"/>
        <w:jc w:val="center"/>
        <w:sectPr>
          <w:headerReference r:id="rId7" w:type="first"/>
          <w:footerReference r:id="rId10" w:type="first"/>
          <w:headerReference r:id="rId5" w:type="default"/>
          <w:footerReference r:id="rId8" w:type="default"/>
          <w:headerReference r:id="rId6" w:type="even"/>
          <w:footerReference r:id="rId9" w:type="even"/>
          <w:pgSz w:w="11906" w:h="16838"/>
          <w:pgMar w:top="1440" w:right="1080" w:bottom="1440" w:left="1080" w:header="851" w:footer="1077" w:gutter="0"/>
          <w:pgBorders>
            <w:top w:val="none" w:sz="0" w:space="0"/>
            <w:left w:val="none" w:sz="0" w:space="0"/>
            <w:bottom w:val="none" w:sz="0" w:space="0"/>
            <w:right w:val="none" w:sz="0" w:space="0"/>
          </w:pgBorders>
          <w:pgNumType w:fmt="decimal" w:start="3"/>
          <w:cols w:space="720" w:num="1"/>
          <w:docGrid w:linePitch="312" w:charSpace="0"/>
        </w:sectPr>
      </w:pPr>
    </w:p>
    <w:p w14:paraId="3F10E325">
      <w:pPr>
        <w:pStyle w:val="21"/>
        <w:sectPr>
          <w:pgSz w:w="11906" w:h="16838"/>
          <w:pgMar w:top="1440" w:right="1080" w:bottom="1440" w:left="1080" w:header="851" w:footer="1077" w:gutter="0"/>
          <w:pgBorders>
            <w:top w:val="none" w:sz="0" w:space="0"/>
            <w:left w:val="none" w:sz="0" w:space="0"/>
            <w:bottom w:val="none" w:sz="0" w:space="0"/>
            <w:right w:val="none" w:sz="0" w:space="0"/>
          </w:pgBorders>
          <w:pgNumType w:fmt="decimal" w:start="3"/>
          <w:cols w:space="720" w:num="1"/>
          <w:docGrid w:linePitch="312" w:charSpace="0"/>
        </w:sectPr>
      </w:pPr>
    </w:p>
    <w:p w14:paraId="5729F00D">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outlineLvl w:val="0"/>
        <w:rPr>
          <w:rFonts w:ascii="黑体" w:hAnsi="黑体" w:eastAsia="黑体"/>
          <w:snapToGrid w:val="0"/>
          <w:color w:val="000000" w:themeColor="text1"/>
          <w:sz w:val="30"/>
          <w:szCs w:val="30"/>
          <w14:textFill>
            <w14:solidFill>
              <w14:schemeClr w14:val="tx1"/>
            </w14:solidFill>
          </w14:textFill>
        </w:rPr>
      </w:pPr>
      <w:bookmarkStart w:id="1" w:name="_Toc6417"/>
      <w:r>
        <w:rPr>
          <w:rFonts w:hint="eastAsia" w:ascii="黑体" w:hAnsi="黑体" w:eastAsia="黑体"/>
          <w:snapToGrid w:val="0"/>
          <w:sz w:val="30"/>
          <w:szCs w:val="30"/>
        </w:rPr>
        <w:t>一、建设项目基本情况</w:t>
      </w:r>
      <w:bookmarkEnd w:id="1"/>
    </w:p>
    <w:tbl>
      <w:tblPr>
        <w:tblStyle w:val="35"/>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517"/>
        <w:gridCol w:w="2668"/>
        <w:gridCol w:w="1996"/>
        <w:gridCol w:w="3591"/>
      </w:tblGrid>
      <w:tr w14:paraId="3EA586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776" w:type="pct"/>
            <w:tcMar>
              <w:top w:w="16" w:type="dxa"/>
              <w:left w:w="16" w:type="dxa"/>
              <w:right w:w="16" w:type="dxa"/>
            </w:tcMar>
            <w:vAlign w:val="center"/>
          </w:tcPr>
          <w:p w14:paraId="029534E2">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pPr>
            <w:r>
              <w:rPr>
                <w:rFonts w:hint="eastAsia"/>
              </w:rPr>
              <w:t>建设项目名称</w:t>
            </w:r>
          </w:p>
        </w:tc>
        <w:tc>
          <w:tcPr>
            <w:tcW w:w="4223" w:type="pct"/>
            <w:gridSpan w:val="3"/>
            <w:vAlign w:val="center"/>
          </w:tcPr>
          <w:p w14:paraId="32700979">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pPr>
            <w:r>
              <w:rPr>
                <w:rFonts w:hint="eastAsia"/>
                <w:lang w:eastAsia="zh-CN"/>
              </w:rPr>
              <w:t>九江市城门加油站建设项目</w:t>
            </w:r>
          </w:p>
        </w:tc>
      </w:tr>
      <w:tr w14:paraId="425BEF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776" w:type="pct"/>
            <w:tcMar>
              <w:top w:w="16" w:type="dxa"/>
              <w:left w:w="16" w:type="dxa"/>
              <w:right w:w="16" w:type="dxa"/>
            </w:tcMar>
            <w:vAlign w:val="center"/>
          </w:tcPr>
          <w:p w14:paraId="0B50DF80">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pPr>
            <w:r>
              <w:rPr>
                <w:rFonts w:hint="eastAsia"/>
              </w:rPr>
              <w:t>项目代码</w:t>
            </w:r>
          </w:p>
        </w:tc>
        <w:tc>
          <w:tcPr>
            <w:tcW w:w="4223" w:type="pct"/>
            <w:gridSpan w:val="3"/>
            <w:vAlign w:val="center"/>
          </w:tcPr>
          <w:p w14:paraId="27CD8951">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pPr>
            <w:r>
              <w:rPr>
                <w:rFonts w:hint="eastAsia"/>
                <w:lang w:eastAsia="zh-CN"/>
              </w:rPr>
              <w:t>2505-360421-04-01-138260</w:t>
            </w:r>
          </w:p>
        </w:tc>
      </w:tr>
      <w:tr w14:paraId="18DFC1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776" w:type="pct"/>
            <w:tcMar>
              <w:top w:w="16" w:type="dxa"/>
              <w:left w:w="16" w:type="dxa"/>
              <w:right w:w="16" w:type="dxa"/>
            </w:tcMar>
            <w:vAlign w:val="center"/>
          </w:tcPr>
          <w:p w14:paraId="776AB8EE">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eastAsia"/>
              </w:rPr>
            </w:pPr>
            <w:r>
              <w:rPr>
                <w:rFonts w:hint="eastAsia"/>
              </w:rPr>
              <w:t>建设单位</w:t>
            </w:r>
          </w:p>
          <w:p w14:paraId="2D87CA07">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pPr>
            <w:r>
              <w:rPr>
                <w:rFonts w:hint="eastAsia"/>
              </w:rPr>
              <w:t>联系人</w:t>
            </w:r>
          </w:p>
        </w:tc>
        <w:tc>
          <w:tcPr>
            <w:tcW w:w="1365" w:type="pct"/>
            <w:vAlign w:val="center"/>
          </w:tcPr>
          <w:p w14:paraId="69E14237">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eastAsia="宋体"/>
                <w:lang w:val="en-US" w:eastAsia="zh-CN"/>
              </w:rPr>
            </w:pPr>
            <w:r>
              <w:rPr>
                <w:rFonts w:hint="eastAsia"/>
                <w:lang w:eastAsia="zh-CN"/>
              </w:rPr>
              <w:t>钟丹超</w:t>
            </w:r>
          </w:p>
        </w:tc>
        <w:tc>
          <w:tcPr>
            <w:tcW w:w="1021" w:type="pct"/>
            <w:vAlign w:val="center"/>
          </w:tcPr>
          <w:p w14:paraId="7B4E5F79">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pPr>
            <w:r>
              <w:rPr>
                <w:rFonts w:hint="eastAsia"/>
              </w:rPr>
              <w:t>联系方式</w:t>
            </w:r>
          </w:p>
        </w:tc>
        <w:tc>
          <w:tcPr>
            <w:tcW w:w="1836" w:type="pct"/>
            <w:vAlign w:val="center"/>
          </w:tcPr>
          <w:p w14:paraId="229F0281">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pPr>
            <w:r>
              <w:rPr>
                <w:rFonts w:hint="eastAsia"/>
                <w:lang w:val="en-US" w:eastAsia="zh-CN"/>
              </w:rPr>
              <w:t>18296123821</w:t>
            </w:r>
          </w:p>
        </w:tc>
      </w:tr>
      <w:tr w14:paraId="0734DE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776" w:type="pct"/>
            <w:tcMar>
              <w:top w:w="16" w:type="dxa"/>
              <w:left w:w="16" w:type="dxa"/>
              <w:right w:w="16" w:type="dxa"/>
            </w:tcMar>
            <w:vAlign w:val="center"/>
          </w:tcPr>
          <w:p w14:paraId="6E9223BB">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pPr>
            <w:r>
              <w:rPr>
                <w:rFonts w:hint="eastAsia"/>
              </w:rPr>
              <w:t>建设地点</w:t>
            </w:r>
          </w:p>
        </w:tc>
        <w:tc>
          <w:tcPr>
            <w:tcW w:w="4223" w:type="pct"/>
            <w:gridSpan w:val="3"/>
            <w:vAlign w:val="center"/>
          </w:tcPr>
          <w:p w14:paraId="3C3316DE">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pPr>
            <w:r>
              <w:rPr>
                <w:rFonts w:hint="eastAsia"/>
                <w:lang w:val="en-US" w:eastAsia="zh-CN"/>
              </w:rPr>
              <w:t>江西省九江市</w:t>
            </w:r>
            <w:r>
              <w:rPr>
                <w:rFonts w:hint="eastAsia"/>
                <w:lang w:eastAsia="zh-CN"/>
              </w:rPr>
              <w:t>柴桑区</w:t>
            </w:r>
            <w:r>
              <w:rPr>
                <w:rFonts w:hint="eastAsia"/>
              </w:rPr>
              <w:t>通江大道西侧、城门街道南垅新村南侧</w:t>
            </w:r>
          </w:p>
        </w:tc>
      </w:tr>
      <w:tr w14:paraId="33D6BA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776" w:type="pct"/>
            <w:tcMar>
              <w:top w:w="16" w:type="dxa"/>
              <w:left w:w="16" w:type="dxa"/>
              <w:right w:w="16" w:type="dxa"/>
            </w:tcMar>
            <w:vAlign w:val="center"/>
          </w:tcPr>
          <w:p w14:paraId="271EA08F">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pPr>
            <w:r>
              <w:rPr>
                <w:rFonts w:hint="eastAsia"/>
              </w:rPr>
              <w:t>地理坐标</w:t>
            </w:r>
          </w:p>
        </w:tc>
        <w:tc>
          <w:tcPr>
            <w:tcW w:w="4223" w:type="pct"/>
            <w:gridSpan w:val="3"/>
            <w:vAlign w:val="center"/>
          </w:tcPr>
          <w:p w14:paraId="0231E46A">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eastAsia="仿宋_GB2312"/>
              </w:rPr>
            </w:pPr>
            <w:r>
              <w:rPr>
                <w:sz w:val="24"/>
              </w:rPr>
              <w:t>（</w:t>
            </w:r>
            <w:r>
              <w:rPr>
                <w:rFonts w:hint="eastAsia"/>
                <w:sz w:val="24"/>
              </w:rPr>
              <w:t>E</w:t>
            </w:r>
            <w:r>
              <w:rPr>
                <w:sz w:val="24"/>
                <w:u w:val="single"/>
              </w:rPr>
              <w:t xml:space="preserve"> </w:t>
            </w:r>
            <w:r>
              <w:rPr>
                <w:rFonts w:hint="eastAsia"/>
                <w:sz w:val="24"/>
                <w:u w:val="single"/>
              </w:rPr>
              <w:t>11</w:t>
            </w:r>
            <w:r>
              <w:rPr>
                <w:rFonts w:hint="eastAsia"/>
                <w:sz w:val="24"/>
                <w:u w:val="single"/>
                <w:lang w:val="en-US" w:eastAsia="zh-CN"/>
              </w:rPr>
              <w:t>5</w:t>
            </w:r>
            <w:r>
              <w:rPr>
                <w:sz w:val="24"/>
                <w:u w:val="single"/>
              </w:rPr>
              <w:t xml:space="preserve"> </w:t>
            </w:r>
            <w:r>
              <w:rPr>
                <w:sz w:val="24"/>
              </w:rPr>
              <w:t>度</w:t>
            </w:r>
            <w:r>
              <w:rPr>
                <w:sz w:val="24"/>
                <w:u w:val="single"/>
              </w:rPr>
              <w:t xml:space="preserve"> </w:t>
            </w:r>
            <w:r>
              <w:rPr>
                <w:rFonts w:hint="eastAsia"/>
                <w:sz w:val="24"/>
                <w:u w:val="single"/>
                <w:lang w:val="en-US" w:eastAsia="zh-CN"/>
              </w:rPr>
              <w:t>49</w:t>
            </w:r>
            <w:r>
              <w:rPr>
                <w:sz w:val="24"/>
                <w:u w:val="single"/>
              </w:rPr>
              <w:t xml:space="preserve"> </w:t>
            </w:r>
            <w:r>
              <w:rPr>
                <w:sz w:val="24"/>
              </w:rPr>
              <w:t>分</w:t>
            </w:r>
            <w:r>
              <w:rPr>
                <w:sz w:val="24"/>
                <w:u w:val="single"/>
              </w:rPr>
              <w:t xml:space="preserve"> </w:t>
            </w:r>
            <w:r>
              <w:rPr>
                <w:rFonts w:hint="eastAsia"/>
                <w:sz w:val="24"/>
                <w:u w:val="single"/>
                <w:lang w:val="en-US" w:eastAsia="zh-CN"/>
              </w:rPr>
              <w:t>22.306</w:t>
            </w:r>
            <w:r>
              <w:rPr>
                <w:sz w:val="24"/>
                <w:u w:val="single"/>
              </w:rPr>
              <w:t xml:space="preserve"> </w:t>
            </w:r>
            <w:r>
              <w:rPr>
                <w:sz w:val="24"/>
              </w:rPr>
              <w:t>秒，</w:t>
            </w:r>
            <w:r>
              <w:rPr>
                <w:rFonts w:hint="eastAsia"/>
                <w:sz w:val="24"/>
              </w:rPr>
              <w:t>N</w:t>
            </w:r>
            <w:r>
              <w:rPr>
                <w:sz w:val="24"/>
                <w:u w:val="single"/>
              </w:rPr>
              <w:t xml:space="preserve"> </w:t>
            </w:r>
            <w:r>
              <w:rPr>
                <w:rFonts w:hint="eastAsia"/>
                <w:sz w:val="24"/>
                <w:u w:val="single"/>
              </w:rPr>
              <w:t>29</w:t>
            </w:r>
            <w:r>
              <w:rPr>
                <w:sz w:val="24"/>
                <w:u w:val="single"/>
              </w:rPr>
              <w:t xml:space="preserve"> </w:t>
            </w:r>
            <w:r>
              <w:rPr>
                <w:sz w:val="24"/>
              </w:rPr>
              <w:t>度</w:t>
            </w:r>
            <w:r>
              <w:rPr>
                <w:sz w:val="24"/>
                <w:u w:val="single"/>
              </w:rPr>
              <w:t xml:space="preserve"> </w:t>
            </w:r>
            <w:r>
              <w:rPr>
                <w:rFonts w:hint="eastAsia"/>
                <w:sz w:val="24"/>
                <w:u w:val="single"/>
                <w:lang w:val="en-US" w:eastAsia="zh-CN"/>
              </w:rPr>
              <w:t>39</w:t>
            </w:r>
            <w:r>
              <w:rPr>
                <w:sz w:val="24"/>
                <w:u w:val="single"/>
              </w:rPr>
              <w:t xml:space="preserve"> </w:t>
            </w:r>
            <w:r>
              <w:rPr>
                <w:sz w:val="24"/>
              </w:rPr>
              <w:t>分</w:t>
            </w:r>
            <w:r>
              <w:rPr>
                <w:sz w:val="24"/>
                <w:u w:val="single"/>
              </w:rPr>
              <w:t xml:space="preserve"> </w:t>
            </w:r>
            <w:r>
              <w:rPr>
                <w:rFonts w:hint="eastAsia"/>
                <w:sz w:val="24"/>
                <w:u w:val="single"/>
                <w:lang w:val="en-US" w:eastAsia="zh-CN"/>
              </w:rPr>
              <w:t>13.383</w:t>
            </w:r>
            <w:r>
              <w:rPr>
                <w:sz w:val="24"/>
                <w:u w:val="single"/>
              </w:rPr>
              <w:t xml:space="preserve"> </w:t>
            </w:r>
            <w:r>
              <w:rPr>
                <w:sz w:val="24"/>
              </w:rPr>
              <w:t>秒）</w:t>
            </w:r>
          </w:p>
        </w:tc>
      </w:tr>
      <w:tr w14:paraId="4301CD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89" w:hRule="atLeast"/>
          <w:jc w:val="center"/>
        </w:trPr>
        <w:tc>
          <w:tcPr>
            <w:tcW w:w="776" w:type="pct"/>
            <w:tcMar>
              <w:top w:w="16" w:type="dxa"/>
              <w:left w:w="16" w:type="dxa"/>
              <w:right w:w="16" w:type="dxa"/>
            </w:tcMar>
            <w:vAlign w:val="center"/>
          </w:tcPr>
          <w:p w14:paraId="5E4BB94C">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eastAsia"/>
              </w:rPr>
            </w:pPr>
            <w:r>
              <w:rPr>
                <w:rFonts w:hint="eastAsia"/>
              </w:rPr>
              <w:t>国民经济</w:t>
            </w:r>
          </w:p>
          <w:p w14:paraId="53BE215B">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pPr>
            <w:r>
              <w:rPr>
                <w:rFonts w:hint="eastAsia"/>
              </w:rPr>
              <w:t>行业类别</w:t>
            </w:r>
          </w:p>
        </w:tc>
        <w:tc>
          <w:tcPr>
            <w:tcW w:w="1365" w:type="pct"/>
            <w:vAlign w:val="center"/>
          </w:tcPr>
          <w:p w14:paraId="45BD6D0D">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both"/>
              <w:textAlignment w:val="auto"/>
            </w:pPr>
            <w:r>
              <w:rPr>
                <w:rFonts w:hint="eastAsia"/>
              </w:rPr>
              <w:t>F5265机动车燃油零售</w:t>
            </w:r>
          </w:p>
        </w:tc>
        <w:tc>
          <w:tcPr>
            <w:tcW w:w="1021" w:type="pct"/>
            <w:vAlign w:val="center"/>
          </w:tcPr>
          <w:p w14:paraId="4FCE71F5">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pPr>
            <w:bookmarkStart w:id="2" w:name="_Hlk49843745"/>
            <w:r>
              <w:rPr>
                <w:rFonts w:hint="eastAsia"/>
              </w:rPr>
              <w:t>建设项目行业类别</w:t>
            </w:r>
            <w:bookmarkEnd w:id="2"/>
          </w:p>
        </w:tc>
        <w:tc>
          <w:tcPr>
            <w:tcW w:w="1836" w:type="pct"/>
            <w:vAlign w:val="center"/>
          </w:tcPr>
          <w:p w14:paraId="7DDD9687">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both"/>
              <w:textAlignment w:val="auto"/>
              <w:rPr>
                <w:rFonts w:hint="eastAsia" w:eastAsia="宋体"/>
                <w:lang w:val="en-US" w:eastAsia="zh-CN"/>
              </w:rPr>
            </w:pPr>
            <w:r>
              <w:rPr>
                <w:rFonts w:hint="eastAsia"/>
                <w:lang w:val="en-US" w:eastAsia="zh-CN"/>
              </w:rPr>
              <w:t>五十、社会事业与服务业-</w:t>
            </w:r>
            <w:r>
              <w:rPr>
                <w:rFonts w:hint="eastAsia"/>
              </w:rPr>
              <w:t>119加油、加气站</w:t>
            </w:r>
            <w:r>
              <w:rPr>
                <w:rFonts w:hint="eastAsia"/>
                <w:lang w:val="en-US" w:eastAsia="zh-CN"/>
              </w:rPr>
              <w:t>-城市建成区新建、扩建加油站</w:t>
            </w:r>
          </w:p>
        </w:tc>
      </w:tr>
      <w:tr w14:paraId="1AF3C1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15" w:hRule="atLeast"/>
          <w:jc w:val="center"/>
        </w:trPr>
        <w:tc>
          <w:tcPr>
            <w:tcW w:w="776" w:type="pct"/>
            <w:tcMar>
              <w:top w:w="16" w:type="dxa"/>
              <w:left w:w="16" w:type="dxa"/>
              <w:right w:w="16" w:type="dxa"/>
            </w:tcMar>
            <w:vAlign w:val="center"/>
          </w:tcPr>
          <w:p w14:paraId="135AA594">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pPr>
            <w:r>
              <w:rPr>
                <w:rFonts w:hint="eastAsia"/>
              </w:rPr>
              <w:t>建设性质</w:t>
            </w:r>
          </w:p>
        </w:tc>
        <w:tc>
          <w:tcPr>
            <w:tcW w:w="1365" w:type="pct"/>
            <w:vAlign w:val="center"/>
          </w:tcPr>
          <w:p w14:paraId="7981F269">
            <w:pPr>
              <w:keepNext w:val="0"/>
              <w:keepLines w:val="0"/>
              <w:pageBreakBefore w:val="0"/>
              <w:widowControl w:val="0"/>
              <w:kinsoku/>
              <w:overflowPunct/>
              <w:topLinePunct w:val="0"/>
              <w:autoSpaceDE/>
              <w:autoSpaceDN/>
              <w:bidi w:val="0"/>
              <w:adjustRightInd/>
              <w:snapToGrid w:val="0"/>
              <w:spacing w:line="240" w:lineRule="auto"/>
              <w:ind w:firstLine="0" w:firstLineChars="0"/>
              <w:jc w:val="left"/>
              <w:textAlignment w:val="auto"/>
              <w:rPr>
                <w:color w:val="000000"/>
              </w:rPr>
            </w:pPr>
            <w:r>
              <w:rPr>
                <w:color w:val="000000"/>
              </w:rPr>
              <w:sym w:font="Wingdings 2" w:char="0052"/>
            </w:r>
            <w:r>
              <w:rPr>
                <w:color w:val="000000"/>
              </w:rPr>
              <w:t>新建（迁建）</w:t>
            </w:r>
          </w:p>
          <w:p w14:paraId="08C21E1F">
            <w:pPr>
              <w:keepNext w:val="0"/>
              <w:keepLines w:val="0"/>
              <w:pageBreakBefore w:val="0"/>
              <w:widowControl w:val="0"/>
              <w:kinsoku/>
              <w:overflowPunct/>
              <w:topLinePunct w:val="0"/>
              <w:autoSpaceDE/>
              <w:autoSpaceDN/>
              <w:bidi w:val="0"/>
              <w:adjustRightInd/>
              <w:snapToGrid w:val="0"/>
              <w:spacing w:line="240" w:lineRule="auto"/>
              <w:ind w:firstLine="0" w:firstLineChars="0"/>
              <w:jc w:val="left"/>
              <w:textAlignment w:val="auto"/>
              <w:rPr>
                <w:color w:val="000000"/>
              </w:rPr>
            </w:pPr>
            <w:r>
              <w:rPr>
                <w:color w:val="000000"/>
              </w:rPr>
              <w:sym w:font="Wingdings 2" w:char="00A3"/>
            </w:r>
            <w:r>
              <w:rPr>
                <w:color w:val="000000"/>
              </w:rPr>
              <w:t>改建</w:t>
            </w:r>
          </w:p>
          <w:p w14:paraId="14A32ECF">
            <w:pPr>
              <w:keepNext w:val="0"/>
              <w:keepLines w:val="0"/>
              <w:pageBreakBefore w:val="0"/>
              <w:widowControl w:val="0"/>
              <w:kinsoku/>
              <w:overflowPunct/>
              <w:topLinePunct w:val="0"/>
              <w:autoSpaceDE/>
              <w:autoSpaceDN/>
              <w:bidi w:val="0"/>
              <w:adjustRightInd/>
              <w:snapToGrid w:val="0"/>
              <w:spacing w:line="240" w:lineRule="auto"/>
              <w:ind w:firstLine="0" w:firstLineChars="0"/>
              <w:jc w:val="left"/>
              <w:textAlignment w:val="auto"/>
              <w:rPr>
                <w:color w:val="000000"/>
              </w:rPr>
            </w:pPr>
            <w:r>
              <w:rPr>
                <w:color w:val="000000"/>
              </w:rPr>
              <w:sym w:font="Wingdings 2" w:char="00A3"/>
            </w:r>
            <w:r>
              <w:rPr>
                <w:color w:val="000000"/>
              </w:rPr>
              <w:t>扩建</w:t>
            </w:r>
          </w:p>
          <w:p w14:paraId="7890314F">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textAlignment w:val="auto"/>
            </w:pPr>
            <w:r>
              <w:rPr>
                <w:color w:val="000000"/>
              </w:rPr>
              <w:sym w:font="Wingdings 2" w:char="00A3"/>
            </w:r>
            <w:r>
              <w:rPr>
                <w:color w:val="000000"/>
              </w:rPr>
              <w:t>技术改造</w:t>
            </w:r>
          </w:p>
        </w:tc>
        <w:tc>
          <w:tcPr>
            <w:tcW w:w="1021" w:type="pct"/>
            <w:vAlign w:val="center"/>
          </w:tcPr>
          <w:p w14:paraId="25DF38A7">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pPr>
            <w:r>
              <w:rPr>
                <w:rFonts w:hint="eastAsia"/>
              </w:rPr>
              <w:t>建设项目申报情形</w:t>
            </w:r>
          </w:p>
        </w:tc>
        <w:tc>
          <w:tcPr>
            <w:tcW w:w="1836" w:type="pct"/>
            <w:vAlign w:val="center"/>
          </w:tcPr>
          <w:p w14:paraId="5EED294E">
            <w:pPr>
              <w:keepNext w:val="0"/>
              <w:keepLines w:val="0"/>
              <w:pageBreakBefore w:val="0"/>
              <w:widowControl w:val="0"/>
              <w:kinsoku/>
              <w:overflowPunct/>
              <w:topLinePunct w:val="0"/>
              <w:autoSpaceDE/>
              <w:autoSpaceDN/>
              <w:bidi w:val="0"/>
              <w:adjustRightInd/>
              <w:snapToGrid w:val="0"/>
              <w:spacing w:line="240" w:lineRule="auto"/>
              <w:ind w:firstLine="0" w:firstLineChars="0"/>
              <w:jc w:val="left"/>
              <w:textAlignment w:val="auto"/>
              <w:rPr>
                <w:color w:val="000000"/>
              </w:rPr>
            </w:pPr>
            <w:r>
              <w:rPr>
                <w:color w:val="000000"/>
              </w:rPr>
              <w:sym w:font="Wingdings 2" w:char="0052"/>
            </w:r>
            <w:r>
              <w:rPr>
                <w:color w:val="000000"/>
              </w:rPr>
              <w:t>首次申报项目</w:t>
            </w:r>
          </w:p>
          <w:p w14:paraId="03DA4BC2">
            <w:pPr>
              <w:keepNext w:val="0"/>
              <w:keepLines w:val="0"/>
              <w:pageBreakBefore w:val="0"/>
              <w:widowControl w:val="0"/>
              <w:kinsoku/>
              <w:overflowPunct/>
              <w:topLinePunct w:val="0"/>
              <w:autoSpaceDE/>
              <w:autoSpaceDN/>
              <w:bidi w:val="0"/>
              <w:adjustRightInd/>
              <w:snapToGrid w:val="0"/>
              <w:spacing w:line="240" w:lineRule="auto"/>
              <w:ind w:firstLine="0" w:firstLineChars="0"/>
              <w:jc w:val="left"/>
              <w:textAlignment w:val="auto"/>
              <w:rPr>
                <w:color w:val="000000"/>
              </w:rPr>
            </w:pPr>
            <w:r>
              <w:rPr>
                <w:color w:val="000000"/>
              </w:rPr>
              <w:sym w:font="Wingdings 2" w:char="00A3"/>
            </w:r>
            <w:r>
              <w:rPr>
                <w:color w:val="000000"/>
              </w:rPr>
              <w:t>不予批准后再次申报项目</w:t>
            </w:r>
          </w:p>
          <w:p w14:paraId="14821D37">
            <w:pPr>
              <w:keepNext w:val="0"/>
              <w:keepLines w:val="0"/>
              <w:pageBreakBefore w:val="0"/>
              <w:widowControl w:val="0"/>
              <w:kinsoku/>
              <w:overflowPunct/>
              <w:topLinePunct w:val="0"/>
              <w:autoSpaceDE/>
              <w:autoSpaceDN/>
              <w:bidi w:val="0"/>
              <w:adjustRightInd/>
              <w:snapToGrid w:val="0"/>
              <w:spacing w:line="240" w:lineRule="auto"/>
              <w:ind w:firstLine="0" w:firstLineChars="0"/>
              <w:jc w:val="left"/>
              <w:textAlignment w:val="auto"/>
              <w:rPr>
                <w:color w:val="000000"/>
              </w:rPr>
            </w:pPr>
            <w:r>
              <w:rPr>
                <w:color w:val="000000"/>
              </w:rPr>
              <w:sym w:font="Wingdings 2" w:char="00A3"/>
            </w:r>
            <w:r>
              <w:rPr>
                <w:color w:val="000000"/>
              </w:rPr>
              <w:t>超五年重新审核项目</w:t>
            </w:r>
          </w:p>
          <w:p w14:paraId="3C3AE2F4">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textAlignment w:val="auto"/>
            </w:pPr>
            <w:r>
              <w:rPr>
                <w:color w:val="000000"/>
              </w:rPr>
              <w:sym w:font="Wingdings 2" w:char="00A3"/>
            </w:r>
            <w:r>
              <w:rPr>
                <w:color w:val="000000"/>
              </w:rPr>
              <w:t>重大变动重新报批项目</w:t>
            </w:r>
          </w:p>
        </w:tc>
      </w:tr>
      <w:tr w14:paraId="1A81DF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776" w:type="pct"/>
            <w:tcMar>
              <w:top w:w="16" w:type="dxa"/>
              <w:left w:w="16" w:type="dxa"/>
              <w:right w:w="16" w:type="dxa"/>
            </w:tcMar>
            <w:vAlign w:val="center"/>
          </w:tcPr>
          <w:p w14:paraId="717D552E">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pPr>
            <w:r>
              <w:rPr>
                <w:sz w:val="24"/>
              </w:rPr>
              <w:t>项目审批（备案）部门（选填）</w:t>
            </w:r>
          </w:p>
        </w:tc>
        <w:tc>
          <w:tcPr>
            <w:tcW w:w="1365" w:type="pct"/>
            <w:vAlign w:val="center"/>
          </w:tcPr>
          <w:p w14:paraId="7863FDFA">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pPr>
            <w:r>
              <w:rPr>
                <w:rFonts w:hint="eastAsia"/>
                <w:lang w:eastAsia="zh-CN"/>
              </w:rPr>
              <w:t>九江市柴桑区</w:t>
            </w:r>
            <w:r>
              <w:rPr>
                <w:rFonts w:hint="eastAsia"/>
              </w:rPr>
              <w:t>发展和改革委员会</w:t>
            </w:r>
          </w:p>
        </w:tc>
        <w:tc>
          <w:tcPr>
            <w:tcW w:w="1021" w:type="pct"/>
            <w:vAlign w:val="center"/>
          </w:tcPr>
          <w:p w14:paraId="1A846F88">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pPr>
            <w:r>
              <w:rPr>
                <w:rFonts w:hint="eastAsia"/>
              </w:rPr>
              <w:t>项目备案文号</w:t>
            </w:r>
          </w:p>
        </w:tc>
        <w:tc>
          <w:tcPr>
            <w:tcW w:w="1836" w:type="pct"/>
            <w:vAlign w:val="center"/>
          </w:tcPr>
          <w:p w14:paraId="6BF079FB">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pPr>
            <w:r>
              <w:rPr>
                <w:rFonts w:hint="eastAsia"/>
                <w:lang w:val="en-US" w:eastAsia="zh-CN"/>
              </w:rPr>
              <w:t>/</w:t>
            </w:r>
          </w:p>
        </w:tc>
      </w:tr>
      <w:tr w14:paraId="34330D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776" w:type="pct"/>
            <w:tcMar>
              <w:top w:w="16" w:type="dxa"/>
              <w:left w:w="16" w:type="dxa"/>
              <w:right w:w="16" w:type="dxa"/>
            </w:tcMar>
            <w:vAlign w:val="center"/>
          </w:tcPr>
          <w:p w14:paraId="61E36E39">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pPr>
            <w:r>
              <w:rPr>
                <w:rFonts w:hint="eastAsia"/>
              </w:rPr>
              <w:t>总投资（万元）</w:t>
            </w:r>
          </w:p>
        </w:tc>
        <w:tc>
          <w:tcPr>
            <w:tcW w:w="1365" w:type="pct"/>
            <w:vAlign w:val="center"/>
          </w:tcPr>
          <w:p w14:paraId="255887A5">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eastAsia="宋体"/>
                <w:lang w:val="en-US" w:eastAsia="zh-CN"/>
              </w:rPr>
            </w:pPr>
            <w:r>
              <w:rPr>
                <w:rFonts w:hint="eastAsia"/>
                <w:lang w:val="en-US" w:eastAsia="zh-CN"/>
              </w:rPr>
              <w:t>2000</w:t>
            </w:r>
          </w:p>
        </w:tc>
        <w:tc>
          <w:tcPr>
            <w:tcW w:w="1021" w:type="pct"/>
            <w:tcMar>
              <w:top w:w="16" w:type="dxa"/>
              <w:left w:w="16" w:type="dxa"/>
              <w:right w:w="16" w:type="dxa"/>
            </w:tcMar>
            <w:vAlign w:val="center"/>
          </w:tcPr>
          <w:p w14:paraId="3F18512E">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pPr>
            <w:r>
              <w:rPr>
                <w:rFonts w:hint="eastAsia"/>
              </w:rPr>
              <w:t>环保投资（万元）</w:t>
            </w:r>
          </w:p>
        </w:tc>
        <w:tc>
          <w:tcPr>
            <w:tcW w:w="1836" w:type="pct"/>
            <w:vAlign w:val="center"/>
          </w:tcPr>
          <w:p w14:paraId="4A082A9E">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eastAsia="宋体"/>
                <w:lang w:val="en-US" w:eastAsia="zh-CN"/>
              </w:rPr>
            </w:pPr>
            <w:r>
              <w:rPr>
                <w:rFonts w:hint="eastAsia"/>
                <w:lang w:val="en-US" w:eastAsia="zh-CN"/>
              </w:rPr>
              <w:t>98</w:t>
            </w:r>
          </w:p>
        </w:tc>
      </w:tr>
      <w:tr w14:paraId="03201F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776" w:type="pct"/>
            <w:tcMar>
              <w:top w:w="16" w:type="dxa"/>
              <w:left w:w="16" w:type="dxa"/>
              <w:right w:w="16" w:type="dxa"/>
            </w:tcMar>
            <w:vAlign w:val="center"/>
          </w:tcPr>
          <w:p w14:paraId="4D85DFEF">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pPr>
            <w:r>
              <w:rPr>
                <w:rFonts w:hint="eastAsia"/>
              </w:rPr>
              <w:t>环保投资占比（</w:t>
            </w:r>
            <w:r>
              <w:t>%</w:t>
            </w:r>
            <w:r>
              <w:rPr>
                <w:rFonts w:hint="eastAsia"/>
              </w:rPr>
              <w:t>）</w:t>
            </w:r>
          </w:p>
        </w:tc>
        <w:tc>
          <w:tcPr>
            <w:tcW w:w="1365" w:type="pct"/>
            <w:vAlign w:val="center"/>
          </w:tcPr>
          <w:p w14:paraId="05E9D4AB">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eastAsia="宋体"/>
                <w:lang w:val="en-US" w:eastAsia="zh-CN"/>
              </w:rPr>
            </w:pPr>
            <w:r>
              <w:rPr>
                <w:rFonts w:hint="eastAsia"/>
                <w:lang w:val="en-US" w:eastAsia="zh-CN"/>
              </w:rPr>
              <w:t>4.9</w:t>
            </w:r>
          </w:p>
        </w:tc>
        <w:tc>
          <w:tcPr>
            <w:tcW w:w="1021" w:type="pct"/>
            <w:tcMar>
              <w:top w:w="16" w:type="dxa"/>
              <w:left w:w="16" w:type="dxa"/>
              <w:right w:w="16" w:type="dxa"/>
            </w:tcMar>
            <w:vAlign w:val="center"/>
          </w:tcPr>
          <w:p w14:paraId="201CB220">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pPr>
            <w:r>
              <w:rPr>
                <w:rFonts w:hint="eastAsia"/>
              </w:rPr>
              <w:t>施工工期（月）</w:t>
            </w:r>
          </w:p>
        </w:tc>
        <w:tc>
          <w:tcPr>
            <w:tcW w:w="1836" w:type="pct"/>
            <w:vAlign w:val="center"/>
          </w:tcPr>
          <w:p w14:paraId="444911C8">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eastAsia="宋体"/>
                <w:lang w:val="en-US" w:eastAsia="zh-CN"/>
              </w:rPr>
            </w:pPr>
            <w:r>
              <w:rPr>
                <w:rFonts w:hint="eastAsia"/>
                <w:lang w:val="en-US" w:eastAsia="zh-CN"/>
              </w:rPr>
              <w:t>14</w:t>
            </w:r>
          </w:p>
        </w:tc>
      </w:tr>
      <w:tr w14:paraId="32ED3E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33" w:hRule="atLeast"/>
          <w:jc w:val="center"/>
        </w:trPr>
        <w:tc>
          <w:tcPr>
            <w:tcW w:w="776" w:type="pct"/>
            <w:tcMar>
              <w:top w:w="16" w:type="dxa"/>
              <w:left w:w="16" w:type="dxa"/>
              <w:right w:w="16" w:type="dxa"/>
            </w:tcMar>
            <w:vAlign w:val="center"/>
          </w:tcPr>
          <w:p w14:paraId="48811657">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pPr>
            <w:r>
              <w:rPr>
                <w:rFonts w:hint="eastAsia"/>
              </w:rPr>
              <w:t>是否开工建设</w:t>
            </w:r>
          </w:p>
        </w:tc>
        <w:tc>
          <w:tcPr>
            <w:tcW w:w="1365" w:type="pct"/>
            <w:vAlign w:val="center"/>
          </w:tcPr>
          <w:p w14:paraId="0F8E8D11">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pPr>
            <w:r>
              <w:rPr>
                <w:color w:val="000000"/>
              </w:rPr>
              <w:sym w:font="Wingdings 2" w:char="0052"/>
            </w:r>
            <w:r>
              <w:rPr>
                <w:rFonts w:hint="eastAsia"/>
              </w:rPr>
              <w:t>否</w:t>
            </w:r>
          </w:p>
          <w:p w14:paraId="3B39CC2F">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pPr>
            <w:r>
              <w:rPr>
                <w:rFonts w:hint="eastAsia"/>
              </w:rPr>
              <w:t>□是</w:t>
            </w:r>
          </w:p>
        </w:tc>
        <w:tc>
          <w:tcPr>
            <w:tcW w:w="1021" w:type="pct"/>
            <w:tcMar>
              <w:top w:w="16" w:type="dxa"/>
              <w:left w:w="16" w:type="dxa"/>
              <w:right w:w="16" w:type="dxa"/>
            </w:tcMar>
            <w:vAlign w:val="center"/>
          </w:tcPr>
          <w:p w14:paraId="27D3A1FF">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spacing w:val="-6"/>
              </w:rPr>
            </w:pPr>
            <w:r>
              <w:rPr>
                <w:rFonts w:hint="eastAsia"/>
                <w:spacing w:val="-6"/>
              </w:rPr>
              <w:t>用地面积（</w:t>
            </w:r>
            <w:r>
              <w:rPr>
                <w:spacing w:val="-6"/>
              </w:rPr>
              <w:t>m</w:t>
            </w:r>
            <w:r>
              <w:rPr>
                <w:spacing w:val="-6"/>
                <w:vertAlign w:val="superscript"/>
              </w:rPr>
              <w:t>2</w:t>
            </w:r>
            <w:r>
              <w:rPr>
                <w:rFonts w:hint="eastAsia"/>
                <w:spacing w:val="-6"/>
              </w:rPr>
              <w:t>）</w:t>
            </w:r>
          </w:p>
        </w:tc>
        <w:tc>
          <w:tcPr>
            <w:tcW w:w="1836" w:type="pct"/>
            <w:vAlign w:val="center"/>
          </w:tcPr>
          <w:p w14:paraId="1F5B542F">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lang w:val="en-US"/>
              </w:rPr>
            </w:pPr>
            <w:r>
              <w:rPr>
                <w:rFonts w:hint="eastAsia"/>
                <w:lang w:val="en-US" w:eastAsia="zh-CN"/>
              </w:rPr>
              <w:t>6623</w:t>
            </w:r>
          </w:p>
        </w:tc>
      </w:tr>
      <w:tr w14:paraId="043B18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6" w:type="pct"/>
            <w:vAlign w:val="center"/>
          </w:tcPr>
          <w:p w14:paraId="0A6DFA87">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rPr>
            </w:pPr>
            <w:r>
              <w:rPr>
                <w:rFonts w:hint="eastAsia"/>
              </w:rPr>
              <w:t>专项评价</w:t>
            </w:r>
          </w:p>
          <w:p w14:paraId="4C8DEE09">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pPr>
            <w:r>
              <w:rPr>
                <w:rFonts w:hint="eastAsia"/>
              </w:rPr>
              <w:t>设置情况</w:t>
            </w:r>
          </w:p>
        </w:tc>
        <w:tc>
          <w:tcPr>
            <w:tcW w:w="4223" w:type="pct"/>
            <w:gridSpan w:val="3"/>
            <w:vAlign w:val="center"/>
          </w:tcPr>
          <w:p w14:paraId="75F76F1F">
            <w:pPr>
              <w:ind w:firstLine="480"/>
              <w:rPr>
                <w:color w:val="FF0000"/>
              </w:rPr>
            </w:pPr>
            <w:r>
              <w:rPr>
                <w:rFonts w:hint="eastAsia"/>
                <w:b w:val="0"/>
                <w:bCs w:val="0"/>
                <w:color w:val="auto"/>
                <w:spacing w:val="4"/>
                <w:kern w:val="18"/>
                <w:sz w:val="24"/>
                <w:szCs w:val="24"/>
                <w:lang w:eastAsia="zh-CN"/>
              </w:rPr>
              <w:t>根据</w:t>
            </w:r>
            <w:r>
              <w:rPr>
                <w:rFonts w:hint="eastAsia"/>
                <w:b w:val="0"/>
                <w:bCs w:val="0"/>
                <w:color w:val="auto"/>
                <w:spacing w:val="4"/>
                <w:kern w:val="18"/>
                <w:sz w:val="24"/>
                <w:szCs w:val="24"/>
                <w:lang w:val="en-US" w:eastAsia="zh-CN"/>
              </w:rPr>
              <w:t>《建设项目环境影响报告表编制技术指南（污染影响类）》的设置要求：</w:t>
            </w:r>
          </w:p>
          <w:p w14:paraId="172874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snapToGrid w:val="0"/>
                <w:color w:val="auto"/>
                <w:sz w:val="21"/>
              </w:rPr>
            </w:pPr>
            <w:r>
              <w:rPr>
                <w:b/>
                <w:snapToGrid w:val="0"/>
                <w:color w:val="auto"/>
                <w:sz w:val="21"/>
              </w:rPr>
              <w:t>表</w:t>
            </w:r>
            <w:r>
              <w:rPr>
                <w:rFonts w:hint="eastAsia"/>
                <w:b/>
                <w:snapToGrid w:val="0"/>
                <w:color w:val="auto"/>
                <w:sz w:val="21"/>
              </w:rPr>
              <w:t>1-1</w:t>
            </w:r>
            <w:r>
              <w:rPr>
                <w:rFonts w:hint="eastAsia"/>
                <w:b/>
                <w:snapToGrid w:val="0"/>
                <w:color w:val="auto"/>
                <w:sz w:val="21"/>
                <w:lang w:val="en-US" w:eastAsia="zh-CN"/>
              </w:rPr>
              <w:t xml:space="preserve">   </w:t>
            </w:r>
            <w:r>
              <w:rPr>
                <w:b/>
                <w:snapToGrid w:val="0"/>
                <w:color w:val="auto"/>
                <w:sz w:val="21"/>
              </w:rPr>
              <w:t>专项评价设置</w:t>
            </w:r>
            <w:r>
              <w:rPr>
                <w:rFonts w:hint="eastAsia"/>
                <w:b/>
                <w:snapToGrid w:val="0"/>
                <w:color w:val="auto"/>
                <w:sz w:val="21"/>
                <w:lang w:val="en-US" w:eastAsia="zh-CN"/>
              </w:rPr>
              <w:t>原则</w:t>
            </w:r>
            <w:r>
              <w:rPr>
                <w:b/>
                <w:snapToGrid w:val="0"/>
                <w:color w:val="auto"/>
                <w:sz w:val="21"/>
              </w:rPr>
              <w:t>表</w:t>
            </w:r>
          </w:p>
          <w:tbl>
            <w:tblPr>
              <w:tblStyle w:val="3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5"/>
              <w:gridCol w:w="3194"/>
              <w:gridCol w:w="3084"/>
              <w:gridCol w:w="663"/>
            </w:tblGrid>
            <w:tr w14:paraId="63723B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95" w:type="dxa"/>
                  <w:tcBorders>
                    <w:tl2br w:val="nil"/>
                    <w:tr2bl w:val="nil"/>
                  </w:tcBorders>
                  <w:vAlign w:val="center"/>
                </w:tcPr>
                <w:p w14:paraId="78F5FA8F">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b/>
                      <w:snapToGrid w:val="0"/>
                      <w:color w:val="auto"/>
                      <w:sz w:val="21"/>
                    </w:rPr>
                  </w:pPr>
                  <w:r>
                    <w:rPr>
                      <w:b/>
                      <w:snapToGrid w:val="0"/>
                      <w:color w:val="auto"/>
                      <w:sz w:val="21"/>
                    </w:rPr>
                    <w:t>专项评价类别</w:t>
                  </w:r>
                </w:p>
              </w:tc>
              <w:tc>
                <w:tcPr>
                  <w:tcW w:w="3194" w:type="dxa"/>
                  <w:tcBorders>
                    <w:tl2br w:val="nil"/>
                    <w:tr2bl w:val="nil"/>
                  </w:tcBorders>
                  <w:vAlign w:val="center"/>
                </w:tcPr>
                <w:p w14:paraId="30EB8B14">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b/>
                      <w:snapToGrid w:val="0"/>
                      <w:color w:val="auto"/>
                      <w:sz w:val="21"/>
                    </w:rPr>
                  </w:pPr>
                  <w:r>
                    <w:rPr>
                      <w:b/>
                      <w:snapToGrid w:val="0"/>
                      <w:color w:val="auto"/>
                      <w:sz w:val="21"/>
                    </w:rPr>
                    <w:t>设置原则</w:t>
                  </w:r>
                </w:p>
              </w:tc>
              <w:tc>
                <w:tcPr>
                  <w:tcW w:w="3084" w:type="dxa"/>
                  <w:tcBorders>
                    <w:tl2br w:val="nil"/>
                    <w:tr2bl w:val="nil"/>
                  </w:tcBorders>
                  <w:vAlign w:val="center"/>
                </w:tcPr>
                <w:p w14:paraId="62529F85">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b/>
                      <w:snapToGrid w:val="0"/>
                      <w:color w:val="auto"/>
                      <w:sz w:val="21"/>
                    </w:rPr>
                  </w:pPr>
                  <w:r>
                    <w:rPr>
                      <w:rFonts w:hint="eastAsia"/>
                      <w:b/>
                      <w:snapToGrid w:val="0"/>
                      <w:color w:val="auto"/>
                      <w:sz w:val="21"/>
                    </w:rPr>
                    <w:t>本项目</w:t>
                  </w:r>
                </w:p>
              </w:tc>
              <w:tc>
                <w:tcPr>
                  <w:tcW w:w="663" w:type="dxa"/>
                  <w:tcBorders>
                    <w:tl2br w:val="nil"/>
                    <w:tr2bl w:val="nil"/>
                  </w:tcBorders>
                  <w:vAlign w:val="center"/>
                </w:tcPr>
                <w:p w14:paraId="37F4CFB6">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eastAsia="宋体"/>
                      <w:b/>
                      <w:snapToGrid w:val="0"/>
                      <w:color w:val="auto"/>
                      <w:sz w:val="21"/>
                      <w:lang w:val="en-US" w:eastAsia="zh-CN"/>
                    </w:rPr>
                  </w:pPr>
                  <w:r>
                    <w:rPr>
                      <w:rFonts w:hint="eastAsia"/>
                      <w:b/>
                      <w:snapToGrid w:val="0"/>
                      <w:color w:val="auto"/>
                      <w:sz w:val="21"/>
                      <w:lang w:val="en-US" w:eastAsia="zh-CN"/>
                    </w:rPr>
                    <w:t>是否设置</w:t>
                  </w:r>
                </w:p>
              </w:tc>
            </w:tr>
            <w:tr w14:paraId="555857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95" w:type="dxa"/>
                  <w:tcBorders>
                    <w:tl2br w:val="nil"/>
                    <w:tr2bl w:val="nil"/>
                  </w:tcBorders>
                  <w:vAlign w:val="center"/>
                </w:tcPr>
                <w:p w14:paraId="7E3A1331">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snapToGrid w:val="0"/>
                      <w:color w:val="auto"/>
                      <w:sz w:val="21"/>
                    </w:rPr>
                  </w:pPr>
                  <w:r>
                    <w:rPr>
                      <w:snapToGrid w:val="0"/>
                      <w:color w:val="auto"/>
                      <w:sz w:val="21"/>
                    </w:rPr>
                    <w:t>大气</w:t>
                  </w:r>
                </w:p>
              </w:tc>
              <w:tc>
                <w:tcPr>
                  <w:tcW w:w="3194" w:type="dxa"/>
                  <w:tcBorders>
                    <w:tl2br w:val="nil"/>
                    <w:tr2bl w:val="nil"/>
                  </w:tcBorders>
                  <w:vAlign w:val="center"/>
                </w:tcPr>
                <w:p w14:paraId="28859544">
                  <w:pPr>
                    <w:keepNext w:val="0"/>
                    <w:keepLines w:val="0"/>
                    <w:pageBreakBefore w:val="0"/>
                    <w:kinsoku/>
                    <w:wordWrap/>
                    <w:overflowPunct/>
                    <w:topLinePunct w:val="0"/>
                    <w:autoSpaceDE/>
                    <w:autoSpaceDN/>
                    <w:bidi w:val="0"/>
                    <w:adjustRightInd/>
                    <w:snapToGrid w:val="0"/>
                    <w:spacing w:line="240" w:lineRule="auto"/>
                    <w:ind w:firstLine="436" w:firstLineChars="200"/>
                    <w:jc w:val="both"/>
                    <w:textAlignment w:val="auto"/>
                    <w:rPr>
                      <w:rFonts w:hint="eastAsia" w:eastAsia="宋体"/>
                      <w:snapToGrid w:val="0"/>
                      <w:color w:val="auto"/>
                      <w:sz w:val="21"/>
                      <w:lang w:eastAsia="zh-CN"/>
                    </w:rPr>
                  </w:pPr>
                  <w:r>
                    <w:rPr>
                      <w:b w:val="0"/>
                      <w:bCs w:val="0"/>
                      <w:color w:val="auto"/>
                      <w:spacing w:val="4"/>
                      <w:kern w:val="18"/>
                      <w:sz w:val="21"/>
                      <w:szCs w:val="21"/>
                    </w:rPr>
                    <w:t>排放废气含有毒有害污染物</w:t>
                  </w:r>
                  <w:r>
                    <w:rPr>
                      <w:b w:val="0"/>
                      <w:bCs w:val="0"/>
                      <w:color w:val="auto"/>
                      <w:spacing w:val="4"/>
                      <w:kern w:val="18"/>
                      <w:sz w:val="21"/>
                      <w:szCs w:val="21"/>
                      <w:vertAlign w:val="superscript"/>
                    </w:rPr>
                    <w:t>1</w:t>
                  </w:r>
                  <w:r>
                    <w:rPr>
                      <w:b w:val="0"/>
                      <w:bCs w:val="0"/>
                      <w:color w:val="auto"/>
                      <w:spacing w:val="4"/>
                      <w:kern w:val="18"/>
                      <w:sz w:val="21"/>
                      <w:szCs w:val="21"/>
                    </w:rPr>
                    <w:t>、二噁英、苯并[a]芘、氰化物、氯气且厂界外500米范围内有环境空气保护目标</w:t>
                  </w:r>
                  <w:r>
                    <w:rPr>
                      <w:b w:val="0"/>
                      <w:bCs w:val="0"/>
                      <w:color w:val="auto"/>
                      <w:spacing w:val="4"/>
                      <w:kern w:val="18"/>
                      <w:sz w:val="21"/>
                      <w:szCs w:val="21"/>
                      <w:vertAlign w:val="superscript"/>
                    </w:rPr>
                    <w:t>2</w:t>
                  </w:r>
                  <w:r>
                    <w:rPr>
                      <w:b w:val="0"/>
                      <w:bCs w:val="0"/>
                      <w:color w:val="auto"/>
                      <w:spacing w:val="4"/>
                      <w:kern w:val="18"/>
                      <w:sz w:val="21"/>
                      <w:szCs w:val="21"/>
                    </w:rPr>
                    <w:t>的建设项目</w:t>
                  </w:r>
                  <w:r>
                    <w:rPr>
                      <w:rFonts w:hint="eastAsia"/>
                      <w:b w:val="0"/>
                      <w:bCs w:val="0"/>
                      <w:color w:val="auto"/>
                      <w:spacing w:val="4"/>
                      <w:kern w:val="18"/>
                      <w:sz w:val="21"/>
                      <w:szCs w:val="21"/>
                      <w:lang w:eastAsia="zh-CN"/>
                    </w:rPr>
                    <w:t>。</w:t>
                  </w:r>
                </w:p>
              </w:tc>
              <w:tc>
                <w:tcPr>
                  <w:tcW w:w="3084" w:type="dxa"/>
                  <w:tcBorders>
                    <w:tl2br w:val="nil"/>
                    <w:tr2bl w:val="nil"/>
                  </w:tcBorders>
                  <w:vAlign w:val="center"/>
                </w:tcPr>
                <w:p w14:paraId="22159A57">
                  <w:pPr>
                    <w:keepNext w:val="0"/>
                    <w:keepLines w:val="0"/>
                    <w:pageBreakBefore w:val="0"/>
                    <w:widowControl/>
                    <w:kinsoku/>
                    <w:wordWrap/>
                    <w:overflowPunct/>
                    <w:topLinePunct w:val="0"/>
                    <w:autoSpaceDE/>
                    <w:autoSpaceDN/>
                    <w:bidi w:val="0"/>
                    <w:adjustRightInd/>
                    <w:snapToGrid w:val="0"/>
                    <w:spacing w:line="240" w:lineRule="auto"/>
                    <w:ind w:firstLine="436" w:firstLineChars="200"/>
                    <w:contextualSpacing/>
                    <w:jc w:val="both"/>
                    <w:textAlignment w:val="auto"/>
                    <w:rPr>
                      <w:rFonts w:hint="eastAsia" w:eastAsia="宋体"/>
                      <w:color w:val="auto"/>
                      <w:spacing w:val="4"/>
                      <w:kern w:val="18"/>
                      <w:sz w:val="21"/>
                      <w:szCs w:val="21"/>
                      <w:lang w:eastAsia="zh-CN"/>
                    </w:rPr>
                  </w:pPr>
                  <w:r>
                    <w:rPr>
                      <w:color w:val="auto"/>
                      <w:spacing w:val="4"/>
                      <w:kern w:val="18"/>
                      <w:sz w:val="21"/>
                      <w:szCs w:val="21"/>
                    </w:rPr>
                    <w:t>本</w:t>
                  </w:r>
                  <w:r>
                    <w:rPr>
                      <w:rFonts w:hint="eastAsia"/>
                      <w:color w:val="auto"/>
                      <w:spacing w:val="4"/>
                      <w:kern w:val="18"/>
                      <w:sz w:val="21"/>
                      <w:szCs w:val="21"/>
                      <w:lang w:val="en-US" w:eastAsia="zh-CN"/>
                    </w:rPr>
                    <w:t>项</w:t>
                  </w:r>
                  <w:r>
                    <w:rPr>
                      <w:color w:val="auto"/>
                      <w:spacing w:val="4"/>
                      <w:kern w:val="18"/>
                      <w:sz w:val="21"/>
                      <w:szCs w:val="21"/>
                    </w:rPr>
                    <w:t>目排放废气不含有毒有害污染物、二噁英、苯并[a]芘、氰化物、氯气</w:t>
                  </w:r>
                  <w:r>
                    <w:rPr>
                      <w:rFonts w:hint="eastAsia"/>
                      <w:b w:val="0"/>
                      <w:bCs w:val="0"/>
                      <w:color w:val="auto"/>
                      <w:spacing w:val="4"/>
                      <w:kern w:val="18"/>
                      <w:sz w:val="21"/>
                      <w:szCs w:val="21"/>
                      <w:lang w:eastAsia="zh-CN"/>
                    </w:rPr>
                    <w:t>，</w:t>
                  </w:r>
                  <w:r>
                    <w:rPr>
                      <w:rFonts w:hint="eastAsia"/>
                      <w:b w:val="0"/>
                      <w:bCs w:val="0"/>
                      <w:color w:val="auto"/>
                      <w:spacing w:val="4"/>
                      <w:kern w:val="18"/>
                      <w:sz w:val="21"/>
                      <w:szCs w:val="21"/>
                    </w:rPr>
                    <w:t>故无须设置大气专题</w:t>
                  </w:r>
                  <w:r>
                    <w:rPr>
                      <w:rFonts w:hint="eastAsia"/>
                      <w:b w:val="0"/>
                      <w:bCs w:val="0"/>
                      <w:color w:val="auto"/>
                      <w:spacing w:val="4"/>
                      <w:kern w:val="18"/>
                      <w:sz w:val="21"/>
                      <w:szCs w:val="21"/>
                      <w:lang w:eastAsia="zh-CN"/>
                    </w:rPr>
                    <w:t>。</w:t>
                  </w:r>
                </w:p>
              </w:tc>
              <w:tc>
                <w:tcPr>
                  <w:tcW w:w="663" w:type="dxa"/>
                  <w:tcBorders>
                    <w:tl2br w:val="nil"/>
                    <w:tr2bl w:val="nil"/>
                  </w:tcBorders>
                  <w:vAlign w:val="center"/>
                </w:tcPr>
                <w:p w14:paraId="45C59A36">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contextualSpacing/>
                    <w:jc w:val="center"/>
                    <w:textAlignment w:val="auto"/>
                    <w:rPr>
                      <w:rFonts w:hint="eastAsia" w:eastAsia="宋体"/>
                      <w:color w:val="auto"/>
                      <w:spacing w:val="4"/>
                      <w:kern w:val="18"/>
                      <w:sz w:val="21"/>
                      <w:szCs w:val="21"/>
                      <w:lang w:val="en-US" w:eastAsia="zh-CN"/>
                    </w:rPr>
                  </w:pPr>
                  <w:r>
                    <w:rPr>
                      <w:rFonts w:hint="eastAsia"/>
                      <w:color w:val="auto"/>
                      <w:spacing w:val="4"/>
                      <w:kern w:val="18"/>
                      <w:sz w:val="21"/>
                      <w:szCs w:val="21"/>
                      <w:lang w:val="en-US" w:eastAsia="zh-CN"/>
                    </w:rPr>
                    <w:t>否</w:t>
                  </w:r>
                </w:p>
              </w:tc>
            </w:tr>
            <w:tr w14:paraId="6FDC81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95" w:type="dxa"/>
                  <w:tcBorders>
                    <w:tl2br w:val="nil"/>
                    <w:tr2bl w:val="nil"/>
                  </w:tcBorders>
                  <w:vAlign w:val="center"/>
                </w:tcPr>
                <w:p w14:paraId="53CE9579">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snapToGrid w:val="0"/>
                      <w:color w:val="auto"/>
                      <w:sz w:val="21"/>
                    </w:rPr>
                  </w:pPr>
                  <w:r>
                    <w:rPr>
                      <w:snapToGrid w:val="0"/>
                      <w:color w:val="auto"/>
                      <w:sz w:val="21"/>
                    </w:rPr>
                    <w:t>地表水</w:t>
                  </w:r>
                </w:p>
              </w:tc>
              <w:tc>
                <w:tcPr>
                  <w:tcW w:w="3194" w:type="dxa"/>
                  <w:tcBorders>
                    <w:tl2br w:val="nil"/>
                    <w:tr2bl w:val="nil"/>
                  </w:tcBorders>
                  <w:vAlign w:val="center"/>
                </w:tcPr>
                <w:p w14:paraId="7CCC9942">
                  <w:pPr>
                    <w:keepNext w:val="0"/>
                    <w:keepLines w:val="0"/>
                    <w:pageBreakBefore w:val="0"/>
                    <w:kinsoku/>
                    <w:wordWrap/>
                    <w:overflowPunct/>
                    <w:topLinePunct w:val="0"/>
                    <w:autoSpaceDE/>
                    <w:autoSpaceDN/>
                    <w:bidi w:val="0"/>
                    <w:adjustRightInd/>
                    <w:snapToGrid w:val="0"/>
                    <w:spacing w:line="240" w:lineRule="auto"/>
                    <w:ind w:firstLine="420" w:firstLineChars="200"/>
                    <w:jc w:val="both"/>
                    <w:textAlignment w:val="auto"/>
                    <w:rPr>
                      <w:rFonts w:hint="eastAsia" w:eastAsia="宋体"/>
                      <w:snapToGrid w:val="0"/>
                      <w:color w:val="auto"/>
                      <w:sz w:val="21"/>
                      <w:lang w:eastAsia="zh-CN"/>
                    </w:rPr>
                  </w:pPr>
                  <w:r>
                    <w:rPr>
                      <w:snapToGrid w:val="0"/>
                      <w:color w:val="auto"/>
                      <w:sz w:val="21"/>
                    </w:rPr>
                    <w:t>新增工业废水直排建设项目（槽罐车外送污水处理厂的除外）；新增废水直排的污水集中处理厂</w:t>
                  </w:r>
                  <w:r>
                    <w:rPr>
                      <w:rFonts w:hint="eastAsia"/>
                      <w:snapToGrid w:val="0"/>
                      <w:color w:val="auto"/>
                      <w:sz w:val="21"/>
                      <w:lang w:eastAsia="zh-CN"/>
                    </w:rPr>
                    <w:t>。</w:t>
                  </w:r>
                </w:p>
              </w:tc>
              <w:tc>
                <w:tcPr>
                  <w:tcW w:w="3084" w:type="dxa"/>
                  <w:tcBorders>
                    <w:tl2br w:val="nil"/>
                    <w:tr2bl w:val="nil"/>
                  </w:tcBorders>
                  <w:vAlign w:val="center"/>
                </w:tcPr>
                <w:p w14:paraId="741266D9">
                  <w:pPr>
                    <w:keepNext w:val="0"/>
                    <w:keepLines w:val="0"/>
                    <w:pageBreakBefore w:val="0"/>
                    <w:widowControl/>
                    <w:kinsoku/>
                    <w:wordWrap/>
                    <w:overflowPunct/>
                    <w:topLinePunct w:val="0"/>
                    <w:autoSpaceDE/>
                    <w:autoSpaceDN/>
                    <w:bidi w:val="0"/>
                    <w:adjustRightInd/>
                    <w:snapToGrid w:val="0"/>
                    <w:spacing w:line="240" w:lineRule="auto"/>
                    <w:ind w:firstLine="436" w:firstLineChars="200"/>
                    <w:contextualSpacing/>
                    <w:jc w:val="both"/>
                    <w:textAlignment w:val="auto"/>
                    <w:rPr>
                      <w:rFonts w:hint="eastAsia" w:eastAsia="宋体"/>
                      <w:color w:val="auto"/>
                      <w:spacing w:val="4"/>
                      <w:kern w:val="18"/>
                      <w:sz w:val="21"/>
                      <w:szCs w:val="21"/>
                      <w:lang w:eastAsia="zh-CN"/>
                    </w:rPr>
                  </w:pPr>
                  <w:r>
                    <w:rPr>
                      <w:rFonts w:hint="eastAsia"/>
                      <w:b w:val="0"/>
                      <w:bCs w:val="0"/>
                      <w:color w:val="auto"/>
                      <w:spacing w:val="4"/>
                      <w:kern w:val="18"/>
                      <w:sz w:val="21"/>
                      <w:szCs w:val="21"/>
                      <w:lang w:eastAsia="zh-CN"/>
                    </w:rPr>
                    <w:t>本项目</w:t>
                  </w:r>
                  <w:r>
                    <w:rPr>
                      <w:rFonts w:hint="eastAsia"/>
                      <w:b w:val="0"/>
                      <w:bCs w:val="0"/>
                      <w:color w:val="auto"/>
                      <w:spacing w:val="4"/>
                      <w:kern w:val="18"/>
                      <w:sz w:val="21"/>
                      <w:szCs w:val="21"/>
                    </w:rPr>
                    <w:t>外排废水</w:t>
                  </w:r>
                  <w:r>
                    <w:rPr>
                      <w:rFonts w:hint="eastAsia"/>
                      <w:b w:val="0"/>
                      <w:bCs w:val="0"/>
                      <w:color w:val="auto"/>
                      <w:spacing w:val="4"/>
                      <w:kern w:val="18"/>
                      <w:sz w:val="21"/>
                      <w:szCs w:val="21"/>
                      <w:lang w:val="en-US" w:eastAsia="zh-CN"/>
                    </w:rPr>
                    <w:t>主要为生活污水，生活污水经油水分离器+化粪池预处理达红心村生活污水处理站接管标准，经污水管网排入红心村生活污水处理站进一步处理后达标排放</w:t>
                  </w:r>
                  <w:r>
                    <w:rPr>
                      <w:rFonts w:hint="eastAsia"/>
                      <w:b w:val="0"/>
                      <w:bCs w:val="0"/>
                      <w:color w:val="auto"/>
                      <w:spacing w:val="4"/>
                      <w:kern w:val="18"/>
                      <w:sz w:val="21"/>
                      <w:szCs w:val="21"/>
                    </w:rPr>
                    <w:t>，不属于工业</w:t>
                  </w:r>
                  <w:r>
                    <w:rPr>
                      <w:snapToGrid w:val="0"/>
                      <w:color w:val="auto"/>
                      <w:sz w:val="21"/>
                    </w:rPr>
                    <w:t>废水直排建设项目</w:t>
                  </w:r>
                  <w:r>
                    <w:rPr>
                      <w:rFonts w:hint="eastAsia"/>
                      <w:b w:val="0"/>
                      <w:bCs w:val="0"/>
                      <w:color w:val="auto"/>
                      <w:spacing w:val="4"/>
                      <w:kern w:val="18"/>
                      <w:sz w:val="21"/>
                      <w:szCs w:val="21"/>
                    </w:rPr>
                    <w:t>，故无须设置地表水专题</w:t>
                  </w:r>
                  <w:r>
                    <w:rPr>
                      <w:rFonts w:hint="eastAsia"/>
                      <w:b w:val="0"/>
                      <w:bCs w:val="0"/>
                      <w:color w:val="auto"/>
                      <w:spacing w:val="4"/>
                      <w:kern w:val="18"/>
                      <w:sz w:val="21"/>
                      <w:szCs w:val="21"/>
                      <w:lang w:eastAsia="zh-CN"/>
                    </w:rPr>
                    <w:t>。</w:t>
                  </w:r>
                </w:p>
              </w:tc>
              <w:tc>
                <w:tcPr>
                  <w:tcW w:w="663" w:type="dxa"/>
                  <w:tcBorders>
                    <w:tl2br w:val="nil"/>
                    <w:tr2bl w:val="nil"/>
                  </w:tcBorders>
                  <w:vAlign w:val="center"/>
                </w:tcPr>
                <w:p w14:paraId="4EB70A54">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contextualSpacing/>
                    <w:jc w:val="center"/>
                    <w:textAlignment w:val="auto"/>
                    <w:rPr>
                      <w:rFonts w:hint="default"/>
                      <w:b w:val="0"/>
                      <w:bCs w:val="0"/>
                      <w:color w:val="auto"/>
                      <w:spacing w:val="4"/>
                      <w:kern w:val="18"/>
                      <w:sz w:val="21"/>
                      <w:szCs w:val="21"/>
                      <w:lang w:val="en-US" w:eastAsia="zh-CN"/>
                    </w:rPr>
                  </w:pPr>
                  <w:r>
                    <w:rPr>
                      <w:rFonts w:hint="eastAsia"/>
                      <w:b w:val="0"/>
                      <w:bCs w:val="0"/>
                      <w:color w:val="auto"/>
                      <w:spacing w:val="4"/>
                      <w:kern w:val="18"/>
                      <w:sz w:val="21"/>
                      <w:szCs w:val="21"/>
                      <w:lang w:val="en-US" w:eastAsia="zh-CN"/>
                    </w:rPr>
                    <w:t>否</w:t>
                  </w:r>
                </w:p>
              </w:tc>
            </w:tr>
            <w:tr w14:paraId="52A8EC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95" w:type="dxa"/>
                  <w:tcBorders>
                    <w:tl2br w:val="nil"/>
                    <w:tr2bl w:val="nil"/>
                  </w:tcBorders>
                  <w:vAlign w:val="center"/>
                </w:tcPr>
                <w:p w14:paraId="57699B3D">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snapToGrid w:val="0"/>
                      <w:color w:val="auto"/>
                      <w:sz w:val="21"/>
                    </w:rPr>
                  </w:pPr>
                  <w:r>
                    <w:rPr>
                      <w:snapToGrid w:val="0"/>
                      <w:color w:val="auto"/>
                      <w:sz w:val="21"/>
                    </w:rPr>
                    <w:t>环境风险</w:t>
                  </w:r>
                </w:p>
              </w:tc>
              <w:tc>
                <w:tcPr>
                  <w:tcW w:w="3194" w:type="dxa"/>
                  <w:tcBorders>
                    <w:tl2br w:val="nil"/>
                    <w:tr2bl w:val="nil"/>
                  </w:tcBorders>
                  <w:vAlign w:val="center"/>
                </w:tcPr>
                <w:p w14:paraId="6022CF21">
                  <w:pPr>
                    <w:keepNext w:val="0"/>
                    <w:keepLines w:val="0"/>
                    <w:pageBreakBefore w:val="0"/>
                    <w:kinsoku/>
                    <w:wordWrap/>
                    <w:overflowPunct/>
                    <w:topLinePunct w:val="0"/>
                    <w:autoSpaceDE/>
                    <w:autoSpaceDN/>
                    <w:bidi w:val="0"/>
                    <w:adjustRightInd/>
                    <w:snapToGrid w:val="0"/>
                    <w:spacing w:line="240" w:lineRule="auto"/>
                    <w:ind w:firstLine="420" w:firstLineChars="200"/>
                    <w:jc w:val="both"/>
                    <w:textAlignment w:val="auto"/>
                    <w:rPr>
                      <w:rFonts w:hint="eastAsia" w:eastAsia="宋体"/>
                      <w:snapToGrid w:val="0"/>
                      <w:color w:val="auto"/>
                      <w:sz w:val="21"/>
                      <w:lang w:eastAsia="zh-CN"/>
                    </w:rPr>
                  </w:pPr>
                  <w:r>
                    <w:rPr>
                      <w:snapToGrid w:val="0"/>
                      <w:color w:val="auto"/>
                      <w:sz w:val="21"/>
                    </w:rPr>
                    <w:t>有毒有害和易燃易爆危险物质存储量超过临界量</w:t>
                  </w:r>
                  <w:r>
                    <w:rPr>
                      <w:snapToGrid w:val="0"/>
                      <w:color w:val="auto"/>
                      <w:sz w:val="21"/>
                      <w:vertAlign w:val="superscript"/>
                    </w:rPr>
                    <w:t>3</w:t>
                  </w:r>
                  <w:r>
                    <w:rPr>
                      <w:snapToGrid w:val="0"/>
                      <w:color w:val="auto"/>
                      <w:sz w:val="21"/>
                    </w:rPr>
                    <w:t>的建设项目</w:t>
                  </w:r>
                  <w:r>
                    <w:rPr>
                      <w:rFonts w:hint="eastAsia"/>
                      <w:snapToGrid w:val="0"/>
                      <w:color w:val="auto"/>
                      <w:sz w:val="21"/>
                      <w:lang w:eastAsia="zh-CN"/>
                    </w:rPr>
                    <w:t>。</w:t>
                  </w:r>
                </w:p>
              </w:tc>
              <w:tc>
                <w:tcPr>
                  <w:tcW w:w="3084" w:type="dxa"/>
                  <w:tcBorders>
                    <w:tl2br w:val="nil"/>
                    <w:tr2bl w:val="nil"/>
                  </w:tcBorders>
                  <w:vAlign w:val="center"/>
                </w:tcPr>
                <w:p w14:paraId="583258EA">
                  <w:pPr>
                    <w:keepNext w:val="0"/>
                    <w:keepLines w:val="0"/>
                    <w:pageBreakBefore w:val="0"/>
                    <w:widowControl/>
                    <w:kinsoku/>
                    <w:wordWrap/>
                    <w:overflowPunct/>
                    <w:topLinePunct w:val="0"/>
                    <w:autoSpaceDE/>
                    <w:autoSpaceDN/>
                    <w:bidi w:val="0"/>
                    <w:adjustRightInd/>
                    <w:snapToGrid w:val="0"/>
                    <w:spacing w:line="240" w:lineRule="auto"/>
                    <w:ind w:firstLine="436" w:firstLineChars="200"/>
                    <w:contextualSpacing/>
                    <w:jc w:val="both"/>
                    <w:textAlignment w:val="auto"/>
                    <w:rPr>
                      <w:rFonts w:hint="eastAsia" w:eastAsia="宋体"/>
                      <w:color w:val="auto"/>
                      <w:spacing w:val="4"/>
                      <w:kern w:val="18"/>
                      <w:sz w:val="21"/>
                      <w:szCs w:val="21"/>
                      <w:lang w:eastAsia="zh-CN"/>
                    </w:rPr>
                  </w:pPr>
                  <w:r>
                    <w:rPr>
                      <w:rFonts w:hint="eastAsia"/>
                      <w:b w:val="0"/>
                      <w:bCs w:val="0"/>
                      <w:color w:val="auto"/>
                      <w:spacing w:val="4"/>
                      <w:kern w:val="18"/>
                      <w:sz w:val="21"/>
                      <w:szCs w:val="21"/>
                      <w:lang w:eastAsia="zh-CN"/>
                    </w:rPr>
                    <w:t>本项目</w:t>
                  </w:r>
                  <w:r>
                    <w:rPr>
                      <w:rFonts w:hint="eastAsia"/>
                      <w:b w:val="0"/>
                      <w:bCs w:val="0"/>
                      <w:color w:val="auto"/>
                      <w:spacing w:val="4"/>
                      <w:kern w:val="18"/>
                      <w:sz w:val="21"/>
                      <w:szCs w:val="21"/>
                    </w:rPr>
                    <w:t>涉及</w:t>
                  </w:r>
                  <w:r>
                    <w:rPr>
                      <w:b w:val="0"/>
                      <w:bCs w:val="0"/>
                      <w:color w:val="auto"/>
                      <w:spacing w:val="4"/>
                      <w:kern w:val="18"/>
                      <w:sz w:val="21"/>
                      <w:szCs w:val="21"/>
                    </w:rPr>
                    <w:t>有毒有害和易燃易爆危险物质</w:t>
                  </w:r>
                  <w:r>
                    <w:rPr>
                      <w:rFonts w:hint="eastAsia"/>
                      <w:b w:val="0"/>
                      <w:bCs w:val="0"/>
                      <w:color w:val="auto"/>
                      <w:spacing w:val="4"/>
                      <w:kern w:val="18"/>
                      <w:sz w:val="21"/>
                      <w:szCs w:val="21"/>
                      <w:lang w:val="en-US" w:eastAsia="zh-CN"/>
                    </w:rPr>
                    <w:t>未超过临界量</w:t>
                  </w:r>
                  <w:r>
                    <w:rPr>
                      <w:rFonts w:hint="eastAsia"/>
                      <w:b w:val="0"/>
                      <w:bCs w:val="0"/>
                      <w:color w:val="auto"/>
                      <w:spacing w:val="4"/>
                      <w:kern w:val="18"/>
                      <w:sz w:val="21"/>
                      <w:szCs w:val="21"/>
                    </w:rPr>
                    <w:t>，故无须设置环境风险专题</w:t>
                  </w:r>
                  <w:r>
                    <w:rPr>
                      <w:rFonts w:hint="eastAsia"/>
                      <w:b w:val="0"/>
                      <w:bCs w:val="0"/>
                      <w:color w:val="auto"/>
                      <w:spacing w:val="4"/>
                      <w:kern w:val="18"/>
                      <w:sz w:val="21"/>
                      <w:szCs w:val="21"/>
                      <w:lang w:eastAsia="zh-CN"/>
                    </w:rPr>
                    <w:t>。</w:t>
                  </w:r>
                </w:p>
              </w:tc>
              <w:tc>
                <w:tcPr>
                  <w:tcW w:w="663" w:type="dxa"/>
                  <w:tcBorders>
                    <w:tl2br w:val="nil"/>
                    <w:tr2bl w:val="nil"/>
                  </w:tcBorders>
                  <w:vAlign w:val="center"/>
                </w:tcPr>
                <w:p w14:paraId="5C463EDE">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contextualSpacing/>
                    <w:jc w:val="center"/>
                    <w:textAlignment w:val="auto"/>
                    <w:rPr>
                      <w:rFonts w:hint="default"/>
                      <w:b w:val="0"/>
                      <w:bCs w:val="0"/>
                      <w:color w:val="auto"/>
                      <w:spacing w:val="4"/>
                      <w:kern w:val="18"/>
                      <w:sz w:val="21"/>
                      <w:szCs w:val="21"/>
                      <w:lang w:val="en-US" w:eastAsia="zh-CN"/>
                    </w:rPr>
                  </w:pPr>
                  <w:r>
                    <w:rPr>
                      <w:rFonts w:hint="eastAsia"/>
                      <w:b w:val="0"/>
                      <w:bCs w:val="0"/>
                      <w:color w:val="auto"/>
                      <w:spacing w:val="4"/>
                      <w:kern w:val="18"/>
                      <w:sz w:val="21"/>
                      <w:szCs w:val="21"/>
                      <w:lang w:val="en-US" w:eastAsia="zh-CN"/>
                    </w:rPr>
                    <w:t>否</w:t>
                  </w:r>
                </w:p>
              </w:tc>
            </w:tr>
            <w:tr w14:paraId="2D3E36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95" w:type="dxa"/>
                  <w:tcBorders>
                    <w:tl2br w:val="nil"/>
                    <w:tr2bl w:val="nil"/>
                  </w:tcBorders>
                  <w:vAlign w:val="center"/>
                </w:tcPr>
                <w:p w14:paraId="287267BD">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snapToGrid w:val="0"/>
                      <w:color w:val="auto"/>
                      <w:sz w:val="21"/>
                    </w:rPr>
                  </w:pPr>
                  <w:r>
                    <w:rPr>
                      <w:snapToGrid w:val="0"/>
                      <w:color w:val="auto"/>
                      <w:sz w:val="21"/>
                    </w:rPr>
                    <w:t>生态</w:t>
                  </w:r>
                </w:p>
              </w:tc>
              <w:tc>
                <w:tcPr>
                  <w:tcW w:w="3194" w:type="dxa"/>
                  <w:tcBorders>
                    <w:tl2br w:val="nil"/>
                    <w:tr2bl w:val="nil"/>
                  </w:tcBorders>
                  <w:vAlign w:val="center"/>
                </w:tcPr>
                <w:p w14:paraId="785F8F07">
                  <w:pPr>
                    <w:keepNext w:val="0"/>
                    <w:keepLines w:val="0"/>
                    <w:pageBreakBefore w:val="0"/>
                    <w:widowControl w:val="0"/>
                    <w:kinsoku/>
                    <w:wordWrap/>
                    <w:overflowPunct/>
                    <w:topLinePunct w:val="0"/>
                    <w:autoSpaceDE/>
                    <w:autoSpaceDN/>
                    <w:bidi w:val="0"/>
                    <w:adjustRightInd/>
                    <w:snapToGrid w:val="0"/>
                    <w:spacing w:line="240" w:lineRule="auto"/>
                    <w:ind w:firstLine="420" w:firstLineChars="200"/>
                    <w:jc w:val="both"/>
                    <w:textAlignment w:val="auto"/>
                    <w:rPr>
                      <w:rFonts w:hint="eastAsia" w:eastAsia="宋体"/>
                      <w:snapToGrid w:val="0"/>
                      <w:color w:val="auto"/>
                      <w:sz w:val="21"/>
                      <w:lang w:eastAsia="zh-CN"/>
                    </w:rPr>
                  </w:pPr>
                  <w:r>
                    <w:rPr>
                      <w:snapToGrid w:val="0"/>
                      <w:color w:val="auto"/>
                      <w:sz w:val="21"/>
                    </w:rPr>
                    <w:t>取水口下游500米范围内有重要水生生物的自然产卵场、索饵场、越冬场和洄游通道的新增河道取水的污染类建设项目</w:t>
                  </w:r>
                  <w:r>
                    <w:rPr>
                      <w:rFonts w:hint="eastAsia"/>
                      <w:snapToGrid w:val="0"/>
                      <w:color w:val="auto"/>
                      <w:sz w:val="21"/>
                      <w:lang w:eastAsia="zh-CN"/>
                    </w:rPr>
                    <w:t>。</w:t>
                  </w:r>
                </w:p>
              </w:tc>
              <w:tc>
                <w:tcPr>
                  <w:tcW w:w="3084" w:type="dxa"/>
                  <w:tcBorders>
                    <w:tl2br w:val="nil"/>
                    <w:tr2bl w:val="nil"/>
                  </w:tcBorders>
                  <w:vAlign w:val="center"/>
                </w:tcPr>
                <w:p w14:paraId="3EC46FA6">
                  <w:pPr>
                    <w:keepNext w:val="0"/>
                    <w:keepLines w:val="0"/>
                    <w:pageBreakBefore w:val="0"/>
                    <w:widowControl/>
                    <w:kinsoku/>
                    <w:wordWrap/>
                    <w:overflowPunct/>
                    <w:topLinePunct w:val="0"/>
                    <w:autoSpaceDE/>
                    <w:autoSpaceDN/>
                    <w:bidi w:val="0"/>
                    <w:adjustRightInd/>
                    <w:snapToGrid w:val="0"/>
                    <w:spacing w:line="240" w:lineRule="auto"/>
                    <w:ind w:firstLine="436" w:firstLineChars="200"/>
                    <w:contextualSpacing/>
                    <w:jc w:val="both"/>
                    <w:textAlignment w:val="auto"/>
                    <w:rPr>
                      <w:rFonts w:hint="eastAsia" w:eastAsia="宋体"/>
                      <w:color w:val="auto"/>
                      <w:spacing w:val="4"/>
                      <w:kern w:val="18"/>
                      <w:sz w:val="21"/>
                      <w:szCs w:val="21"/>
                      <w:lang w:eastAsia="zh-CN"/>
                    </w:rPr>
                  </w:pPr>
                  <w:r>
                    <w:rPr>
                      <w:rFonts w:hint="eastAsia"/>
                      <w:b w:val="0"/>
                      <w:bCs w:val="0"/>
                      <w:color w:val="auto"/>
                      <w:spacing w:val="4"/>
                      <w:kern w:val="18"/>
                      <w:sz w:val="21"/>
                      <w:szCs w:val="21"/>
                      <w:lang w:eastAsia="zh-CN"/>
                    </w:rPr>
                    <w:t>本项目</w:t>
                  </w:r>
                  <w:r>
                    <w:rPr>
                      <w:rFonts w:hint="eastAsia"/>
                      <w:b w:val="0"/>
                      <w:bCs w:val="0"/>
                      <w:color w:val="auto"/>
                      <w:spacing w:val="4"/>
                      <w:kern w:val="18"/>
                      <w:sz w:val="21"/>
                      <w:szCs w:val="21"/>
                    </w:rPr>
                    <w:t>用水为市政</w:t>
                  </w:r>
                  <w:r>
                    <w:rPr>
                      <w:rFonts w:hint="eastAsia"/>
                      <w:b w:val="0"/>
                      <w:bCs w:val="0"/>
                      <w:color w:val="auto"/>
                      <w:spacing w:val="4"/>
                      <w:kern w:val="18"/>
                      <w:sz w:val="21"/>
                      <w:szCs w:val="21"/>
                      <w:lang w:val="en-US" w:eastAsia="zh-CN"/>
                    </w:rPr>
                    <w:t>供水</w:t>
                  </w:r>
                  <w:r>
                    <w:rPr>
                      <w:rFonts w:hint="eastAsia"/>
                      <w:b w:val="0"/>
                      <w:bCs w:val="0"/>
                      <w:color w:val="auto"/>
                      <w:spacing w:val="4"/>
                      <w:kern w:val="18"/>
                      <w:sz w:val="21"/>
                      <w:szCs w:val="21"/>
                    </w:rPr>
                    <w:t>管网供给，不涉及河道取水口，故无须设置生态专题</w:t>
                  </w:r>
                  <w:r>
                    <w:rPr>
                      <w:rFonts w:hint="eastAsia"/>
                      <w:b w:val="0"/>
                      <w:bCs w:val="0"/>
                      <w:color w:val="auto"/>
                      <w:spacing w:val="4"/>
                      <w:kern w:val="18"/>
                      <w:sz w:val="21"/>
                      <w:szCs w:val="21"/>
                      <w:lang w:eastAsia="zh-CN"/>
                    </w:rPr>
                    <w:t>。</w:t>
                  </w:r>
                </w:p>
              </w:tc>
              <w:tc>
                <w:tcPr>
                  <w:tcW w:w="663" w:type="dxa"/>
                  <w:tcBorders>
                    <w:tl2br w:val="nil"/>
                    <w:tr2bl w:val="nil"/>
                  </w:tcBorders>
                  <w:vAlign w:val="center"/>
                </w:tcPr>
                <w:p w14:paraId="276A1060">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contextualSpacing/>
                    <w:jc w:val="center"/>
                    <w:textAlignment w:val="auto"/>
                    <w:rPr>
                      <w:rFonts w:hint="default"/>
                      <w:b w:val="0"/>
                      <w:bCs w:val="0"/>
                      <w:color w:val="auto"/>
                      <w:spacing w:val="4"/>
                      <w:kern w:val="18"/>
                      <w:sz w:val="21"/>
                      <w:szCs w:val="21"/>
                      <w:lang w:val="en-US" w:eastAsia="zh-CN"/>
                    </w:rPr>
                  </w:pPr>
                  <w:r>
                    <w:rPr>
                      <w:rFonts w:hint="eastAsia"/>
                      <w:b w:val="0"/>
                      <w:bCs w:val="0"/>
                      <w:color w:val="auto"/>
                      <w:spacing w:val="4"/>
                      <w:kern w:val="18"/>
                      <w:sz w:val="21"/>
                      <w:szCs w:val="21"/>
                      <w:lang w:val="en-US" w:eastAsia="zh-CN"/>
                    </w:rPr>
                    <w:t>否</w:t>
                  </w:r>
                </w:p>
              </w:tc>
            </w:tr>
            <w:tr w14:paraId="4818F4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95" w:type="dxa"/>
                  <w:tcBorders>
                    <w:tl2br w:val="nil"/>
                    <w:tr2bl w:val="nil"/>
                  </w:tcBorders>
                  <w:vAlign w:val="center"/>
                </w:tcPr>
                <w:p w14:paraId="6E9F0B7A">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snapToGrid w:val="0"/>
                      <w:color w:val="auto"/>
                      <w:sz w:val="21"/>
                    </w:rPr>
                  </w:pPr>
                  <w:r>
                    <w:rPr>
                      <w:snapToGrid w:val="0"/>
                      <w:color w:val="auto"/>
                      <w:sz w:val="21"/>
                    </w:rPr>
                    <w:t>海洋</w:t>
                  </w:r>
                </w:p>
              </w:tc>
              <w:tc>
                <w:tcPr>
                  <w:tcW w:w="3194" w:type="dxa"/>
                  <w:tcBorders>
                    <w:tl2br w:val="nil"/>
                    <w:tr2bl w:val="nil"/>
                  </w:tcBorders>
                  <w:vAlign w:val="center"/>
                </w:tcPr>
                <w:p w14:paraId="4A349D26">
                  <w:pPr>
                    <w:keepNext w:val="0"/>
                    <w:keepLines w:val="0"/>
                    <w:pageBreakBefore w:val="0"/>
                    <w:kinsoku/>
                    <w:wordWrap/>
                    <w:overflowPunct/>
                    <w:topLinePunct w:val="0"/>
                    <w:autoSpaceDE/>
                    <w:autoSpaceDN/>
                    <w:bidi w:val="0"/>
                    <w:adjustRightInd/>
                    <w:snapToGrid w:val="0"/>
                    <w:spacing w:line="240" w:lineRule="auto"/>
                    <w:ind w:firstLine="420" w:firstLineChars="200"/>
                    <w:jc w:val="both"/>
                    <w:textAlignment w:val="auto"/>
                    <w:rPr>
                      <w:rFonts w:hint="eastAsia" w:eastAsia="宋体"/>
                      <w:snapToGrid w:val="0"/>
                      <w:color w:val="auto"/>
                      <w:sz w:val="21"/>
                      <w:lang w:eastAsia="zh-CN"/>
                    </w:rPr>
                  </w:pPr>
                  <w:r>
                    <w:rPr>
                      <w:snapToGrid w:val="0"/>
                      <w:color w:val="auto"/>
                      <w:sz w:val="21"/>
                    </w:rPr>
                    <w:t>直接向海排放污染物的海</w:t>
                  </w:r>
                  <w:r>
                    <w:rPr>
                      <w:rFonts w:hint="eastAsia"/>
                      <w:snapToGrid w:val="0"/>
                      <w:color w:val="auto"/>
                      <w:sz w:val="21"/>
                      <w:lang w:val="en-US" w:eastAsia="zh-CN"/>
                    </w:rPr>
                    <w:t>洋</w:t>
                  </w:r>
                  <w:r>
                    <w:rPr>
                      <w:snapToGrid w:val="0"/>
                      <w:color w:val="auto"/>
                      <w:sz w:val="21"/>
                    </w:rPr>
                    <w:cr/>
                  </w:r>
                  <w:r>
                    <w:rPr>
                      <w:snapToGrid w:val="0"/>
                      <w:color w:val="auto"/>
                      <w:sz w:val="21"/>
                    </w:rPr>
                    <w:t>工程建设项目</w:t>
                  </w:r>
                  <w:r>
                    <w:rPr>
                      <w:rFonts w:hint="eastAsia"/>
                      <w:snapToGrid w:val="0"/>
                      <w:color w:val="auto"/>
                      <w:sz w:val="21"/>
                      <w:lang w:eastAsia="zh-CN"/>
                    </w:rPr>
                    <w:t>。</w:t>
                  </w:r>
                </w:p>
              </w:tc>
              <w:tc>
                <w:tcPr>
                  <w:tcW w:w="3084" w:type="dxa"/>
                  <w:tcBorders>
                    <w:tl2br w:val="nil"/>
                    <w:tr2bl w:val="nil"/>
                  </w:tcBorders>
                  <w:vAlign w:val="center"/>
                </w:tcPr>
                <w:p w14:paraId="6C93BA98">
                  <w:pPr>
                    <w:keepNext w:val="0"/>
                    <w:keepLines w:val="0"/>
                    <w:pageBreakBefore w:val="0"/>
                    <w:widowControl/>
                    <w:kinsoku/>
                    <w:wordWrap/>
                    <w:overflowPunct/>
                    <w:topLinePunct w:val="0"/>
                    <w:autoSpaceDE/>
                    <w:autoSpaceDN/>
                    <w:bidi w:val="0"/>
                    <w:adjustRightInd/>
                    <w:snapToGrid w:val="0"/>
                    <w:spacing w:line="240" w:lineRule="auto"/>
                    <w:ind w:firstLine="436" w:firstLineChars="200"/>
                    <w:contextualSpacing/>
                    <w:jc w:val="both"/>
                    <w:textAlignment w:val="auto"/>
                    <w:rPr>
                      <w:rFonts w:hint="eastAsia" w:eastAsia="宋体"/>
                      <w:color w:val="auto"/>
                      <w:spacing w:val="4"/>
                      <w:kern w:val="18"/>
                      <w:sz w:val="21"/>
                      <w:szCs w:val="21"/>
                      <w:lang w:eastAsia="zh-CN"/>
                    </w:rPr>
                  </w:pPr>
                  <w:r>
                    <w:rPr>
                      <w:rFonts w:hint="eastAsia"/>
                      <w:b w:val="0"/>
                      <w:bCs w:val="0"/>
                      <w:color w:val="auto"/>
                      <w:spacing w:val="4"/>
                      <w:kern w:val="18"/>
                      <w:sz w:val="21"/>
                      <w:szCs w:val="21"/>
                      <w:lang w:eastAsia="zh-CN"/>
                    </w:rPr>
                    <w:t>本项目</w:t>
                  </w:r>
                  <w:r>
                    <w:rPr>
                      <w:rFonts w:hint="eastAsia"/>
                      <w:b w:val="0"/>
                      <w:bCs w:val="0"/>
                      <w:color w:val="auto"/>
                      <w:spacing w:val="4"/>
                      <w:kern w:val="18"/>
                      <w:sz w:val="21"/>
                      <w:szCs w:val="21"/>
                    </w:rPr>
                    <w:t>不属于直接向海排放污染物</w:t>
                  </w:r>
                  <w:r>
                    <w:rPr>
                      <w:rFonts w:hint="eastAsia"/>
                      <w:b w:val="0"/>
                      <w:bCs w:val="0"/>
                      <w:color w:val="auto"/>
                      <w:spacing w:val="4"/>
                      <w:kern w:val="18"/>
                      <w:sz w:val="21"/>
                      <w:szCs w:val="21"/>
                      <w:lang w:val="en-US" w:eastAsia="zh-CN"/>
                    </w:rPr>
                    <w:t>的海洋工程建设项目</w:t>
                  </w:r>
                  <w:r>
                    <w:rPr>
                      <w:rFonts w:hint="eastAsia"/>
                      <w:b w:val="0"/>
                      <w:bCs w:val="0"/>
                      <w:color w:val="auto"/>
                      <w:spacing w:val="4"/>
                      <w:kern w:val="18"/>
                      <w:sz w:val="21"/>
                      <w:szCs w:val="21"/>
                    </w:rPr>
                    <w:t>，故无须设置海洋专题</w:t>
                  </w:r>
                  <w:r>
                    <w:rPr>
                      <w:rFonts w:hint="eastAsia"/>
                      <w:b w:val="0"/>
                      <w:bCs w:val="0"/>
                      <w:color w:val="auto"/>
                      <w:spacing w:val="4"/>
                      <w:kern w:val="18"/>
                      <w:sz w:val="21"/>
                      <w:szCs w:val="21"/>
                      <w:lang w:eastAsia="zh-CN"/>
                    </w:rPr>
                    <w:t>。</w:t>
                  </w:r>
                </w:p>
              </w:tc>
              <w:tc>
                <w:tcPr>
                  <w:tcW w:w="663" w:type="dxa"/>
                  <w:tcBorders>
                    <w:tl2br w:val="nil"/>
                    <w:tr2bl w:val="nil"/>
                  </w:tcBorders>
                  <w:vAlign w:val="center"/>
                </w:tcPr>
                <w:p w14:paraId="407BCAFA">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contextualSpacing/>
                    <w:jc w:val="center"/>
                    <w:textAlignment w:val="auto"/>
                    <w:rPr>
                      <w:rFonts w:hint="default"/>
                      <w:b w:val="0"/>
                      <w:bCs w:val="0"/>
                      <w:color w:val="auto"/>
                      <w:spacing w:val="4"/>
                      <w:kern w:val="18"/>
                      <w:sz w:val="21"/>
                      <w:szCs w:val="21"/>
                      <w:lang w:val="en-US" w:eastAsia="zh-CN"/>
                    </w:rPr>
                  </w:pPr>
                  <w:r>
                    <w:rPr>
                      <w:rFonts w:hint="eastAsia"/>
                      <w:b w:val="0"/>
                      <w:bCs w:val="0"/>
                      <w:color w:val="auto"/>
                      <w:spacing w:val="4"/>
                      <w:kern w:val="18"/>
                      <w:sz w:val="21"/>
                      <w:szCs w:val="21"/>
                      <w:lang w:val="en-US" w:eastAsia="zh-CN"/>
                    </w:rPr>
                    <w:t>否</w:t>
                  </w:r>
                </w:p>
              </w:tc>
            </w:tr>
          </w:tbl>
          <w:p w14:paraId="341052DC">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b/>
                <w:bCs/>
                <w:snapToGrid w:val="0"/>
                <w:color w:val="auto"/>
                <w:sz w:val="21"/>
              </w:rPr>
            </w:pPr>
            <w:r>
              <w:rPr>
                <w:b/>
                <w:bCs/>
                <w:snapToGrid w:val="0"/>
                <w:color w:val="auto"/>
                <w:sz w:val="21"/>
              </w:rPr>
              <w:t>注：1.废气中有毒有害污染物指纳入《有毒有害大气污染物名录》的污染物（不包括无排放标准的污染物）。</w:t>
            </w:r>
          </w:p>
          <w:p w14:paraId="51976F3A">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b/>
                <w:bCs/>
                <w:snapToGrid w:val="0"/>
                <w:color w:val="auto"/>
                <w:sz w:val="21"/>
              </w:rPr>
            </w:pPr>
            <w:r>
              <w:rPr>
                <w:b/>
                <w:bCs/>
                <w:snapToGrid w:val="0"/>
                <w:color w:val="auto"/>
                <w:sz w:val="21"/>
              </w:rPr>
              <w:t>2.环境空气保护目标指自然保护区、风景名胜区、居住区、文化区和农村地区中人群较集中的区域。</w:t>
            </w:r>
          </w:p>
          <w:p w14:paraId="05CD7E49">
            <w:pPr>
              <w:keepNext w:val="0"/>
              <w:keepLines w:val="0"/>
              <w:pageBreakBefore w:val="0"/>
              <w:widowControl w:val="0"/>
              <w:kinsoku/>
              <w:wordWrap/>
              <w:overflowPunct/>
              <w:topLinePunct w:val="0"/>
              <w:autoSpaceDE/>
              <w:autoSpaceDN/>
              <w:bidi w:val="0"/>
              <w:adjustRightInd/>
              <w:snapToGrid/>
              <w:spacing w:line="240" w:lineRule="auto"/>
              <w:ind w:firstLine="480"/>
              <w:textAlignment w:val="auto"/>
              <w:rPr>
                <w:b/>
                <w:bCs/>
                <w:color w:val="auto"/>
              </w:rPr>
            </w:pPr>
            <w:r>
              <w:rPr>
                <w:b/>
                <w:bCs/>
                <w:snapToGrid w:val="0"/>
                <w:color w:val="auto"/>
                <w:sz w:val="21"/>
              </w:rPr>
              <w:t>3.临界量及其计算方法可参考《建设项目环境风险评价技术导则》（HJ169</w:t>
            </w:r>
            <w:r>
              <w:rPr>
                <w:rFonts w:hint="eastAsia"/>
                <w:b/>
                <w:bCs/>
                <w:snapToGrid w:val="0"/>
                <w:color w:val="auto"/>
                <w:sz w:val="21"/>
              </w:rPr>
              <w:t>-2018</w:t>
            </w:r>
            <w:r>
              <w:rPr>
                <w:b/>
                <w:bCs/>
                <w:snapToGrid w:val="0"/>
                <w:color w:val="auto"/>
                <w:sz w:val="21"/>
              </w:rPr>
              <w:t>）附录B、附录C。</w:t>
            </w:r>
          </w:p>
          <w:p w14:paraId="1CCF860E">
            <w:pPr>
              <w:keepNext w:val="0"/>
              <w:keepLines w:val="0"/>
              <w:pageBreakBefore w:val="0"/>
              <w:widowControl w:val="0"/>
              <w:kinsoku/>
              <w:wordWrap/>
              <w:overflowPunct/>
              <w:topLinePunct w:val="0"/>
              <w:autoSpaceDE/>
              <w:autoSpaceDN/>
              <w:bidi w:val="0"/>
              <w:adjustRightInd/>
              <w:snapToGrid/>
              <w:ind w:firstLine="480"/>
              <w:textAlignment w:val="auto"/>
              <w:rPr>
                <w:color w:val="FF0000"/>
              </w:rPr>
            </w:pPr>
            <w:r>
              <w:rPr>
                <w:color w:val="auto"/>
                <w:kern w:val="21"/>
                <w:sz w:val="24"/>
              </w:rPr>
              <w:t>依据表1-1可知，</w:t>
            </w:r>
            <w:r>
              <w:rPr>
                <w:rFonts w:hint="eastAsia"/>
                <w:color w:val="auto"/>
                <w:kern w:val="21"/>
                <w:sz w:val="24"/>
                <w:lang w:eastAsia="zh-CN"/>
              </w:rPr>
              <w:t>本项目</w:t>
            </w:r>
            <w:r>
              <w:rPr>
                <w:rFonts w:hint="eastAsia"/>
                <w:color w:val="auto"/>
                <w:kern w:val="21"/>
                <w:sz w:val="24"/>
                <w:lang w:val="en-US" w:eastAsia="zh-CN"/>
              </w:rPr>
              <w:t>无须</w:t>
            </w:r>
            <w:r>
              <w:rPr>
                <w:color w:val="auto"/>
                <w:kern w:val="21"/>
                <w:sz w:val="24"/>
              </w:rPr>
              <w:t>开展专项评价</w:t>
            </w:r>
            <w:r>
              <w:rPr>
                <w:rFonts w:hint="eastAsia"/>
                <w:color w:val="auto"/>
                <w:kern w:val="21"/>
                <w:sz w:val="24"/>
              </w:rPr>
              <w:t>。</w:t>
            </w:r>
          </w:p>
        </w:tc>
      </w:tr>
      <w:tr w14:paraId="4A45D8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776" w:type="pct"/>
            <w:vAlign w:val="center"/>
          </w:tcPr>
          <w:p w14:paraId="01D38327">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pPr>
            <w:r>
              <w:rPr>
                <w:rFonts w:hint="eastAsia"/>
              </w:rPr>
              <w:t>规划情况</w:t>
            </w:r>
          </w:p>
        </w:tc>
        <w:tc>
          <w:tcPr>
            <w:tcW w:w="4223" w:type="pct"/>
            <w:gridSpan w:val="3"/>
            <w:vAlign w:val="center"/>
          </w:tcPr>
          <w:p w14:paraId="7DF2991F">
            <w:pPr>
              <w:keepNext w:val="0"/>
              <w:keepLines w:val="0"/>
              <w:pageBreakBefore w:val="0"/>
              <w:widowControl w:val="0"/>
              <w:kinsoku/>
              <w:wordWrap w:val="0"/>
              <w:overflowPunct/>
              <w:topLinePunct w:val="0"/>
              <w:autoSpaceDE/>
              <w:autoSpaceDN/>
              <w:bidi w:val="0"/>
              <w:adjustRightInd/>
              <w:snapToGrid/>
              <w:ind w:left="0" w:leftChars="0" w:firstLine="480" w:firstLineChars="200"/>
              <w:jc w:val="both"/>
              <w:textAlignment w:val="auto"/>
              <w:rPr>
                <w:rFonts w:hint="eastAsia" w:eastAsia="宋体"/>
                <w:color w:val="FF0000"/>
                <w:lang w:eastAsia="zh-CN"/>
              </w:rPr>
            </w:pPr>
            <w:r>
              <w:rPr>
                <w:rFonts w:hint="eastAsia" w:eastAsia="宋体"/>
                <w:color w:val="FF0000"/>
                <w:lang w:eastAsia="zh-CN"/>
              </w:rPr>
              <w:t>规划名称：《</w:t>
            </w:r>
            <w:r>
              <w:rPr>
                <w:rFonts w:hint="eastAsia" w:eastAsia="宋体"/>
                <w:color w:val="FF0000"/>
                <w:lang w:val="en-US" w:eastAsia="zh-CN"/>
              </w:rPr>
              <w:t>柴桑区国土空间总体规划（2021-2035年）</w:t>
            </w:r>
            <w:r>
              <w:rPr>
                <w:rFonts w:hint="eastAsia" w:eastAsia="宋体"/>
                <w:color w:val="FF0000"/>
                <w:lang w:eastAsia="zh-CN"/>
              </w:rPr>
              <w:t>》</w:t>
            </w:r>
            <w:r>
              <w:rPr>
                <w:rFonts w:hint="eastAsia"/>
                <w:color w:val="FF0000"/>
                <w:lang w:eastAsia="zh-CN"/>
              </w:rPr>
              <w:t>；</w:t>
            </w:r>
          </w:p>
          <w:p w14:paraId="12C93655">
            <w:pPr>
              <w:keepNext w:val="0"/>
              <w:keepLines w:val="0"/>
              <w:pageBreakBefore w:val="0"/>
              <w:widowControl w:val="0"/>
              <w:kinsoku/>
              <w:wordWrap w:val="0"/>
              <w:overflowPunct/>
              <w:topLinePunct w:val="0"/>
              <w:autoSpaceDE/>
              <w:autoSpaceDN/>
              <w:bidi w:val="0"/>
              <w:adjustRightInd/>
              <w:snapToGrid/>
              <w:ind w:left="0" w:leftChars="0" w:firstLine="480" w:firstLineChars="200"/>
              <w:jc w:val="both"/>
              <w:textAlignment w:val="auto"/>
              <w:rPr>
                <w:rFonts w:hint="eastAsia" w:eastAsia="宋体"/>
                <w:color w:val="FF0000"/>
                <w:lang w:eastAsia="zh-CN"/>
              </w:rPr>
            </w:pPr>
            <w:r>
              <w:rPr>
                <w:rFonts w:hint="eastAsia" w:eastAsia="宋体"/>
                <w:color w:val="FF0000"/>
                <w:lang w:eastAsia="zh-CN"/>
              </w:rPr>
              <w:t>审批机关：江西省人民政府</w:t>
            </w:r>
            <w:r>
              <w:rPr>
                <w:rFonts w:hint="eastAsia"/>
                <w:color w:val="FF0000"/>
                <w:lang w:eastAsia="zh-CN"/>
              </w:rPr>
              <w:t>；</w:t>
            </w:r>
          </w:p>
          <w:p w14:paraId="30ACC3DA">
            <w:pPr>
              <w:keepNext w:val="0"/>
              <w:keepLines w:val="0"/>
              <w:pageBreakBefore w:val="0"/>
              <w:widowControl w:val="0"/>
              <w:kinsoku/>
              <w:wordWrap w:val="0"/>
              <w:overflowPunct/>
              <w:topLinePunct w:val="0"/>
              <w:autoSpaceDE/>
              <w:autoSpaceDN/>
              <w:bidi w:val="0"/>
              <w:adjustRightInd/>
              <w:snapToGrid/>
              <w:ind w:left="0" w:leftChars="0" w:firstLine="480" w:firstLineChars="200"/>
              <w:jc w:val="both"/>
              <w:textAlignment w:val="auto"/>
              <w:rPr>
                <w:rFonts w:hint="eastAsia" w:eastAsia="宋体"/>
                <w:color w:val="FF0000"/>
                <w:lang w:eastAsia="zh-CN"/>
              </w:rPr>
            </w:pPr>
            <w:r>
              <w:rPr>
                <w:rFonts w:hint="eastAsia" w:eastAsia="宋体"/>
                <w:color w:val="FF0000"/>
                <w:lang w:eastAsia="zh-CN"/>
              </w:rPr>
              <w:t>批复文号：赣府字〔</w:t>
            </w:r>
            <w:r>
              <w:rPr>
                <w:rFonts w:hint="eastAsia" w:eastAsia="宋体"/>
                <w:color w:val="FF0000"/>
                <w:lang w:val="en-US" w:eastAsia="zh-CN"/>
              </w:rPr>
              <w:t>2024</w:t>
            </w:r>
            <w:r>
              <w:rPr>
                <w:rFonts w:hint="eastAsia" w:eastAsia="宋体"/>
                <w:color w:val="FF0000"/>
                <w:lang w:eastAsia="zh-CN"/>
              </w:rPr>
              <w:t>〕</w:t>
            </w:r>
            <w:r>
              <w:rPr>
                <w:rFonts w:hint="eastAsia" w:eastAsia="宋体"/>
                <w:color w:val="FF0000"/>
                <w:lang w:val="en-US" w:eastAsia="zh-CN"/>
              </w:rPr>
              <w:t>20号</w:t>
            </w:r>
            <w:r>
              <w:rPr>
                <w:rFonts w:hint="eastAsia"/>
                <w:color w:val="FF0000"/>
                <w:lang w:val="en-US" w:eastAsia="zh-CN"/>
              </w:rPr>
              <w:t>。</w:t>
            </w:r>
          </w:p>
        </w:tc>
      </w:tr>
      <w:tr w14:paraId="160502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6" w:type="pct"/>
            <w:vAlign w:val="center"/>
          </w:tcPr>
          <w:p w14:paraId="695EC0A2">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pPr>
            <w:r>
              <w:rPr>
                <w:rFonts w:hint="eastAsia"/>
              </w:rPr>
              <w:t>规划环境影响评价情况</w:t>
            </w:r>
          </w:p>
        </w:tc>
        <w:tc>
          <w:tcPr>
            <w:tcW w:w="4223" w:type="pct"/>
            <w:gridSpan w:val="3"/>
            <w:vAlign w:val="center"/>
          </w:tcPr>
          <w:p w14:paraId="5939D534">
            <w:pPr>
              <w:keepNext w:val="0"/>
              <w:keepLines w:val="0"/>
              <w:pageBreakBefore w:val="0"/>
              <w:widowControl w:val="0"/>
              <w:kinsoku/>
              <w:wordWrap w:val="0"/>
              <w:overflowPunct/>
              <w:topLinePunct w:val="0"/>
              <w:autoSpaceDE/>
              <w:autoSpaceDN/>
              <w:bidi w:val="0"/>
              <w:adjustRightInd/>
              <w:snapToGrid/>
              <w:ind w:left="0" w:leftChars="0" w:firstLine="480" w:firstLineChars="200"/>
              <w:jc w:val="both"/>
              <w:textAlignment w:val="auto"/>
              <w:rPr>
                <w:rFonts w:hint="eastAsia" w:eastAsia="宋体"/>
                <w:color w:val="FF0000"/>
                <w:lang w:eastAsia="zh-CN"/>
              </w:rPr>
            </w:pPr>
            <w:r>
              <w:rPr>
                <w:rFonts w:hint="eastAsia"/>
                <w:color w:val="auto"/>
                <w:lang w:val="en-US" w:eastAsia="zh-CN"/>
              </w:rPr>
              <w:t>无</w:t>
            </w:r>
          </w:p>
        </w:tc>
      </w:tr>
      <w:tr w14:paraId="04DA1A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6" w:type="pct"/>
            <w:vAlign w:val="center"/>
          </w:tcPr>
          <w:p w14:paraId="25C7B173">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pPr>
            <w:r>
              <w:rPr>
                <w:rFonts w:hint="eastAsia"/>
              </w:rPr>
              <w:t>规划及规划环境影响评价符合性分析</w:t>
            </w:r>
          </w:p>
        </w:tc>
        <w:tc>
          <w:tcPr>
            <w:tcW w:w="4223" w:type="pct"/>
            <w:gridSpan w:val="3"/>
            <w:vAlign w:val="center"/>
          </w:tcPr>
          <w:p w14:paraId="7F70BE8B">
            <w:pPr>
              <w:keepNext w:val="0"/>
              <w:keepLines w:val="0"/>
              <w:pageBreakBefore w:val="0"/>
              <w:widowControl w:val="0"/>
              <w:kinsoku/>
              <w:wordWrap/>
              <w:overflowPunct/>
              <w:topLinePunct w:val="0"/>
              <w:autoSpaceDE/>
              <w:autoSpaceDN/>
              <w:bidi w:val="0"/>
              <w:adjustRightInd/>
              <w:snapToGrid/>
              <w:ind w:left="0" w:leftChars="0" w:firstLine="482" w:firstLineChars="200"/>
              <w:jc w:val="both"/>
              <w:textAlignment w:val="auto"/>
              <w:rPr>
                <w:b/>
                <w:bCs/>
                <w:color w:val="auto"/>
              </w:rPr>
            </w:pPr>
            <w:r>
              <w:rPr>
                <w:rFonts w:hint="eastAsia"/>
                <w:b/>
                <w:bCs/>
                <w:color w:val="auto"/>
                <w:lang w:val="en-US" w:eastAsia="zh-CN"/>
              </w:rPr>
              <w:t>1、项目</w:t>
            </w:r>
            <w:r>
              <w:rPr>
                <w:rFonts w:hint="eastAsia"/>
                <w:b/>
                <w:bCs/>
                <w:color w:val="auto"/>
                <w:lang w:eastAsia="zh-CN"/>
              </w:rPr>
              <w:t>与《</w:t>
            </w:r>
            <w:r>
              <w:rPr>
                <w:rFonts w:hint="eastAsia"/>
                <w:b/>
                <w:bCs/>
                <w:color w:val="auto"/>
                <w:lang w:val="en-US" w:eastAsia="zh-CN"/>
              </w:rPr>
              <w:t>柴桑区国土空间总体规划（2021-2035年）</w:t>
            </w:r>
            <w:r>
              <w:rPr>
                <w:rFonts w:hint="eastAsia"/>
                <w:b/>
                <w:bCs/>
                <w:color w:val="auto"/>
                <w:lang w:eastAsia="zh-CN"/>
              </w:rPr>
              <w:t>》</w:t>
            </w:r>
            <w:r>
              <w:rPr>
                <w:rFonts w:hint="eastAsia"/>
                <w:b/>
                <w:bCs/>
                <w:color w:val="auto"/>
                <w:lang w:val="en-US" w:eastAsia="zh-CN"/>
              </w:rPr>
              <w:t>相符性分析</w:t>
            </w:r>
          </w:p>
          <w:p w14:paraId="57B36C23">
            <w:pPr>
              <w:keepNext w:val="0"/>
              <w:keepLines w:val="0"/>
              <w:pageBreakBefore w:val="0"/>
              <w:widowControl w:val="0"/>
              <w:kinsoku/>
              <w:wordWrap/>
              <w:overflowPunct/>
              <w:topLinePunct w:val="0"/>
              <w:autoSpaceDE/>
              <w:autoSpaceDN/>
              <w:bidi w:val="0"/>
              <w:adjustRightInd/>
              <w:snapToGrid/>
              <w:ind w:left="0" w:leftChars="0" w:firstLine="480" w:firstLineChars="200"/>
              <w:jc w:val="both"/>
              <w:textAlignment w:val="auto"/>
              <w:rPr>
                <w:rFonts w:hint="eastAsia"/>
                <w:color w:val="auto"/>
                <w:lang w:eastAsia="zh-CN"/>
              </w:rPr>
            </w:pPr>
            <w:r>
              <w:rPr>
                <w:rFonts w:hint="eastAsia"/>
                <w:color w:val="auto"/>
                <w:lang w:eastAsia="zh-CN"/>
              </w:rPr>
              <w:t>《柴桑区国土空间总体规划（2021</w:t>
            </w:r>
            <w:r>
              <w:rPr>
                <w:rFonts w:hint="eastAsia"/>
                <w:b/>
                <w:bCs/>
                <w:color w:val="auto"/>
                <w:lang w:val="en-US" w:eastAsia="zh-CN"/>
              </w:rPr>
              <w:t>-</w:t>
            </w:r>
            <w:r>
              <w:rPr>
                <w:rFonts w:hint="eastAsia"/>
                <w:color w:val="auto"/>
                <w:lang w:eastAsia="zh-CN"/>
              </w:rPr>
              <w:t>2035年）》详细内容如下：</w:t>
            </w:r>
          </w:p>
          <w:p w14:paraId="60314622">
            <w:pPr>
              <w:keepNext w:val="0"/>
              <w:keepLines w:val="0"/>
              <w:pageBreakBefore w:val="0"/>
              <w:widowControl w:val="0"/>
              <w:kinsoku/>
              <w:wordWrap/>
              <w:overflowPunct/>
              <w:topLinePunct w:val="0"/>
              <w:autoSpaceDE/>
              <w:autoSpaceDN/>
              <w:bidi w:val="0"/>
              <w:adjustRightInd/>
              <w:snapToGrid/>
              <w:ind w:left="0" w:leftChars="0" w:firstLine="480" w:firstLineChars="200"/>
              <w:jc w:val="both"/>
              <w:textAlignment w:val="auto"/>
              <w:rPr>
                <w:rFonts w:hint="eastAsia"/>
                <w:color w:val="auto"/>
                <w:lang w:eastAsia="zh-CN"/>
              </w:rPr>
            </w:pPr>
            <w:r>
              <w:rPr>
                <w:rFonts w:hint="eastAsia"/>
                <w:color w:val="auto"/>
                <w:lang w:eastAsia="zh-CN"/>
              </w:rPr>
              <w:t>一、规划范围</w:t>
            </w:r>
          </w:p>
          <w:p w14:paraId="1DDDC092">
            <w:pPr>
              <w:keepNext w:val="0"/>
              <w:keepLines w:val="0"/>
              <w:pageBreakBefore w:val="0"/>
              <w:widowControl w:val="0"/>
              <w:kinsoku/>
              <w:wordWrap/>
              <w:overflowPunct/>
              <w:topLinePunct w:val="0"/>
              <w:autoSpaceDE/>
              <w:autoSpaceDN/>
              <w:bidi w:val="0"/>
              <w:adjustRightInd/>
              <w:snapToGrid/>
              <w:ind w:left="0" w:leftChars="0" w:firstLine="480" w:firstLineChars="200"/>
              <w:jc w:val="both"/>
              <w:textAlignment w:val="auto"/>
              <w:rPr>
                <w:rFonts w:hint="eastAsia"/>
                <w:color w:val="auto"/>
                <w:lang w:eastAsia="zh-CN"/>
              </w:rPr>
            </w:pPr>
            <w:r>
              <w:rPr>
                <w:rFonts w:hint="eastAsia"/>
                <w:color w:val="auto"/>
                <w:lang w:eastAsia="zh-CN"/>
              </w:rPr>
              <w:t>规划范围包括全域和中心城区两个层次。全域规划范围为柴桑区行政辖区所有乡镇（街道、场），总面积916.55平方公里；中心城区包含沙河街道、岳师街道、城门街道、狮子街道、港口街镇、永安乡、赛城湖街道等，总面积282.74平方公里。</w:t>
            </w:r>
          </w:p>
          <w:p w14:paraId="5AB1B65A">
            <w:pPr>
              <w:keepNext w:val="0"/>
              <w:keepLines w:val="0"/>
              <w:pageBreakBefore w:val="0"/>
              <w:widowControl w:val="0"/>
              <w:kinsoku/>
              <w:wordWrap/>
              <w:overflowPunct/>
              <w:topLinePunct w:val="0"/>
              <w:autoSpaceDE/>
              <w:autoSpaceDN/>
              <w:bidi w:val="0"/>
              <w:adjustRightInd/>
              <w:snapToGrid/>
              <w:ind w:left="0" w:leftChars="0" w:firstLine="480" w:firstLineChars="200"/>
              <w:jc w:val="both"/>
              <w:textAlignment w:val="auto"/>
              <w:rPr>
                <w:rFonts w:hint="eastAsia"/>
                <w:color w:val="auto"/>
                <w:lang w:eastAsia="zh-CN"/>
              </w:rPr>
            </w:pPr>
            <w:r>
              <w:rPr>
                <w:rFonts w:hint="eastAsia"/>
                <w:color w:val="auto"/>
                <w:lang w:eastAsia="zh-CN"/>
              </w:rPr>
              <w:t>二、规划期限</w:t>
            </w:r>
          </w:p>
          <w:p w14:paraId="68CC1159">
            <w:pPr>
              <w:keepNext w:val="0"/>
              <w:keepLines w:val="0"/>
              <w:pageBreakBefore w:val="0"/>
              <w:widowControl w:val="0"/>
              <w:kinsoku/>
              <w:wordWrap/>
              <w:overflowPunct/>
              <w:topLinePunct w:val="0"/>
              <w:autoSpaceDE/>
              <w:autoSpaceDN/>
              <w:bidi w:val="0"/>
              <w:adjustRightInd/>
              <w:snapToGrid/>
              <w:ind w:left="0" w:leftChars="0" w:firstLine="480" w:firstLineChars="200"/>
              <w:jc w:val="both"/>
              <w:textAlignment w:val="auto"/>
              <w:rPr>
                <w:rFonts w:hint="eastAsia"/>
                <w:color w:val="auto"/>
                <w:lang w:eastAsia="zh-CN"/>
              </w:rPr>
            </w:pPr>
            <w:r>
              <w:rPr>
                <w:rFonts w:hint="eastAsia"/>
                <w:color w:val="auto"/>
                <w:lang w:eastAsia="zh-CN"/>
              </w:rPr>
              <w:t>规划期限为2021年至2035年。规划基期年为2020年，近期目标年为2025年，远期目标年为2035年，远景展望至2050年。</w:t>
            </w:r>
          </w:p>
          <w:p w14:paraId="6C16A53F">
            <w:pPr>
              <w:keepNext w:val="0"/>
              <w:keepLines w:val="0"/>
              <w:pageBreakBefore w:val="0"/>
              <w:widowControl w:val="0"/>
              <w:kinsoku/>
              <w:wordWrap/>
              <w:overflowPunct/>
              <w:topLinePunct w:val="0"/>
              <w:autoSpaceDE/>
              <w:autoSpaceDN/>
              <w:bidi w:val="0"/>
              <w:adjustRightInd/>
              <w:snapToGrid/>
              <w:ind w:left="0" w:leftChars="0" w:firstLine="480" w:firstLineChars="200"/>
              <w:jc w:val="both"/>
              <w:textAlignment w:val="auto"/>
              <w:rPr>
                <w:rFonts w:hint="eastAsia"/>
                <w:color w:val="auto"/>
                <w:lang w:eastAsia="zh-CN"/>
              </w:rPr>
            </w:pPr>
            <w:r>
              <w:rPr>
                <w:rFonts w:hint="eastAsia"/>
                <w:color w:val="auto"/>
                <w:lang w:eastAsia="zh-CN"/>
              </w:rPr>
              <w:t>三、总体定位</w:t>
            </w:r>
          </w:p>
          <w:p w14:paraId="5C669A2D">
            <w:pPr>
              <w:keepNext w:val="0"/>
              <w:keepLines w:val="0"/>
              <w:pageBreakBefore w:val="0"/>
              <w:widowControl w:val="0"/>
              <w:kinsoku/>
              <w:wordWrap/>
              <w:overflowPunct/>
              <w:topLinePunct w:val="0"/>
              <w:autoSpaceDE/>
              <w:autoSpaceDN/>
              <w:bidi w:val="0"/>
              <w:adjustRightInd/>
              <w:snapToGrid/>
              <w:ind w:left="0" w:leftChars="0" w:firstLine="480" w:firstLineChars="200"/>
              <w:jc w:val="both"/>
              <w:textAlignment w:val="auto"/>
              <w:rPr>
                <w:rFonts w:hint="eastAsia"/>
                <w:color w:val="auto"/>
                <w:lang w:eastAsia="zh-CN"/>
              </w:rPr>
            </w:pPr>
            <w:r>
              <w:rPr>
                <w:rFonts w:hint="eastAsia"/>
                <w:color w:val="auto"/>
                <w:lang w:eastAsia="zh-CN"/>
              </w:rPr>
              <w:t>落实江西省委省政府、九江市委市政府的重要决策部署，落实上位规划发展定位要求，把柴桑区高标准建设成为赣北地区交通物流枢纽，以文化旅游和先进制造业为主的城市综合功能区，滨江环山城乡融合示范区。</w:t>
            </w:r>
          </w:p>
          <w:p w14:paraId="63D968B0">
            <w:pPr>
              <w:keepNext w:val="0"/>
              <w:keepLines w:val="0"/>
              <w:pageBreakBefore w:val="0"/>
              <w:widowControl w:val="0"/>
              <w:kinsoku/>
              <w:wordWrap/>
              <w:overflowPunct/>
              <w:topLinePunct w:val="0"/>
              <w:autoSpaceDE/>
              <w:autoSpaceDN/>
              <w:bidi w:val="0"/>
              <w:adjustRightInd/>
              <w:snapToGrid/>
              <w:ind w:left="0" w:leftChars="0" w:firstLine="480" w:firstLineChars="200"/>
              <w:jc w:val="both"/>
              <w:textAlignment w:val="auto"/>
              <w:rPr>
                <w:rFonts w:hint="eastAsia"/>
                <w:color w:val="auto"/>
                <w:lang w:eastAsia="zh-CN"/>
              </w:rPr>
            </w:pPr>
            <w:r>
              <w:rPr>
                <w:rFonts w:hint="eastAsia"/>
                <w:color w:val="auto"/>
                <w:lang w:eastAsia="zh-CN"/>
              </w:rPr>
              <w:t>四、统筹划定三条控制线</w:t>
            </w:r>
          </w:p>
          <w:p w14:paraId="353960F8">
            <w:pPr>
              <w:keepNext w:val="0"/>
              <w:keepLines w:val="0"/>
              <w:pageBreakBefore w:val="0"/>
              <w:widowControl w:val="0"/>
              <w:kinsoku/>
              <w:wordWrap/>
              <w:overflowPunct/>
              <w:topLinePunct w:val="0"/>
              <w:autoSpaceDE/>
              <w:autoSpaceDN/>
              <w:bidi w:val="0"/>
              <w:adjustRightInd/>
              <w:snapToGrid/>
              <w:ind w:left="0" w:leftChars="0" w:firstLine="480" w:firstLineChars="200"/>
              <w:jc w:val="both"/>
              <w:textAlignment w:val="auto"/>
              <w:rPr>
                <w:rFonts w:hint="eastAsia"/>
                <w:color w:val="auto"/>
                <w:lang w:eastAsia="zh-CN"/>
              </w:rPr>
            </w:pPr>
            <w:r>
              <w:rPr>
                <w:rFonts w:hint="eastAsia"/>
                <w:color w:val="auto"/>
                <w:lang w:eastAsia="zh-CN"/>
              </w:rPr>
              <w:t>规划至2035年，柴桑区划定耕地保有量不低于25.4005万亩，永久基本农田保护面积不低于17.7123万亩，生态保护红线面积不低于66.40平方公里，城镇开发边界面积不超过121.42平方公里。</w:t>
            </w:r>
          </w:p>
          <w:p w14:paraId="685996E2">
            <w:pPr>
              <w:keepNext w:val="0"/>
              <w:keepLines w:val="0"/>
              <w:pageBreakBefore w:val="0"/>
              <w:widowControl w:val="0"/>
              <w:kinsoku/>
              <w:wordWrap/>
              <w:overflowPunct/>
              <w:topLinePunct w:val="0"/>
              <w:autoSpaceDE/>
              <w:autoSpaceDN/>
              <w:bidi w:val="0"/>
              <w:adjustRightInd/>
              <w:snapToGrid/>
              <w:ind w:left="0" w:leftChars="0" w:firstLine="480" w:firstLineChars="200"/>
              <w:jc w:val="both"/>
              <w:textAlignment w:val="auto"/>
              <w:rPr>
                <w:rFonts w:hint="eastAsia"/>
                <w:color w:val="auto"/>
                <w:lang w:eastAsia="zh-CN"/>
              </w:rPr>
            </w:pPr>
            <w:r>
              <w:rPr>
                <w:rFonts w:hint="eastAsia"/>
                <w:color w:val="auto"/>
                <w:lang w:eastAsia="zh-CN"/>
              </w:rPr>
              <w:t>五、落实细化主体功能分区</w:t>
            </w:r>
          </w:p>
          <w:p w14:paraId="70B628D2">
            <w:pPr>
              <w:keepNext w:val="0"/>
              <w:keepLines w:val="0"/>
              <w:pageBreakBefore w:val="0"/>
              <w:widowControl w:val="0"/>
              <w:kinsoku/>
              <w:wordWrap/>
              <w:overflowPunct/>
              <w:topLinePunct w:val="0"/>
              <w:autoSpaceDE/>
              <w:autoSpaceDN/>
              <w:bidi w:val="0"/>
              <w:adjustRightInd/>
              <w:snapToGrid/>
              <w:ind w:left="0" w:leftChars="0" w:firstLine="480" w:firstLineChars="200"/>
              <w:jc w:val="both"/>
              <w:textAlignment w:val="auto"/>
              <w:rPr>
                <w:rFonts w:hint="eastAsia"/>
                <w:color w:val="auto"/>
                <w:lang w:eastAsia="zh-CN"/>
              </w:rPr>
            </w:pPr>
            <w:r>
              <w:rPr>
                <w:rFonts w:hint="eastAsia"/>
                <w:color w:val="auto"/>
                <w:lang w:eastAsia="zh-CN"/>
              </w:rPr>
              <w:t>按照省级主体功能分区，确定柴桑区主体功能区类型为国家级城市化地区，并以乡镇为单元对主体功能区进行细化，划分为农产品主产区和城市化地区。农产品主产区包括江洲镇、新合镇、岷山乡、涌泉乡等4个乡镇；城市化地区包括城门街道、城子镇、港口街镇、马回岭镇、沙河街道、狮子街道、新塘乡、岳师街道、永安乡、赛城湖街道等10个乡镇。</w:t>
            </w:r>
          </w:p>
          <w:p w14:paraId="659781B3">
            <w:pPr>
              <w:keepNext w:val="0"/>
              <w:keepLines w:val="0"/>
              <w:pageBreakBefore w:val="0"/>
              <w:widowControl w:val="0"/>
              <w:kinsoku/>
              <w:wordWrap/>
              <w:overflowPunct/>
              <w:topLinePunct w:val="0"/>
              <w:autoSpaceDE/>
              <w:autoSpaceDN/>
              <w:bidi w:val="0"/>
              <w:adjustRightInd/>
              <w:snapToGrid/>
              <w:ind w:left="0" w:leftChars="0" w:firstLine="480" w:firstLineChars="200"/>
              <w:jc w:val="both"/>
              <w:textAlignment w:val="auto"/>
              <w:rPr>
                <w:rFonts w:hint="eastAsia"/>
                <w:color w:val="auto"/>
                <w:lang w:eastAsia="zh-CN"/>
              </w:rPr>
            </w:pPr>
            <w:r>
              <w:rPr>
                <w:rFonts w:hint="eastAsia"/>
                <w:color w:val="auto"/>
                <w:lang w:eastAsia="zh-CN"/>
              </w:rPr>
              <w:t>六、国土空间开发保护总体格局</w:t>
            </w:r>
          </w:p>
          <w:p w14:paraId="41D842DF">
            <w:pPr>
              <w:keepNext w:val="0"/>
              <w:keepLines w:val="0"/>
              <w:pageBreakBefore w:val="0"/>
              <w:widowControl w:val="0"/>
              <w:kinsoku/>
              <w:wordWrap/>
              <w:overflowPunct/>
              <w:topLinePunct w:val="0"/>
              <w:autoSpaceDE/>
              <w:autoSpaceDN/>
              <w:bidi w:val="0"/>
              <w:adjustRightInd/>
              <w:snapToGrid/>
              <w:ind w:left="0" w:leftChars="0" w:firstLine="480" w:firstLineChars="200"/>
              <w:jc w:val="both"/>
              <w:textAlignment w:val="auto"/>
              <w:rPr>
                <w:rFonts w:hint="eastAsia"/>
                <w:color w:val="auto"/>
                <w:lang w:eastAsia="zh-CN"/>
              </w:rPr>
            </w:pPr>
            <w:r>
              <w:rPr>
                <w:rFonts w:hint="eastAsia"/>
                <w:color w:val="auto"/>
                <w:lang w:eastAsia="zh-CN"/>
              </w:rPr>
              <w:t>规划构建“一核引领、双屏守护、三轴驱动、五区互联”的总体格局。“一核”指中心城区城镇发展核心；“双屏”为株岭山－岷山生态屏障和庐山生态屏障。“三轴”为沿江产业发展轴、昌九特色城镇发展轴、九瑞乡村振兴发展轴。“五区”为东部江洲农业休闲发展区、北部沿江产业集群发展区、西部九瑞融合先导区、中部城乡融合示范区、南部农文旅联动发展区。</w:t>
            </w:r>
          </w:p>
          <w:p w14:paraId="54C950E4">
            <w:pPr>
              <w:keepNext w:val="0"/>
              <w:keepLines w:val="0"/>
              <w:pageBreakBefore w:val="0"/>
              <w:widowControl w:val="0"/>
              <w:kinsoku/>
              <w:wordWrap/>
              <w:overflowPunct/>
              <w:topLinePunct w:val="0"/>
              <w:autoSpaceDE/>
              <w:autoSpaceDN/>
              <w:bidi w:val="0"/>
              <w:adjustRightInd/>
              <w:snapToGrid/>
              <w:ind w:left="0" w:leftChars="0" w:firstLine="480" w:firstLineChars="200"/>
              <w:jc w:val="both"/>
              <w:textAlignment w:val="auto"/>
              <w:rPr>
                <w:rFonts w:hint="eastAsia"/>
                <w:color w:val="FF0000"/>
                <w:lang w:val="en-US" w:eastAsia="zh-CN"/>
              </w:rPr>
            </w:pPr>
            <w:r>
              <w:rPr>
                <w:rFonts w:hint="eastAsia"/>
                <w:color w:val="FF0000"/>
                <w:lang w:val="en-US" w:eastAsia="zh-CN"/>
              </w:rPr>
              <w:t>七、划定国土空间规划分区</w:t>
            </w:r>
          </w:p>
          <w:p w14:paraId="6D2297CD">
            <w:pPr>
              <w:keepNext w:val="0"/>
              <w:keepLines w:val="0"/>
              <w:pageBreakBefore w:val="0"/>
              <w:widowControl w:val="0"/>
              <w:kinsoku/>
              <w:wordWrap/>
              <w:overflowPunct/>
              <w:topLinePunct w:val="0"/>
              <w:autoSpaceDE/>
              <w:autoSpaceDN/>
              <w:bidi w:val="0"/>
              <w:adjustRightInd/>
              <w:snapToGrid/>
              <w:ind w:left="0" w:leftChars="0" w:firstLine="480" w:firstLineChars="200"/>
              <w:jc w:val="both"/>
              <w:textAlignment w:val="auto"/>
              <w:rPr>
                <w:rFonts w:hint="eastAsia"/>
                <w:color w:val="FF0000"/>
                <w:lang w:val="en-US" w:eastAsia="zh-CN"/>
              </w:rPr>
            </w:pPr>
            <w:r>
              <w:rPr>
                <w:rFonts w:hint="eastAsia"/>
                <w:color w:val="FF0000"/>
                <w:lang w:val="en-US" w:eastAsia="zh-CN"/>
              </w:rPr>
              <w:t>全区国土空间划分为生态保护区、生态控制区、农田保护区、城镇发展区、乡村发展区、矿产能源发展区等六大类，其中乡村发展区细分为村庄建设区、一般农业区、农田储备区、果茶业发展区、林业发展区、区域基础设施区、特殊用地区和自然保留区，并配套施行分区管制制度进行差异化管理。</w:t>
            </w:r>
          </w:p>
          <w:p w14:paraId="0BD6C20B">
            <w:pPr>
              <w:keepNext w:val="0"/>
              <w:keepLines w:val="0"/>
              <w:pageBreakBefore w:val="0"/>
              <w:widowControl w:val="0"/>
              <w:kinsoku/>
              <w:wordWrap/>
              <w:overflowPunct/>
              <w:topLinePunct w:val="0"/>
              <w:autoSpaceDE/>
              <w:autoSpaceDN/>
              <w:bidi w:val="0"/>
              <w:adjustRightInd/>
              <w:snapToGrid/>
              <w:ind w:left="0" w:leftChars="0" w:firstLine="480" w:firstLineChars="200"/>
              <w:jc w:val="both"/>
              <w:textAlignment w:val="auto"/>
              <w:rPr>
                <w:rFonts w:hint="eastAsia"/>
                <w:color w:val="FF0000"/>
                <w:lang w:val="en-US" w:eastAsia="zh-CN"/>
              </w:rPr>
            </w:pPr>
            <w:r>
              <w:rPr>
                <w:rFonts w:hint="eastAsia"/>
                <w:color w:val="FF0000"/>
                <w:lang w:val="en-US" w:eastAsia="zh-CN"/>
              </w:rPr>
              <w:t>八、城乡公共服务中心体系</w:t>
            </w:r>
          </w:p>
          <w:p w14:paraId="5D8DFF1E">
            <w:pPr>
              <w:keepNext w:val="0"/>
              <w:keepLines w:val="0"/>
              <w:pageBreakBefore w:val="0"/>
              <w:widowControl w:val="0"/>
              <w:kinsoku/>
              <w:wordWrap/>
              <w:overflowPunct/>
              <w:topLinePunct w:val="0"/>
              <w:autoSpaceDE/>
              <w:autoSpaceDN/>
              <w:bidi w:val="0"/>
              <w:adjustRightInd/>
              <w:snapToGrid/>
              <w:ind w:left="0" w:leftChars="0" w:firstLine="480" w:firstLineChars="200"/>
              <w:jc w:val="both"/>
              <w:textAlignment w:val="auto"/>
              <w:rPr>
                <w:rFonts w:hint="eastAsia"/>
                <w:color w:val="FF0000"/>
                <w:lang w:val="en-US" w:eastAsia="zh-CN"/>
              </w:rPr>
            </w:pPr>
            <w:r>
              <w:rPr>
                <w:rFonts w:hint="eastAsia"/>
                <w:color w:val="FF0000"/>
                <w:lang w:val="en-US" w:eastAsia="zh-CN"/>
              </w:rPr>
              <w:t>结合城镇体系结构，规划完善城乡公共服务设施体系建设，打造“区+乡镇+村”三级公共服务设施体系，明确各级服务设施的配置思路和标准。以“城乡生活圈”为抓手，依托区级中心构建30分钟城乡生活圈，依据重点镇、一般镇镇区构建15分钟城乡生活圈，依托中心村、一般村构建乡村10分钟社区生活圈。</w:t>
            </w:r>
          </w:p>
          <w:p w14:paraId="15FF8CA2">
            <w:pPr>
              <w:keepNext w:val="0"/>
              <w:keepLines w:val="0"/>
              <w:pageBreakBefore w:val="0"/>
              <w:widowControl w:val="0"/>
              <w:kinsoku/>
              <w:wordWrap/>
              <w:overflowPunct/>
              <w:topLinePunct w:val="0"/>
              <w:autoSpaceDE/>
              <w:autoSpaceDN/>
              <w:bidi w:val="0"/>
              <w:adjustRightInd/>
              <w:snapToGrid/>
              <w:ind w:left="0" w:leftChars="0" w:firstLine="480" w:firstLineChars="200"/>
              <w:jc w:val="both"/>
              <w:textAlignment w:val="auto"/>
              <w:rPr>
                <w:rFonts w:hint="eastAsia"/>
                <w:color w:val="FF0000"/>
                <w:lang w:val="en-US" w:eastAsia="zh-CN"/>
              </w:rPr>
            </w:pPr>
            <w:r>
              <w:rPr>
                <w:rFonts w:hint="eastAsia"/>
                <w:color w:val="FF0000"/>
                <w:lang w:val="en-US" w:eastAsia="zh-CN"/>
              </w:rPr>
              <w:t>九、综合交通体系</w:t>
            </w:r>
          </w:p>
          <w:p w14:paraId="29E13F13">
            <w:pPr>
              <w:keepNext w:val="0"/>
              <w:keepLines w:val="0"/>
              <w:pageBreakBefore w:val="0"/>
              <w:widowControl w:val="0"/>
              <w:kinsoku/>
              <w:wordWrap/>
              <w:overflowPunct/>
              <w:topLinePunct w:val="0"/>
              <w:autoSpaceDE/>
              <w:autoSpaceDN/>
              <w:bidi w:val="0"/>
              <w:adjustRightInd/>
              <w:snapToGrid/>
              <w:ind w:left="0" w:leftChars="0" w:firstLine="480" w:firstLineChars="200"/>
              <w:jc w:val="both"/>
              <w:textAlignment w:val="auto"/>
              <w:rPr>
                <w:rFonts w:hint="eastAsia"/>
                <w:color w:val="FF0000"/>
                <w:lang w:val="en-US" w:eastAsia="zh-CN"/>
              </w:rPr>
            </w:pPr>
            <w:r>
              <w:rPr>
                <w:rFonts w:hint="eastAsia"/>
                <w:color w:val="FF0000"/>
                <w:lang w:val="en-US" w:eastAsia="zh-CN"/>
              </w:rPr>
              <w:t>以高速铁路、高速公路、长江主航道、航空网及信息高速公路为主干，普通铁路、普通国省干线公路为补充，支撑九江市建设区域航运中心和全国性综合交通枢纽。</w:t>
            </w:r>
          </w:p>
          <w:p w14:paraId="09E5AE55">
            <w:pPr>
              <w:keepNext w:val="0"/>
              <w:keepLines w:val="0"/>
              <w:pageBreakBefore w:val="0"/>
              <w:widowControl w:val="0"/>
              <w:kinsoku/>
              <w:wordWrap/>
              <w:overflowPunct/>
              <w:topLinePunct w:val="0"/>
              <w:autoSpaceDE/>
              <w:autoSpaceDN/>
              <w:bidi w:val="0"/>
              <w:adjustRightInd/>
              <w:snapToGrid/>
              <w:ind w:left="0" w:leftChars="0" w:firstLine="480" w:firstLineChars="200"/>
              <w:jc w:val="both"/>
              <w:textAlignment w:val="auto"/>
              <w:rPr>
                <w:rFonts w:hint="eastAsia"/>
                <w:color w:val="FF0000"/>
                <w:lang w:val="en-US" w:eastAsia="zh-CN"/>
              </w:rPr>
            </w:pPr>
            <w:r>
              <w:rPr>
                <w:rFonts w:hint="eastAsia"/>
                <w:color w:val="FF0000"/>
                <w:lang w:val="en-US" w:eastAsia="zh-CN"/>
              </w:rPr>
              <w:t>规划构建“两横两纵”的高速公路网络。“两横”指东西向杭瑞高速与九江市城区段高速南移形成的绕柴桑区城南的高速横线，杭瑞高速（都九段）往西延伸途经德安县连接永武高速的连接线。“两纵”指昌九、福银高速形成的贯穿柴桑区南北的高速通道，绕城高速江洲段过江通道。</w:t>
            </w:r>
          </w:p>
          <w:p w14:paraId="04E43BFD">
            <w:pPr>
              <w:keepNext w:val="0"/>
              <w:keepLines w:val="0"/>
              <w:pageBreakBefore w:val="0"/>
              <w:widowControl w:val="0"/>
              <w:kinsoku/>
              <w:wordWrap/>
              <w:overflowPunct/>
              <w:topLinePunct w:val="0"/>
              <w:autoSpaceDE/>
              <w:autoSpaceDN/>
              <w:bidi w:val="0"/>
              <w:adjustRightInd/>
              <w:snapToGrid/>
              <w:ind w:left="0" w:leftChars="0" w:firstLine="480" w:firstLineChars="200"/>
              <w:jc w:val="both"/>
              <w:textAlignment w:val="auto"/>
              <w:rPr>
                <w:rFonts w:hint="eastAsia"/>
                <w:color w:val="FF0000"/>
                <w:lang w:val="en-US" w:eastAsia="zh-CN"/>
              </w:rPr>
            </w:pPr>
            <w:r>
              <w:rPr>
                <w:rFonts w:hint="eastAsia"/>
                <w:color w:val="FF0000"/>
                <w:lang w:val="en-US" w:eastAsia="zh-CN"/>
              </w:rPr>
              <w:t>规划构建“三横两纵”的国省道干线路网。“三横”指国道台州至小金（G351）、省道温泉至马回岭（S506）、省道赛阳至肇陈（S301）。“两纵”指国道北京至澳门（G105）西移改线、省道昌九大道（S215）。升级改造县级、乡级道路，力争县道达到三级公路标准，乡道达到四级公路标准以上。</w:t>
            </w:r>
          </w:p>
          <w:p w14:paraId="24B8F3B4">
            <w:pPr>
              <w:keepNext w:val="0"/>
              <w:keepLines w:val="0"/>
              <w:pageBreakBefore w:val="0"/>
              <w:widowControl w:val="0"/>
              <w:kinsoku/>
              <w:wordWrap/>
              <w:overflowPunct/>
              <w:topLinePunct w:val="0"/>
              <w:autoSpaceDE/>
              <w:autoSpaceDN/>
              <w:bidi w:val="0"/>
              <w:adjustRightInd/>
              <w:snapToGrid/>
              <w:ind w:left="0" w:leftChars="0" w:firstLine="480" w:firstLineChars="200"/>
              <w:jc w:val="both"/>
              <w:textAlignment w:val="auto"/>
              <w:rPr>
                <w:rFonts w:hint="eastAsia"/>
                <w:color w:val="FF0000"/>
                <w:lang w:val="en-US" w:eastAsia="zh-CN"/>
              </w:rPr>
            </w:pPr>
            <w:r>
              <w:rPr>
                <w:rFonts w:hint="eastAsia"/>
                <w:color w:val="FF0000"/>
                <w:lang w:val="en-US" w:eastAsia="zh-CN"/>
              </w:rPr>
              <w:t>规划构建“四横六纵”铁路网络。“四横”指武九客专、武九铁路、长昌（九）铁路、常岳九铁路；“六纵”指昌九城际、京港高铁安九段、京九铁路、昌九客专、京九铁路二通道、沙浔铁路。</w:t>
            </w:r>
          </w:p>
          <w:p w14:paraId="005933A1">
            <w:pPr>
              <w:keepNext w:val="0"/>
              <w:keepLines w:val="0"/>
              <w:pageBreakBefore w:val="0"/>
              <w:widowControl w:val="0"/>
              <w:kinsoku/>
              <w:wordWrap/>
              <w:overflowPunct/>
              <w:topLinePunct w:val="0"/>
              <w:autoSpaceDE/>
              <w:autoSpaceDN/>
              <w:bidi w:val="0"/>
              <w:adjustRightInd/>
              <w:snapToGrid/>
              <w:ind w:left="0" w:leftChars="0" w:firstLine="480" w:firstLineChars="200"/>
              <w:jc w:val="both"/>
              <w:textAlignment w:val="auto"/>
              <w:rPr>
                <w:rFonts w:hint="eastAsia"/>
                <w:color w:val="FF0000"/>
                <w:lang w:val="en-US" w:eastAsia="zh-CN"/>
              </w:rPr>
            </w:pPr>
            <w:r>
              <w:rPr>
                <w:rFonts w:hint="eastAsia"/>
                <w:color w:val="FF0000"/>
                <w:lang w:val="en-US" w:eastAsia="zh-CN"/>
              </w:rPr>
              <w:t>十、中心城区空间布局</w:t>
            </w:r>
          </w:p>
          <w:p w14:paraId="4B53AF1E">
            <w:pPr>
              <w:keepNext w:val="0"/>
              <w:keepLines w:val="0"/>
              <w:pageBreakBefore w:val="0"/>
              <w:widowControl w:val="0"/>
              <w:kinsoku/>
              <w:wordWrap/>
              <w:overflowPunct/>
              <w:topLinePunct w:val="0"/>
              <w:autoSpaceDE/>
              <w:autoSpaceDN/>
              <w:bidi w:val="0"/>
              <w:adjustRightInd/>
              <w:snapToGrid/>
              <w:ind w:left="0" w:leftChars="0" w:firstLine="480" w:firstLineChars="200"/>
              <w:jc w:val="both"/>
              <w:textAlignment w:val="auto"/>
              <w:rPr>
                <w:rFonts w:hint="eastAsia"/>
                <w:color w:val="FF0000"/>
                <w:lang w:val="en-US" w:eastAsia="zh-CN"/>
              </w:rPr>
            </w:pPr>
            <w:r>
              <w:rPr>
                <w:rFonts w:hint="eastAsia"/>
                <w:color w:val="FF0000"/>
                <w:lang w:val="en-US" w:eastAsia="zh-CN"/>
              </w:rPr>
              <w:t>优化功能布局和空间结构，提升城市能级，发挥柴桑区在市中心城区的突出作用和地位。落实上位规划总体结构，依托自然地理格局和空间特征，塑造“一核三片、两轴两带”的中心城区空间格局。“一核”由高铁新区核心区与柴桑老城区共同构成；“三片”为柴桑片区、赛城湖片区和城西片区；“两带”指滨江景观带和环赛城湖生态景观带；“两轴”为“八里湖大道-双瑞大道”横向轴和“通江大道”纵向轴。</w:t>
            </w:r>
          </w:p>
          <w:p w14:paraId="46EE9972">
            <w:pPr>
              <w:keepNext w:val="0"/>
              <w:keepLines w:val="0"/>
              <w:pageBreakBefore w:val="0"/>
              <w:widowControl w:val="0"/>
              <w:kinsoku/>
              <w:wordWrap/>
              <w:overflowPunct/>
              <w:topLinePunct w:val="0"/>
              <w:autoSpaceDE/>
              <w:autoSpaceDN/>
              <w:bidi w:val="0"/>
              <w:adjustRightInd/>
              <w:snapToGrid/>
              <w:ind w:left="0" w:leftChars="0" w:firstLine="480" w:firstLineChars="200"/>
              <w:jc w:val="both"/>
              <w:textAlignment w:val="auto"/>
              <w:rPr>
                <w:rFonts w:hint="eastAsia"/>
                <w:color w:val="FF0000"/>
                <w:lang w:val="en-US" w:eastAsia="zh-CN"/>
              </w:rPr>
            </w:pPr>
            <w:r>
              <w:rPr>
                <w:rFonts w:hint="eastAsia"/>
                <w:color w:val="FF0000"/>
                <w:lang w:val="en-US" w:eastAsia="zh-CN"/>
              </w:rPr>
              <w:t>中心城区城镇开发边界面积为112.87平方公里，新增建设指标重点向居住、公共管理与公共服务、绿地开敞空间、交通运输、产业发展等功能倾斜。重点满足“十四五”期间重大项目落地需求，合理保障高铁新区、赛城湖新城等重点发展平台的建设用地空间。</w:t>
            </w:r>
          </w:p>
          <w:p w14:paraId="4EFA5D68">
            <w:pPr>
              <w:keepNext w:val="0"/>
              <w:keepLines w:val="0"/>
              <w:pageBreakBefore w:val="0"/>
              <w:widowControl w:val="0"/>
              <w:kinsoku/>
              <w:wordWrap/>
              <w:overflowPunct/>
              <w:topLinePunct w:val="0"/>
              <w:autoSpaceDE/>
              <w:autoSpaceDN/>
              <w:bidi w:val="0"/>
              <w:adjustRightInd/>
              <w:snapToGrid/>
              <w:ind w:left="0" w:leftChars="0" w:firstLine="480" w:firstLineChars="200"/>
              <w:jc w:val="both"/>
              <w:textAlignment w:val="auto"/>
              <w:rPr>
                <w:rFonts w:hint="eastAsia"/>
                <w:color w:val="FF0000"/>
                <w:lang w:val="en-US" w:eastAsia="zh-CN"/>
              </w:rPr>
            </w:pPr>
            <w:r>
              <w:rPr>
                <w:rFonts w:hint="eastAsia"/>
                <w:color w:val="FF0000"/>
                <w:lang w:val="en-US" w:eastAsia="zh-CN"/>
              </w:rPr>
              <w:t>十一、规划特色</w:t>
            </w:r>
          </w:p>
          <w:p w14:paraId="6CEEF099">
            <w:pPr>
              <w:keepNext w:val="0"/>
              <w:keepLines w:val="0"/>
              <w:pageBreakBefore w:val="0"/>
              <w:widowControl w:val="0"/>
              <w:kinsoku/>
              <w:wordWrap/>
              <w:overflowPunct/>
              <w:topLinePunct w:val="0"/>
              <w:autoSpaceDE/>
              <w:autoSpaceDN/>
              <w:bidi w:val="0"/>
              <w:adjustRightInd/>
              <w:snapToGrid/>
              <w:ind w:left="0" w:leftChars="0" w:firstLine="480" w:firstLineChars="200"/>
              <w:jc w:val="both"/>
              <w:textAlignment w:val="auto"/>
              <w:rPr>
                <w:rFonts w:hint="eastAsia"/>
                <w:color w:val="FF0000"/>
                <w:lang w:val="en-US" w:eastAsia="zh-CN"/>
              </w:rPr>
            </w:pPr>
            <w:r>
              <w:rPr>
                <w:rFonts w:hint="eastAsia"/>
                <w:color w:val="FF0000"/>
                <w:lang w:val="en-US" w:eastAsia="zh-CN"/>
              </w:rPr>
              <w:t>1、传承历史文脉，彰显地域特色</w:t>
            </w:r>
          </w:p>
          <w:p w14:paraId="38B62DB6">
            <w:pPr>
              <w:keepNext w:val="0"/>
              <w:keepLines w:val="0"/>
              <w:pageBreakBefore w:val="0"/>
              <w:widowControl w:val="0"/>
              <w:kinsoku/>
              <w:wordWrap/>
              <w:overflowPunct/>
              <w:topLinePunct w:val="0"/>
              <w:autoSpaceDE/>
              <w:autoSpaceDN/>
              <w:bidi w:val="0"/>
              <w:adjustRightInd/>
              <w:snapToGrid/>
              <w:ind w:left="0" w:leftChars="0" w:firstLine="480" w:firstLineChars="200"/>
              <w:jc w:val="both"/>
              <w:textAlignment w:val="auto"/>
              <w:rPr>
                <w:rFonts w:hint="eastAsia"/>
                <w:color w:val="FF0000"/>
                <w:lang w:val="en-US" w:eastAsia="zh-CN"/>
              </w:rPr>
            </w:pPr>
            <w:r>
              <w:rPr>
                <w:rFonts w:hint="eastAsia"/>
                <w:color w:val="FF0000"/>
                <w:lang w:val="en-US" w:eastAsia="zh-CN"/>
              </w:rPr>
              <w:t>规划充分彰显了柴桑区“靠山、临湖、沿江”的地域特色，明确了“诗画田园、古韵柴桑”的魅力建设要求；强化了历史文化保护，深度挖掘城市内涵，加大对传统文化保护与传承，以“文化+”为载体，推动发展文旅休闲产业。</w:t>
            </w:r>
          </w:p>
          <w:p w14:paraId="6D18DFA1">
            <w:pPr>
              <w:keepNext w:val="0"/>
              <w:keepLines w:val="0"/>
              <w:pageBreakBefore w:val="0"/>
              <w:widowControl w:val="0"/>
              <w:kinsoku/>
              <w:wordWrap/>
              <w:overflowPunct/>
              <w:topLinePunct w:val="0"/>
              <w:autoSpaceDE/>
              <w:autoSpaceDN/>
              <w:bidi w:val="0"/>
              <w:adjustRightInd/>
              <w:snapToGrid/>
              <w:ind w:left="0" w:leftChars="0" w:firstLine="480" w:firstLineChars="200"/>
              <w:jc w:val="both"/>
              <w:textAlignment w:val="auto"/>
              <w:rPr>
                <w:rFonts w:hint="eastAsia"/>
                <w:color w:val="FF0000"/>
                <w:lang w:val="en-US" w:eastAsia="zh-CN"/>
              </w:rPr>
            </w:pPr>
            <w:r>
              <w:rPr>
                <w:rFonts w:hint="eastAsia"/>
                <w:color w:val="FF0000"/>
                <w:lang w:val="en-US" w:eastAsia="zh-CN"/>
              </w:rPr>
              <w:t>2、落实底线约束，强化风貌管控</w:t>
            </w:r>
          </w:p>
          <w:p w14:paraId="12368ECB">
            <w:pPr>
              <w:keepNext w:val="0"/>
              <w:keepLines w:val="0"/>
              <w:pageBreakBefore w:val="0"/>
              <w:widowControl w:val="0"/>
              <w:kinsoku/>
              <w:wordWrap/>
              <w:overflowPunct/>
              <w:topLinePunct w:val="0"/>
              <w:autoSpaceDE/>
              <w:autoSpaceDN/>
              <w:bidi w:val="0"/>
              <w:adjustRightInd/>
              <w:snapToGrid/>
              <w:ind w:left="0" w:leftChars="0" w:firstLine="480" w:firstLineChars="200"/>
              <w:jc w:val="both"/>
              <w:textAlignment w:val="auto"/>
              <w:rPr>
                <w:rFonts w:hint="eastAsia"/>
                <w:color w:val="FF0000"/>
                <w:lang w:val="en-US" w:eastAsia="zh-CN"/>
              </w:rPr>
            </w:pPr>
            <w:r>
              <w:rPr>
                <w:rFonts w:hint="eastAsia"/>
                <w:color w:val="FF0000"/>
                <w:lang w:val="en-US" w:eastAsia="zh-CN"/>
              </w:rPr>
              <w:t>严格落实“长江大保护”要求，对河湖水域空间管控和沿江港口岸线利用提出明确的布局要求；强化沿江、环山、滨湖周边地区的风貌管控，促进山水景观与城区之间相互渗透，塑造城在景中、景融城中的特色风貌。</w:t>
            </w:r>
          </w:p>
          <w:p w14:paraId="1D738433">
            <w:pPr>
              <w:keepNext w:val="0"/>
              <w:keepLines w:val="0"/>
              <w:pageBreakBefore w:val="0"/>
              <w:widowControl w:val="0"/>
              <w:kinsoku/>
              <w:wordWrap/>
              <w:overflowPunct/>
              <w:topLinePunct w:val="0"/>
              <w:autoSpaceDE/>
              <w:autoSpaceDN/>
              <w:bidi w:val="0"/>
              <w:adjustRightInd/>
              <w:snapToGrid/>
              <w:ind w:left="0" w:leftChars="0" w:firstLine="480" w:firstLineChars="200"/>
              <w:jc w:val="both"/>
              <w:textAlignment w:val="auto"/>
              <w:rPr>
                <w:rFonts w:hint="eastAsia"/>
                <w:color w:val="FF0000"/>
                <w:lang w:val="en-US" w:eastAsia="zh-CN"/>
              </w:rPr>
            </w:pPr>
            <w:r>
              <w:rPr>
                <w:rFonts w:hint="eastAsia"/>
                <w:color w:val="FF0000"/>
                <w:lang w:val="en-US" w:eastAsia="zh-CN"/>
              </w:rPr>
              <w:t>3、推动产城一体，促进城乡融合</w:t>
            </w:r>
          </w:p>
          <w:p w14:paraId="5530B146">
            <w:pPr>
              <w:keepNext w:val="0"/>
              <w:keepLines w:val="0"/>
              <w:pageBreakBefore w:val="0"/>
              <w:widowControl w:val="0"/>
              <w:kinsoku/>
              <w:wordWrap/>
              <w:overflowPunct/>
              <w:topLinePunct w:val="0"/>
              <w:autoSpaceDE/>
              <w:autoSpaceDN/>
              <w:bidi w:val="0"/>
              <w:adjustRightInd/>
              <w:snapToGrid/>
              <w:ind w:left="0" w:leftChars="0" w:firstLine="480" w:firstLineChars="200"/>
              <w:jc w:val="both"/>
              <w:textAlignment w:val="auto"/>
              <w:rPr>
                <w:rFonts w:hint="eastAsia"/>
                <w:color w:val="FF0000"/>
                <w:lang w:val="en-US" w:eastAsia="zh-CN"/>
              </w:rPr>
            </w:pPr>
            <w:r>
              <w:rPr>
                <w:rFonts w:hint="eastAsia"/>
                <w:color w:val="FF0000"/>
                <w:lang w:val="en-US" w:eastAsia="zh-CN"/>
              </w:rPr>
              <w:t>积极融入全市“万亿临港产业带”和“昌九工业发展轴”，统筹产业和城市空间布局，推动开发区由单一的生产型园区经济向综合型城市经济转型；构建城乡一体化设施布局，为全面保障乡村振兴发展提供空间支撑。</w:t>
            </w:r>
          </w:p>
          <w:p w14:paraId="28826CBA">
            <w:pPr>
              <w:keepNext w:val="0"/>
              <w:keepLines w:val="0"/>
              <w:pageBreakBefore w:val="0"/>
              <w:widowControl w:val="0"/>
              <w:kinsoku/>
              <w:wordWrap/>
              <w:overflowPunct/>
              <w:topLinePunct w:val="0"/>
              <w:autoSpaceDE/>
              <w:autoSpaceDN/>
              <w:bidi w:val="0"/>
              <w:adjustRightInd/>
              <w:snapToGrid/>
              <w:ind w:left="0" w:leftChars="0" w:firstLine="480" w:firstLineChars="200"/>
              <w:jc w:val="both"/>
              <w:textAlignment w:val="auto"/>
              <w:rPr>
                <w:rFonts w:hint="eastAsia"/>
                <w:color w:val="FF0000"/>
                <w:lang w:val="en-US" w:eastAsia="zh-CN"/>
              </w:rPr>
            </w:pPr>
            <w:r>
              <w:rPr>
                <w:rFonts w:hint="eastAsia"/>
                <w:color w:val="FF0000"/>
                <w:lang w:val="en-US" w:eastAsia="zh-CN"/>
              </w:rPr>
              <w:t>十二、建立国土空间规划体系</w:t>
            </w:r>
          </w:p>
          <w:p w14:paraId="1A7FB0C4">
            <w:pPr>
              <w:keepNext w:val="0"/>
              <w:keepLines w:val="0"/>
              <w:pageBreakBefore w:val="0"/>
              <w:widowControl w:val="0"/>
              <w:kinsoku/>
              <w:wordWrap/>
              <w:overflowPunct/>
              <w:topLinePunct w:val="0"/>
              <w:autoSpaceDE/>
              <w:autoSpaceDN/>
              <w:bidi w:val="0"/>
              <w:adjustRightInd/>
              <w:snapToGrid/>
              <w:ind w:left="0" w:leftChars="0" w:firstLine="480" w:firstLineChars="200"/>
              <w:jc w:val="both"/>
              <w:textAlignment w:val="auto"/>
              <w:rPr>
                <w:rFonts w:hint="eastAsia"/>
                <w:color w:val="FF0000"/>
                <w:lang w:val="en-US" w:eastAsia="zh-CN"/>
              </w:rPr>
            </w:pPr>
            <w:r>
              <w:rPr>
                <w:rFonts w:hint="eastAsia"/>
                <w:color w:val="FF0000"/>
                <w:lang w:val="en-US" w:eastAsia="zh-CN"/>
              </w:rPr>
              <w:t>在规划层级上，形成区级和乡镇级两级国土空间总体规划，在规划类型上，构建总体规划、详细规划和相关专项规划三种类型的规划。以区国土空间总体规划作为指导和约束全区各级各类规划编制实施的依据。乡镇规划应落实本规划确定的耕地与永久基本农田、生态保护红线、城镇开发边界划定任务和控制要求，严格落实本规划分解的约束性指标要求。在编制详细规划时，应符合本规划确定的规划分区管控要求，并落实公共服务设施、市政设施、道路设施、地下空间、城市更新、开发强度管控等相关内容，不得违背总体规划确定的城市“四线”等强制性内容。</w:t>
            </w:r>
          </w:p>
          <w:p w14:paraId="01157E7D">
            <w:pPr>
              <w:keepNext w:val="0"/>
              <w:keepLines w:val="0"/>
              <w:pageBreakBefore w:val="0"/>
              <w:widowControl w:val="0"/>
              <w:kinsoku/>
              <w:wordWrap/>
              <w:overflowPunct/>
              <w:topLinePunct w:val="0"/>
              <w:autoSpaceDE/>
              <w:autoSpaceDN/>
              <w:bidi w:val="0"/>
              <w:adjustRightInd/>
              <w:snapToGrid/>
              <w:ind w:left="0" w:leftChars="0" w:firstLine="480" w:firstLineChars="200"/>
              <w:jc w:val="both"/>
              <w:textAlignment w:val="auto"/>
              <w:rPr>
                <w:rFonts w:hint="eastAsia"/>
                <w:color w:val="FF0000"/>
                <w:lang w:val="en-US" w:eastAsia="zh-CN"/>
              </w:rPr>
            </w:pPr>
            <w:r>
              <w:rPr>
                <w:rFonts w:hint="eastAsia"/>
                <w:color w:val="FF0000"/>
                <w:lang w:val="en-US" w:eastAsia="zh-CN"/>
              </w:rPr>
              <w:t>十三、实施保障</w:t>
            </w:r>
          </w:p>
          <w:p w14:paraId="18F21FB3">
            <w:pPr>
              <w:keepNext w:val="0"/>
              <w:keepLines w:val="0"/>
              <w:pageBreakBefore w:val="0"/>
              <w:widowControl w:val="0"/>
              <w:kinsoku/>
              <w:wordWrap/>
              <w:overflowPunct/>
              <w:topLinePunct w:val="0"/>
              <w:autoSpaceDE/>
              <w:autoSpaceDN/>
              <w:bidi w:val="0"/>
              <w:adjustRightInd/>
              <w:snapToGrid/>
              <w:ind w:left="0" w:leftChars="0" w:firstLine="480" w:firstLineChars="200"/>
              <w:jc w:val="both"/>
              <w:textAlignment w:val="auto"/>
              <w:rPr>
                <w:rFonts w:hint="eastAsia"/>
                <w:color w:val="FF0000"/>
                <w:lang w:val="en-US" w:eastAsia="zh-CN"/>
              </w:rPr>
            </w:pPr>
            <w:r>
              <w:rPr>
                <w:rFonts w:hint="eastAsia"/>
                <w:color w:val="FF0000"/>
                <w:lang w:val="en-US" w:eastAsia="zh-CN"/>
              </w:rPr>
              <w:t>柴桑区国土空间总体规划成果需纳入市级国土空间规划“一张图”与信息平台，并逐级汇总至全国国土空间规划“一张图”。基于全市国土空间规划“一张图”实施监督信息系统，以国土空间开发保护现状、各级国土空间规划编制成果为基础，整合各级各类规划数据，建立标准化数据库，实现各类空间管控边界精准落地。建立“定期体检、五年一评估”的体检评估机制，对规划成果实施状况进行动态评估、监测和预警，对实施国土空间规划的主要措施和配套政策进行评价和完善。维护规划严肃性权威性，严格执行《规划》，任何部门和个人不得随意修改、违规变更。坚决贯彻党中央、国务院关于“多规合一”改革的决策部署，不在国土空间规划体系之外另设其他空间规划。</w:t>
            </w:r>
          </w:p>
          <w:p w14:paraId="385403A0">
            <w:pPr>
              <w:keepNext w:val="0"/>
              <w:keepLines w:val="0"/>
              <w:pageBreakBefore w:val="0"/>
              <w:widowControl w:val="0"/>
              <w:kinsoku/>
              <w:wordWrap/>
              <w:overflowPunct/>
              <w:topLinePunct w:val="0"/>
              <w:autoSpaceDE/>
              <w:autoSpaceDN/>
              <w:bidi w:val="0"/>
              <w:adjustRightInd/>
              <w:snapToGrid/>
              <w:ind w:left="0" w:leftChars="0" w:firstLine="480" w:firstLineChars="200"/>
              <w:jc w:val="both"/>
              <w:textAlignment w:val="auto"/>
              <w:rPr>
                <w:color w:val="FF0000"/>
              </w:rPr>
            </w:pPr>
            <w:r>
              <w:rPr>
                <w:rFonts w:hint="eastAsia"/>
                <w:color w:val="auto"/>
                <w:lang w:val="en-US" w:eastAsia="zh-CN"/>
              </w:rPr>
              <w:t>本项目位于江西省九江市柴桑区通江大道西侧、城门街道南垅新村南侧，</w:t>
            </w:r>
            <w:r>
              <w:rPr>
                <w:rFonts w:hint="eastAsia"/>
                <w:color w:val="FF0000"/>
                <w:lang w:val="en-US" w:eastAsia="zh-CN"/>
              </w:rPr>
              <w:t>属于《柴桑区国土空间总体规划（2021-2035年）》规划的城镇开发边界内，</w:t>
            </w:r>
            <w:r>
              <w:rPr>
                <w:rFonts w:hint="eastAsia"/>
                <w:color w:val="auto"/>
                <w:lang w:val="en-US" w:eastAsia="zh-CN"/>
              </w:rPr>
              <w:t>项目用地性质为其他商服用地（加油加气充电），建设单位已办理用地手续（详见附件5），因此，项目用地符合用地规划。</w:t>
            </w:r>
          </w:p>
        </w:tc>
      </w:tr>
      <w:tr w14:paraId="0F6215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6" w:type="pct"/>
            <w:vAlign w:val="center"/>
          </w:tcPr>
          <w:p w14:paraId="54D03DD3">
            <w:pPr>
              <w:wordWrap w:val="0"/>
              <w:spacing w:line="240" w:lineRule="auto"/>
              <w:ind w:firstLine="0" w:firstLineChars="0"/>
              <w:jc w:val="center"/>
            </w:pPr>
            <w:r>
              <w:rPr>
                <w:rFonts w:hint="eastAsia"/>
              </w:rPr>
              <w:t>其他符合性分析</w:t>
            </w:r>
          </w:p>
        </w:tc>
        <w:tc>
          <w:tcPr>
            <w:tcW w:w="4223" w:type="pct"/>
            <w:gridSpan w:val="3"/>
            <w:vAlign w:val="center"/>
          </w:tcPr>
          <w:p w14:paraId="3F4058F7">
            <w:pPr>
              <w:pStyle w:val="54"/>
              <w:keepNext w:val="0"/>
              <w:keepLines w:val="0"/>
              <w:pageBreakBefore w:val="0"/>
              <w:widowControl w:val="0"/>
              <w:numPr>
                <w:ilvl w:val="0"/>
                <w:numId w:val="0"/>
              </w:numPr>
              <w:kinsoku/>
              <w:wordWrap/>
              <w:overflowPunct/>
              <w:topLinePunct w:val="0"/>
              <w:autoSpaceDE/>
              <w:autoSpaceDN/>
              <w:bidi w:val="0"/>
              <w:adjustRightInd/>
              <w:snapToGrid/>
              <w:ind w:left="0" w:leftChars="0" w:firstLine="482" w:firstLineChars="200"/>
              <w:textAlignment w:val="auto"/>
              <w:rPr>
                <w:rFonts w:hint="eastAsia"/>
                <w:b/>
                <w:color w:val="FF0000"/>
                <w:lang w:val="en-US" w:eastAsia="zh-CN"/>
              </w:rPr>
            </w:pPr>
            <w:r>
              <w:rPr>
                <w:rFonts w:hint="eastAsia" w:ascii="Times New Roman" w:hAnsi="Times New Roman" w:eastAsia="宋体" w:cs="Times New Roman"/>
                <w:b/>
                <w:bCs/>
                <w:color w:val="auto"/>
                <w:lang w:val="en-US" w:eastAsia="zh-CN"/>
              </w:rPr>
              <w:t>1、项目与产业政策、规划相符性分析</w:t>
            </w:r>
          </w:p>
          <w:p w14:paraId="16D7924C">
            <w:pPr>
              <w:widowControl/>
              <w:spacing w:line="360" w:lineRule="auto"/>
              <w:ind w:firstLine="482" w:firstLineChars="200"/>
              <w:rPr>
                <w:rFonts w:ascii="Times New Roman" w:hAnsi="Times New Roman" w:eastAsia="宋体" w:cs="宋体"/>
                <w:b/>
                <w:color w:val="000000" w:themeColor="text1"/>
                <w:kern w:val="0"/>
                <w:sz w:val="24"/>
                <w:szCs w:val="24"/>
                <w14:textFill>
                  <w14:solidFill>
                    <w14:schemeClr w14:val="tx1"/>
                  </w14:solidFill>
                </w14:textFill>
              </w:rPr>
            </w:pPr>
            <w:r>
              <w:rPr>
                <w:rFonts w:hint="eastAsia" w:ascii="Times New Roman" w:hAnsi="Times New Roman" w:eastAsia="宋体" w:cs="宋体"/>
                <w:b/>
                <w:color w:val="000000" w:themeColor="text1"/>
                <w:kern w:val="0"/>
                <w:sz w:val="24"/>
                <w:szCs w:val="24"/>
                <w14:textFill>
                  <w14:solidFill>
                    <w14:schemeClr w14:val="tx1"/>
                  </w14:solidFill>
                </w14:textFill>
              </w:rPr>
              <w:t>（</w:t>
            </w:r>
            <w:r>
              <w:rPr>
                <w:rFonts w:ascii="Times New Roman" w:hAnsi="Times New Roman" w:eastAsia="宋体" w:cs="宋体"/>
                <w:b/>
                <w:color w:val="000000" w:themeColor="text1"/>
                <w:kern w:val="0"/>
                <w:sz w:val="24"/>
                <w:szCs w:val="24"/>
                <w14:textFill>
                  <w14:solidFill>
                    <w14:schemeClr w14:val="tx1"/>
                  </w14:solidFill>
                </w14:textFill>
              </w:rPr>
              <w:t>1）国家产业政策</w:t>
            </w:r>
            <w:r>
              <w:rPr>
                <w:rFonts w:hint="eastAsia" w:ascii="Times New Roman" w:hAnsi="Times New Roman" w:eastAsia="宋体" w:cs="宋体"/>
                <w:b/>
                <w:color w:val="000000" w:themeColor="text1"/>
                <w:kern w:val="0"/>
                <w:sz w:val="24"/>
                <w:szCs w:val="24"/>
                <w:lang w:val="en-US" w:eastAsia="zh-CN"/>
                <w14:textFill>
                  <w14:solidFill>
                    <w14:schemeClr w14:val="tx1"/>
                  </w14:solidFill>
                </w14:textFill>
              </w:rPr>
              <w:t>相符性</w:t>
            </w:r>
            <w:r>
              <w:rPr>
                <w:rFonts w:ascii="Times New Roman" w:hAnsi="Times New Roman" w:eastAsia="宋体" w:cs="宋体"/>
                <w:b/>
                <w:color w:val="000000" w:themeColor="text1"/>
                <w:kern w:val="0"/>
                <w:sz w:val="24"/>
                <w:szCs w:val="24"/>
                <w14:textFill>
                  <w14:solidFill>
                    <w14:schemeClr w14:val="tx1"/>
                  </w14:solidFill>
                </w14:textFill>
              </w:rPr>
              <w:t>分析</w:t>
            </w:r>
          </w:p>
          <w:p w14:paraId="6714189E">
            <w:pPr>
              <w:keepNext w:val="0"/>
              <w:keepLines w:val="0"/>
              <w:pageBreakBefore w:val="0"/>
              <w:widowControl/>
              <w:kinsoku/>
              <w:wordWrap w:val="0"/>
              <w:overflowPunct/>
              <w:topLinePunct w:val="0"/>
              <w:autoSpaceDE/>
              <w:autoSpaceDN/>
              <w:bidi w:val="0"/>
              <w:adjustRightInd/>
              <w:snapToGrid/>
              <w:spacing w:line="360" w:lineRule="auto"/>
              <w:ind w:firstLine="480" w:firstLineChars="200"/>
              <w:textAlignment w:val="auto"/>
              <w:rPr>
                <w:rFonts w:ascii="Times New Roman" w:hAnsi="Times New Roman" w:eastAsia="宋体" w:cs="宋体"/>
                <w:color w:val="000000" w:themeColor="text1"/>
                <w:kern w:val="0"/>
                <w:sz w:val="24"/>
                <w:szCs w:val="24"/>
                <w14:textFill>
                  <w14:solidFill>
                    <w14:schemeClr w14:val="tx1"/>
                  </w14:solidFill>
                </w14:textFill>
              </w:rPr>
            </w:pPr>
            <w:r>
              <w:rPr>
                <w:rFonts w:hint="eastAsia" w:ascii="Times New Roman" w:hAnsi="Times New Roman" w:eastAsia="宋体" w:cs="宋体"/>
                <w:color w:val="000000" w:themeColor="text1"/>
                <w:kern w:val="0"/>
                <w:sz w:val="24"/>
                <w:szCs w:val="24"/>
                <w14:textFill>
                  <w14:solidFill>
                    <w14:schemeClr w14:val="tx1"/>
                  </w14:solidFill>
                </w14:textFill>
              </w:rPr>
              <w:t>本项目为机动车燃油零售项目，</w:t>
            </w:r>
            <w:r>
              <w:rPr>
                <w:rFonts w:hint="default"/>
                <w:color w:val="auto"/>
                <w:kern w:val="0"/>
                <w:sz w:val="24"/>
                <w:lang w:val="en-US" w:eastAsia="zh-CN"/>
              </w:rPr>
              <w:t>对照《产业结构调整指导目录（20</w:t>
            </w:r>
            <w:r>
              <w:rPr>
                <w:rFonts w:hint="eastAsia"/>
                <w:color w:val="auto"/>
                <w:kern w:val="0"/>
                <w:sz w:val="24"/>
                <w:lang w:val="en-US" w:eastAsia="zh-CN"/>
              </w:rPr>
              <w:t>24</w:t>
            </w:r>
            <w:r>
              <w:rPr>
                <w:rFonts w:hint="default"/>
                <w:color w:val="auto"/>
                <w:kern w:val="0"/>
                <w:sz w:val="24"/>
                <w:lang w:val="en-US" w:eastAsia="zh-CN"/>
              </w:rPr>
              <w:t>年本）》，项目</w:t>
            </w:r>
            <w:r>
              <w:rPr>
                <w:rFonts w:hint="eastAsia"/>
                <w:color w:val="auto"/>
                <w:kern w:val="0"/>
                <w:sz w:val="24"/>
                <w:lang w:val="en-US" w:eastAsia="zh-CN"/>
              </w:rPr>
              <w:t>不</w:t>
            </w:r>
            <w:r>
              <w:rPr>
                <w:rFonts w:hint="default"/>
                <w:color w:val="auto"/>
                <w:kern w:val="0"/>
                <w:sz w:val="24"/>
                <w:lang w:val="en-US" w:eastAsia="zh-CN"/>
              </w:rPr>
              <w:t>属于目录中</w:t>
            </w:r>
            <w:r>
              <w:rPr>
                <w:rFonts w:hint="eastAsia"/>
                <w:color w:val="auto"/>
                <w:kern w:val="0"/>
                <w:sz w:val="24"/>
                <w:lang w:val="en-US" w:eastAsia="zh-CN"/>
              </w:rPr>
              <w:t>鼓励类、限制类和淘汰类</w:t>
            </w:r>
            <w:r>
              <w:rPr>
                <w:rFonts w:hint="default"/>
                <w:color w:val="auto"/>
                <w:kern w:val="0"/>
                <w:sz w:val="24"/>
                <w:lang w:val="en-US" w:eastAsia="zh-CN"/>
              </w:rPr>
              <w:t>，</w:t>
            </w:r>
            <w:r>
              <w:rPr>
                <w:rFonts w:hint="eastAsia"/>
                <w:color w:val="auto"/>
                <w:kern w:val="0"/>
                <w:sz w:val="24"/>
                <w:lang w:val="en-US" w:eastAsia="zh-CN"/>
              </w:rPr>
              <w:t>属于允许类，</w:t>
            </w:r>
            <w:r>
              <w:rPr>
                <w:rFonts w:hint="default"/>
                <w:color w:val="auto"/>
                <w:kern w:val="0"/>
                <w:sz w:val="24"/>
                <w:lang w:val="en-US" w:eastAsia="zh-CN"/>
              </w:rPr>
              <w:t>且九江市柴桑区发展和改革委员会对项目进行了备案，项目代码：2505-360421-04-01-138260，因此，项目建设符合国家产业政策要求。</w:t>
            </w:r>
          </w:p>
          <w:p w14:paraId="09014948">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ascii="Times New Roman" w:hAnsi="Times New Roman" w:eastAsia="宋体" w:cs="宋体"/>
                <w:b/>
                <w:color w:val="000000" w:themeColor="text1"/>
                <w:kern w:val="0"/>
                <w:sz w:val="24"/>
                <w:szCs w:val="24"/>
                <w14:textFill>
                  <w14:solidFill>
                    <w14:schemeClr w14:val="tx1"/>
                  </w14:solidFill>
                </w14:textFill>
              </w:rPr>
            </w:pPr>
            <w:r>
              <w:rPr>
                <w:rFonts w:hint="eastAsia" w:ascii="Times New Roman" w:hAnsi="Times New Roman" w:eastAsia="宋体" w:cs="宋体"/>
                <w:b/>
                <w:color w:val="000000" w:themeColor="text1"/>
                <w:kern w:val="0"/>
                <w:sz w:val="24"/>
                <w:szCs w:val="24"/>
                <w14:textFill>
                  <w14:solidFill>
                    <w14:schemeClr w14:val="tx1"/>
                  </w14:solidFill>
                </w14:textFill>
              </w:rPr>
              <w:t>（</w:t>
            </w:r>
            <w:r>
              <w:rPr>
                <w:rFonts w:ascii="Times New Roman" w:hAnsi="Times New Roman" w:eastAsia="宋体" w:cs="宋体"/>
                <w:b/>
                <w:color w:val="000000" w:themeColor="text1"/>
                <w:kern w:val="0"/>
                <w:sz w:val="24"/>
                <w:szCs w:val="24"/>
                <w14:textFill>
                  <w14:solidFill>
                    <w14:schemeClr w14:val="tx1"/>
                  </w14:solidFill>
                </w14:textFill>
              </w:rPr>
              <w:t>2）项目规划</w:t>
            </w:r>
            <w:r>
              <w:rPr>
                <w:rFonts w:hint="eastAsia" w:ascii="Times New Roman" w:hAnsi="Times New Roman" w:eastAsia="宋体" w:cs="Times New Roman"/>
                <w:b/>
                <w:bCs/>
                <w:color w:val="auto"/>
                <w:lang w:val="en-US" w:eastAsia="zh-CN"/>
              </w:rPr>
              <w:t>相符性</w:t>
            </w:r>
            <w:r>
              <w:rPr>
                <w:rFonts w:ascii="Times New Roman" w:hAnsi="Times New Roman" w:eastAsia="宋体" w:cs="宋体"/>
                <w:b/>
                <w:color w:val="000000" w:themeColor="text1"/>
                <w:kern w:val="0"/>
                <w:sz w:val="24"/>
                <w:szCs w:val="24"/>
                <w14:textFill>
                  <w14:solidFill>
                    <w14:schemeClr w14:val="tx1"/>
                  </w14:solidFill>
                </w14:textFill>
              </w:rPr>
              <w:t>分析</w:t>
            </w:r>
          </w:p>
          <w:p w14:paraId="6DF0AB04">
            <w:pPr>
              <w:pStyle w:val="54"/>
              <w:keepNext w:val="0"/>
              <w:keepLines w:val="0"/>
              <w:pageBreakBefore w:val="0"/>
              <w:widowControl w:val="0"/>
              <w:numPr>
                <w:ilvl w:val="0"/>
                <w:numId w:val="0"/>
              </w:numPr>
              <w:kinsoku/>
              <w:wordWrap/>
              <w:overflowPunct/>
              <w:topLinePunct w:val="0"/>
              <w:autoSpaceDE/>
              <w:autoSpaceDN/>
              <w:bidi w:val="0"/>
              <w:adjustRightInd/>
              <w:snapToGrid/>
              <w:ind w:left="0" w:leftChars="0" w:firstLine="480" w:firstLineChars="200"/>
              <w:textAlignment w:val="auto"/>
              <w:rPr>
                <w:rFonts w:hint="eastAsia"/>
                <w:b/>
                <w:color w:val="FF0000"/>
                <w:lang w:val="en-US" w:eastAsia="zh-CN"/>
              </w:rPr>
            </w:pPr>
            <w:r>
              <w:rPr>
                <w:rFonts w:hint="eastAsia" w:ascii="Times New Roman" w:hAnsi="Times New Roman" w:eastAsia="宋体" w:cs="宋体"/>
                <w:color w:val="000000" w:themeColor="text1"/>
                <w:kern w:val="0"/>
                <w:sz w:val="24"/>
                <w:szCs w:val="24"/>
                <w14:textFill>
                  <w14:solidFill>
                    <w14:schemeClr w14:val="tx1"/>
                  </w14:solidFill>
                </w14:textFill>
              </w:rPr>
              <w:t>本项目位于</w:t>
            </w:r>
            <w:r>
              <w:rPr>
                <w:rFonts w:hint="eastAsia" w:ascii="Times New Roman" w:hAnsi="Times New Roman" w:eastAsia="宋体" w:cs="宋体"/>
                <w:color w:val="000000" w:themeColor="text1"/>
                <w:kern w:val="0"/>
                <w:sz w:val="24"/>
                <w:szCs w:val="24"/>
                <w:lang w:val="en-US" w:eastAsia="zh-CN"/>
                <w14:textFill>
                  <w14:solidFill>
                    <w14:schemeClr w14:val="tx1"/>
                  </w14:solidFill>
                </w14:textFill>
              </w:rPr>
              <w:t>江西省九江市</w:t>
            </w:r>
            <w:r>
              <w:rPr>
                <w:rFonts w:hint="eastAsia" w:ascii="Times New Roman" w:hAnsi="Times New Roman" w:eastAsia="宋体" w:cs="宋体"/>
                <w:color w:val="000000" w:themeColor="text1"/>
                <w:kern w:val="0"/>
                <w:sz w:val="24"/>
                <w:szCs w:val="24"/>
                <w:lang w:eastAsia="zh-CN"/>
                <w14:textFill>
                  <w14:solidFill>
                    <w14:schemeClr w14:val="tx1"/>
                  </w14:solidFill>
                </w14:textFill>
              </w:rPr>
              <w:t>柴桑区</w:t>
            </w:r>
            <w:r>
              <w:rPr>
                <w:rFonts w:hint="eastAsia" w:ascii="Times New Roman" w:hAnsi="Times New Roman" w:eastAsia="宋体" w:cs="宋体"/>
                <w:color w:val="000000" w:themeColor="text1"/>
                <w:kern w:val="0"/>
                <w:sz w:val="24"/>
                <w:szCs w:val="24"/>
                <w14:textFill>
                  <w14:solidFill>
                    <w14:schemeClr w14:val="tx1"/>
                  </w14:solidFill>
                </w14:textFill>
              </w:rPr>
              <w:t>通江大道西侧、城门街道南垅新村南侧，属于</w:t>
            </w:r>
            <w:r>
              <w:rPr>
                <w:rFonts w:hint="eastAsia" w:ascii="Times New Roman" w:hAnsi="Times New Roman" w:eastAsia="宋体" w:cs="宋体"/>
                <w:color w:val="000000" w:themeColor="text1"/>
                <w:kern w:val="0"/>
                <w:sz w:val="24"/>
                <w:szCs w:val="24"/>
                <w:lang w:val="en-US" w:eastAsia="zh-CN"/>
                <w14:textFill>
                  <w14:solidFill>
                    <w14:schemeClr w14:val="tx1"/>
                  </w14:solidFill>
                </w14:textFill>
              </w:rPr>
              <w:t>柴桑区</w:t>
            </w:r>
            <w:r>
              <w:rPr>
                <w:rFonts w:ascii="Times New Roman" w:hAnsi="Times New Roman" w:eastAsia="宋体" w:cs="宋体"/>
                <w:color w:val="000000" w:themeColor="text1"/>
                <w:kern w:val="0"/>
                <w:sz w:val="24"/>
                <w:szCs w:val="24"/>
                <w14:textFill>
                  <w14:solidFill>
                    <w14:schemeClr w14:val="tx1"/>
                  </w14:solidFill>
                </w14:textFill>
              </w:rPr>
              <w:t>城市规划范围内，且</w:t>
            </w:r>
            <w:r>
              <w:rPr>
                <w:rFonts w:hint="eastAsia" w:ascii="Times New Roman" w:hAnsi="Times New Roman" w:eastAsia="宋体" w:cs="宋体"/>
                <w:color w:val="000000" w:themeColor="text1"/>
                <w:kern w:val="0"/>
                <w:sz w:val="24"/>
                <w:szCs w:val="24"/>
                <w14:textFill>
                  <w14:solidFill>
                    <w14:schemeClr w14:val="tx1"/>
                  </w14:solidFill>
                </w14:textFill>
              </w:rPr>
              <w:t>根据</w:t>
            </w:r>
            <w:r>
              <w:rPr>
                <w:rFonts w:hint="eastAsia" w:ascii="Times New Roman" w:hAnsi="Times New Roman" w:eastAsia="宋体" w:cs="宋体"/>
                <w:color w:val="000000" w:themeColor="text1"/>
                <w:kern w:val="0"/>
                <w:sz w:val="24"/>
                <w:szCs w:val="24"/>
                <w:lang w:val="en-US" w:eastAsia="zh-CN"/>
                <w14:textFill>
                  <w14:solidFill>
                    <w14:schemeClr w14:val="tx1"/>
                  </w14:solidFill>
                </w14:textFill>
              </w:rPr>
              <w:t>九江市</w:t>
            </w:r>
            <w:r>
              <w:rPr>
                <w:rFonts w:hint="eastAsia" w:ascii="Times New Roman" w:hAnsi="Times New Roman" w:eastAsia="宋体" w:cs="宋体"/>
                <w:color w:val="000000" w:themeColor="text1"/>
                <w:kern w:val="0"/>
                <w:sz w:val="24"/>
                <w:szCs w:val="24"/>
                <w14:textFill>
                  <w14:solidFill>
                    <w14:schemeClr w14:val="tx1"/>
                  </w14:solidFill>
                </w14:textFill>
              </w:rPr>
              <w:t>自然资源局</w:t>
            </w:r>
            <w:r>
              <w:rPr>
                <w:rFonts w:hint="eastAsia" w:ascii="Times New Roman" w:hAnsi="Times New Roman" w:eastAsia="宋体" w:cs="宋体"/>
                <w:color w:val="000000" w:themeColor="text1"/>
                <w:kern w:val="0"/>
                <w:sz w:val="24"/>
                <w:szCs w:val="24"/>
                <w:lang w:val="en-US" w:eastAsia="zh-CN"/>
                <w14:textFill>
                  <w14:solidFill>
                    <w14:schemeClr w14:val="tx1"/>
                  </w14:solidFill>
                </w14:textFill>
              </w:rPr>
              <w:t>柴桑区分局</w:t>
            </w:r>
            <w:r>
              <w:rPr>
                <w:rFonts w:hint="eastAsia" w:ascii="Times New Roman" w:hAnsi="Times New Roman" w:eastAsia="宋体" w:cs="宋体"/>
                <w:color w:val="000000" w:themeColor="text1"/>
                <w:kern w:val="0"/>
                <w:sz w:val="24"/>
                <w:szCs w:val="24"/>
                <w14:textFill>
                  <w14:solidFill>
                    <w14:schemeClr w14:val="tx1"/>
                  </w14:solidFill>
                </w14:textFill>
              </w:rPr>
              <w:t>出具的土地证，项目</w:t>
            </w:r>
            <w:r>
              <w:rPr>
                <w:rFonts w:hint="eastAsia" w:ascii="Times New Roman" w:hAnsi="Times New Roman" w:eastAsia="宋体" w:cs="宋体"/>
                <w:color w:val="000000" w:themeColor="text1"/>
                <w:kern w:val="0"/>
                <w:sz w:val="24"/>
                <w:szCs w:val="24"/>
                <w:lang w:val="en-US" w:eastAsia="zh-CN"/>
                <w14:textFill>
                  <w14:solidFill>
                    <w14:schemeClr w14:val="tx1"/>
                  </w14:solidFill>
                </w14:textFill>
              </w:rPr>
              <w:t>用地性质</w:t>
            </w:r>
            <w:r>
              <w:rPr>
                <w:rFonts w:hint="eastAsia" w:ascii="Times New Roman" w:hAnsi="Times New Roman" w:eastAsia="宋体" w:cs="宋体"/>
                <w:color w:val="000000" w:themeColor="text1"/>
                <w:kern w:val="0"/>
                <w:sz w:val="24"/>
                <w:szCs w:val="24"/>
                <w14:textFill>
                  <w14:solidFill>
                    <w14:schemeClr w14:val="tx1"/>
                  </w14:solidFill>
                </w14:textFill>
              </w:rPr>
              <w:t>为</w:t>
            </w:r>
            <w:r>
              <w:rPr>
                <w:rFonts w:hint="eastAsia" w:ascii="Times New Roman" w:hAnsi="Times New Roman" w:eastAsia="宋体" w:cs="宋体"/>
                <w:color w:val="000000" w:themeColor="text1"/>
                <w:kern w:val="0"/>
                <w:sz w:val="24"/>
                <w:szCs w:val="24"/>
                <w:lang w:val="en-US" w:eastAsia="zh-CN"/>
                <w14:textFill>
                  <w14:solidFill>
                    <w14:schemeClr w14:val="tx1"/>
                  </w14:solidFill>
                </w14:textFill>
              </w:rPr>
              <w:t>其他商服用地（加油加气充电）</w:t>
            </w:r>
            <w:r>
              <w:rPr>
                <w:rFonts w:hint="eastAsia" w:ascii="Times New Roman" w:hAnsi="Times New Roman" w:eastAsia="宋体" w:cs="宋体"/>
                <w:color w:val="000000" w:themeColor="text1"/>
                <w:kern w:val="0"/>
                <w:sz w:val="24"/>
                <w:szCs w:val="24"/>
                <w14:textFill>
                  <w14:solidFill>
                    <w14:schemeClr w14:val="tx1"/>
                  </w14:solidFill>
                </w14:textFill>
              </w:rPr>
              <w:t>。</w:t>
            </w:r>
            <w:r>
              <w:rPr>
                <w:rFonts w:ascii="Times New Roman" w:hAnsi="Times New Roman" w:eastAsia="宋体" w:cs="宋体"/>
                <w:color w:val="000000" w:themeColor="text1"/>
                <w:kern w:val="0"/>
                <w:sz w:val="24"/>
                <w:szCs w:val="24"/>
                <w14:textFill>
                  <w14:solidFill>
                    <w14:schemeClr w14:val="tx1"/>
                  </w14:solidFill>
                </w14:textFill>
              </w:rPr>
              <w:t>因此，项目用地符合九江市</w:t>
            </w:r>
            <w:r>
              <w:rPr>
                <w:rFonts w:hint="eastAsia" w:ascii="Times New Roman" w:hAnsi="Times New Roman" w:eastAsia="宋体" w:cs="宋体"/>
                <w:color w:val="000000" w:themeColor="text1"/>
                <w:kern w:val="0"/>
                <w:sz w:val="24"/>
                <w:szCs w:val="24"/>
                <w:lang w:eastAsia="zh-CN"/>
                <w14:textFill>
                  <w14:solidFill>
                    <w14:schemeClr w14:val="tx1"/>
                  </w14:solidFill>
                </w14:textFill>
              </w:rPr>
              <w:t>柴桑区</w:t>
            </w:r>
            <w:r>
              <w:rPr>
                <w:rFonts w:ascii="Times New Roman" w:hAnsi="Times New Roman" w:eastAsia="宋体" w:cs="宋体"/>
                <w:color w:val="000000" w:themeColor="text1"/>
                <w:kern w:val="0"/>
                <w:sz w:val="24"/>
                <w:szCs w:val="24"/>
                <w14:textFill>
                  <w14:solidFill>
                    <w14:schemeClr w14:val="tx1"/>
                  </w14:solidFill>
                </w14:textFill>
              </w:rPr>
              <w:t>用地规划。</w:t>
            </w:r>
          </w:p>
          <w:p w14:paraId="59C1D4C7">
            <w:pPr>
              <w:pStyle w:val="92"/>
              <w:keepNext w:val="0"/>
              <w:keepLines w:val="0"/>
              <w:pageBreakBefore w:val="0"/>
              <w:widowControl w:val="0"/>
              <w:kinsoku/>
              <w:wordWrap/>
              <w:overflowPunct/>
              <w:topLinePunct w:val="0"/>
              <w:autoSpaceDE/>
              <w:autoSpaceDN/>
              <w:bidi w:val="0"/>
              <w:adjustRightInd/>
              <w:snapToGrid/>
              <w:spacing w:line="360" w:lineRule="auto"/>
              <w:ind w:firstLine="498" w:firstLineChars="200"/>
              <w:jc w:val="left"/>
              <w:textAlignment w:val="auto"/>
              <w:rPr>
                <w:rFonts w:hint="default" w:ascii="Times New Roman" w:hAnsi="Times New Roman" w:eastAsia="宋体" w:cs="Times New Roman"/>
                <w:b/>
                <w:bCs/>
                <w:color w:val="1F497D" w:themeColor="text2"/>
                <w:lang w:val="en-US" w:eastAsia="zh-CN"/>
                <w14:textFill>
                  <w14:solidFill>
                    <w14:schemeClr w14:val="tx2"/>
                  </w14:solidFill>
                </w14:textFill>
              </w:rPr>
            </w:pPr>
            <w:r>
              <w:rPr>
                <w:rFonts w:hint="eastAsia" w:ascii="Times New Roman" w:hAnsi="Times New Roman" w:eastAsia="宋体" w:cs="Times New Roman"/>
                <w:b/>
                <w:bCs/>
                <w:color w:val="1F497D" w:themeColor="text2"/>
                <w:lang w:val="en-US" w:eastAsia="zh-CN"/>
                <w14:textFill>
                  <w14:solidFill>
                    <w14:schemeClr w14:val="tx2"/>
                  </w14:solidFill>
                </w14:textFill>
              </w:rPr>
              <w:t>2、项目与《九江市“三线一单”生态环境分区管控》相符性分析</w:t>
            </w:r>
          </w:p>
          <w:p w14:paraId="3EB62559">
            <w:pPr>
              <w:pStyle w:val="92"/>
              <w:keepNext w:val="0"/>
              <w:keepLines w:val="0"/>
              <w:pageBreakBefore w:val="0"/>
              <w:widowControl w:val="0"/>
              <w:kinsoku/>
              <w:wordWrap/>
              <w:overflowPunct/>
              <w:topLinePunct w:val="0"/>
              <w:autoSpaceDE/>
              <w:autoSpaceDN/>
              <w:bidi w:val="0"/>
              <w:adjustRightInd/>
              <w:snapToGrid/>
              <w:spacing w:line="360" w:lineRule="auto"/>
              <w:ind w:firstLine="496" w:firstLineChars="200"/>
              <w:jc w:val="left"/>
              <w:textAlignment w:val="auto"/>
              <w:rPr>
                <w:rFonts w:hint="default"/>
                <w:color w:val="FF0000"/>
              </w:rPr>
            </w:pPr>
            <w:r>
              <w:rPr>
                <w:rFonts w:hint="default" w:ascii="Times New Roman" w:hAnsi="Times New Roman" w:eastAsia="宋体" w:cs="Times New Roman"/>
                <w:b w:val="0"/>
                <w:bCs w:val="0"/>
                <w:color w:val="auto"/>
                <w:lang w:val="en-US" w:eastAsia="zh-CN"/>
              </w:rPr>
              <w:t>本项目位于</w:t>
            </w:r>
            <w:r>
              <w:rPr>
                <w:rFonts w:hint="eastAsia"/>
                <w:color w:val="auto"/>
                <w:lang w:val="en-US" w:eastAsia="zh-CN"/>
              </w:rPr>
              <w:t>江西省九江市</w:t>
            </w:r>
            <w:r>
              <w:rPr>
                <w:rFonts w:hint="eastAsia"/>
                <w:color w:val="auto"/>
                <w:lang w:eastAsia="zh-CN"/>
              </w:rPr>
              <w:t>柴桑区</w:t>
            </w:r>
            <w:r>
              <w:rPr>
                <w:rFonts w:hint="eastAsia"/>
                <w:color w:val="auto"/>
              </w:rPr>
              <w:t>通江大道西侧、城门街道南垅新村南侧</w:t>
            </w:r>
            <w:r>
              <w:rPr>
                <w:rFonts w:hint="eastAsia"/>
                <w:color w:val="auto"/>
                <w:lang w:eastAsia="zh-CN"/>
              </w:rPr>
              <w:t>（</w:t>
            </w:r>
            <w:r>
              <w:rPr>
                <w:b w:val="0"/>
                <w:bCs w:val="0"/>
                <w:color w:val="auto"/>
                <w:spacing w:val="4"/>
                <w:kern w:val="18"/>
                <w:sz w:val="24"/>
                <w:szCs w:val="24"/>
                <w:highlight w:val="none"/>
              </w:rPr>
              <w:t>地理位置：</w:t>
            </w:r>
            <w:r>
              <w:rPr>
                <w:rFonts w:hint="eastAsia"/>
                <w:b w:val="0"/>
                <w:bCs w:val="0"/>
                <w:color w:val="auto"/>
                <w:spacing w:val="4"/>
                <w:kern w:val="18"/>
                <w:sz w:val="24"/>
                <w:szCs w:val="24"/>
                <w:highlight w:val="none"/>
              </w:rPr>
              <w:t>E</w:t>
            </w:r>
            <w:r>
              <w:rPr>
                <w:rFonts w:hint="default" w:ascii="Times New Roman" w:hAnsi="Times New Roman" w:cs="Times New Roman"/>
                <w:b w:val="0"/>
                <w:bCs w:val="0"/>
                <w:color w:val="auto"/>
                <w:spacing w:val="4"/>
                <w:kern w:val="18"/>
                <w:sz w:val="24"/>
                <w:szCs w:val="24"/>
                <w:highlight w:val="none"/>
              </w:rPr>
              <w:t>115°49′22.306″，N29°39′13.383″</w:t>
            </w:r>
            <w:r>
              <w:rPr>
                <w:rFonts w:hint="eastAsia"/>
                <w:color w:val="auto"/>
                <w:lang w:eastAsia="zh-CN"/>
              </w:rPr>
              <w:t>）</w:t>
            </w:r>
            <w:r>
              <w:rPr>
                <w:rFonts w:hint="default" w:ascii="Times New Roman" w:hAnsi="Times New Roman" w:eastAsia="宋体" w:cs="Times New Roman"/>
                <w:b w:val="0"/>
                <w:bCs w:val="0"/>
                <w:color w:val="auto"/>
                <w:lang w:val="en-US" w:eastAsia="zh-CN"/>
              </w:rPr>
              <w:t>，江西省生态环境分区管控信息平台</w:t>
            </w:r>
            <w:r>
              <w:rPr>
                <w:rFonts w:hint="eastAsia" w:ascii="Times New Roman" w:hAnsi="Times New Roman" w:eastAsia="宋体" w:cs="Times New Roman"/>
                <w:b w:val="0"/>
                <w:bCs w:val="0"/>
                <w:color w:val="auto"/>
                <w:lang w:val="en-US" w:eastAsia="zh-CN"/>
              </w:rPr>
              <w:t>查询可知，项目所在地属于</w:t>
            </w:r>
            <w:r>
              <w:rPr>
                <w:rFonts w:hint="default" w:ascii="Times New Roman" w:hAnsi="Times New Roman" w:eastAsia="宋体" w:cs="Times New Roman"/>
                <w:b w:val="0"/>
                <w:bCs w:val="0"/>
                <w:color w:val="auto"/>
                <w:lang w:val="en-US" w:eastAsia="zh-CN"/>
              </w:rPr>
              <w:t>江西省九江市</w:t>
            </w:r>
            <w:r>
              <w:rPr>
                <w:rFonts w:hint="eastAsia" w:ascii="Times New Roman" w:hAnsi="Times New Roman" w:eastAsia="宋体" w:cs="Times New Roman"/>
                <w:b w:val="0"/>
                <w:bCs w:val="0"/>
                <w:color w:val="auto"/>
                <w:lang w:val="en-US" w:eastAsia="zh-CN"/>
              </w:rPr>
              <w:t>柴桑区</w:t>
            </w:r>
            <w:r>
              <w:rPr>
                <w:rFonts w:hint="default" w:ascii="Times New Roman" w:hAnsi="Times New Roman" w:eastAsia="宋体" w:cs="Times New Roman"/>
                <w:b w:val="0"/>
                <w:bCs w:val="0"/>
                <w:color w:val="auto"/>
                <w:lang w:val="en-US" w:eastAsia="zh-CN"/>
              </w:rPr>
              <w:t>重点管控单元</w:t>
            </w:r>
            <w:r>
              <w:rPr>
                <w:rFonts w:hint="eastAsia" w:ascii="Times New Roman" w:hAnsi="Times New Roman" w:eastAsia="宋体" w:cs="Times New Roman"/>
                <w:b w:val="0"/>
                <w:bCs w:val="0"/>
                <w:color w:val="auto"/>
                <w:lang w:val="en-US" w:eastAsia="zh-CN"/>
              </w:rPr>
              <w:t>1</w:t>
            </w:r>
            <w:r>
              <w:rPr>
                <w:rFonts w:hint="default" w:ascii="Times New Roman" w:hAnsi="Times New Roman" w:eastAsia="宋体" w:cs="Times New Roman"/>
                <w:b w:val="0"/>
                <w:bCs w:val="0"/>
                <w:color w:val="auto"/>
                <w:lang w:val="en-US" w:eastAsia="zh-CN"/>
              </w:rPr>
              <w:t>，环境管控单元编码为ZH36040420001。该单元主要涉及城镇重点区域和受体敏感区。</w:t>
            </w:r>
          </w:p>
          <w:p w14:paraId="643B6BBD">
            <w:pPr>
              <w:pStyle w:val="111"/>
              <w:keepNext w:val="0"/>
              <w:keepLines w:val="0"/>
              <w:pageBreakBefore w:val="0"/>
              <w:widowControl/>
              <w:tabs>
                <w:tab w:val="left" w:pos="3012"/>
              </w:tabs>
              <w:kinsoku/>
              <w:wordWrap/>
              <w:overflowPunct w:val="0"/>
              <w:topLinePunct w:val="0"/>
              <w:autoSpaceDE w:val="0"/>
              <w:autoSpaceDN w:val="0"/>
              <w:bidi w:val="0"/>
              <w:adjustRightInd/>
              <w:snapToGrid/>
              <w:spacing w:before="0" w:after="0"/>
              <w:ind w:right="0"/>
              <w:textAlignment w:val="baseline"/>
              <w:rPr>
                <w:color w:val="auto"/>
              </w:rPr>
            </w:pPr>
            <w:r>
              <w:rPr>
                <w:rFonts w:ascii="Times New Roman" w:eastAsia="宋体"/>
                <w:color w:val="auto"/>
              </w:rPr>
              <w:t>表1</w:t>
            </w:r>
            <w:r>
              <w:rPr>
                <w:rFonts w:hint="eastAsia" w:ascii="Times New Roman" w:eastAsia="宋体"/>
                <w:color w:val="auto"/>
              </w:rPr>
              <w:t>-</w:t>
            </w:r>
            <w:r>
              <w:rPr>
                <w:rFonts w:hint="eastAsia" w:ascii="Times New Roman" w:eastAsia="宋体"/>
                <w:color w:val="auto"/>
                <w:lang w:val="en-US" w:eastAsia="zh-CN"/>
              </w:rPr>
              <w:t>2</w:t>
            </w:r>
            <w:r>
              <w:rPr>
                <w:rFonts w:ascii="Times New Roman" w:eastAsia="宋体"/>
                <w:color w:val="auto"/>
              </w:rPr>
              <w:t xml:space="preserve"> </w:t>
            </w:r>
            <w:r>
              <w:rPr>
                <w:rFonts w:hint="eastAsia" w:ascii="Times New Roman" w:eastAsia="宋体"/>
                <w:color w:val="auto"/>
              </w:rPr>
              <w:t xml:space="preserve"> </w:t>
            </w:r>
            <w:r>
              <w:rPr>
                <w:rFonts w:ascii="Times New Roman" w:eastAsia="宋体"/>
                <w:color w:val="auto"/>
              </w:rPr>
              <w:t xml:space="preserve"> </w:t>
            </w:r>
            <w:r>
              <w:rPr>
                <w:rFonts w:hint="eastAsia" w:ascii="Times New Roman" w:eastAsia="宋体"/>
                <w:color w:val="auto"/>
              </w:rPr>
              <w:t>项目</w:t>
            </w:r>
            <w:r>
              <w:rPr>
                <w:rFonts w:ascii="Times New Roman" w:eastAsia="宋体"/>
                <w:color w:val="auto"/>
              </w:rPr>
              <w:t>与</w:t>
            </w:r>
            <w:r>
              <w:rPr>
                <w:rFonts w:hint="eastAsia" w:ascii="Times New Roman" w:eastAsia="宋体"/>
                <w:color w:val="auto"/>
              </w:rPr>
              <w:t>《</w:t>
            </w:r>
            <w:r>
              <w:rPr>
                <w:rFonts w:ascii="Times New Roman" w:eastAsia="宋体"/>
                <w:color w:val="auto"/>
              </w:rPr>
              <w:t>九江市</w:t>
            </w:r>
            <w:r>
              <w:rPr>
                <w:rFonts w:hint="eastAsia" w:ascii="Times New Roman" w:eastAsia="宋体"/>
                <w:color w:val="auto"/>
                <w:lang w:val="en-US" w:eastAsia="zh-CN"/>
              </w:rPr>
              <w:t>柴桑区环境</w:t>
            </w:r>
            <w:r>
              <w:rPr>
                <w:rFonts w:ascii="Times New Roman" w:eastAsia="宋体"/>
                <w:color w:val="auto"/>
              </w:rPr>
              <w:t>管控单元生态环境准入清单</w:t>
            </w:r>
            <w:r>
              <w:rPr>
                <w:rFonts w:hint="eastAsia" w:ascii="Times New Roman" w:eastAsia="宋体"/>
                <w:color w:val="auto"/>
              </w:rPr>
              <w:t>》</w:t>
            </w:r>
            <w:r>
              <w:rPr>
                <w:rFonts w:ascii="Times New Roman" w:eastAsia="宋体"/>
                <w:color w:val="auto"/>
              </w:rPr>
              <w:t>相符性分析</w:t>
            </w:r>
          </w:p>
          <w:tbl>
            <w:tblPr>
              <w:tblStyle w:val="35"/>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2"/>
              <w:gridCol w:w="430"/>
              <w:gridCol w:w="1271"/>
              <w:gridCol w:w="2509"/>
              <w:gridCol w:w="2741"/>
              <w:gridCol w:w="644"/>
            </w:tblGrid>
            <w:tr w14:paraId="595813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143" w:type="dxa"/>
                  <w:gridSpan w:val="3"/>
                  <w:noWrap w:val="0"/>
                  <w:vAlign w:val="center"/>
                </w:tcPr>
                <w:p w14:paraId="330256B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b/>
                      <w:bCs/>
                      <w:color w:val="auto"/>
                      <w:sz w:val="21"/>
                      <w:szCs w:val="21"/>
                    </w:rPr>
                  </w:pPr>
                  <w:r>
                    <w:rPr>
                      <w:b/>
                      <w:bCs/>
                      <w:color w:val="auto"/>
                      <w:sz w:val="21"/>
                      <w:szCs w:val="21"/>
                    </w:rPr>
                    <w:t>分类</w:t>
                  </w:r>
                </w:p>
              </w:tc>
              <w:tc>
                <w:tcPr>
                  <w:tcW w:w="2509" w:type="dxa"/>
                  <w:noWrap w:val="0"/>
                  <w:vAlign w:val="center"/>
                </w:tcPr>
                <w:p w14:paraId="3248972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b/>
                      <w:bCs/>
                      <w:color w:val="auto"/>
                      <w:sz w:val="21"/>
                      <w:szCs w:val="21"/>
                    </w:rPr>
                  </w:pPr>
                  <w:r>
                    <w:rPr>
                      <w:b/>
                      <w:bCs/>
                      <w:color w:val="auto"/>
                      <w:sz w:val="21"/>
                      <w:szCs w:val="21"/>
                    </w:rPr>
                    <w:t>规划要求</w:t>
                  </w:r>
                </w:p>
              </w:tc>
              <w:tc>
                <w:tcPr>
                  <w:tcW w:w="2741" w:type="dxa"/>
                  <w:noWrap w:val="0"/>
                  <w:vAlign w:val="center"/>
                </w:tcPr>
                <w:p w14:paraId="1EC509F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b/>
                      <w:bCs/>
                      <w:color w:val="auto"/>
                      <w:sz w:val="21"/>
                      <w:szCs w:val="21"/>
                    </w:rPr>
                  </w:pPr>
                  <w:r>
                    <w:rPr>
                      <w:rFonts w:hint="eastAsia"/>
                      <w:b/>
                      <w:bCs/>
                      <w:color w:val="auto"/>
                      <w:sz w:val="21"/>
                      <w:szCs w:val="21"/>
                    </w:rPr>
                    <w:t>相符</w:t>
                  </w:r>
                  <w:r>
                    <w:rPr>
                      <w:b/>
                      <w:bCs/>
                      <w:color w:val="auto"/>
                      <w:sz w:val="21"/>
                      <w:szCs w:val="21"/>
                    </w:rPr>
                    <w:t>性分析</w:t>
                  </w:r>
                </w:p>
              </w:tc>
              <w:tc>
                <w:tcPr>
                  <w:tcW w:w="644" w:type="dxa"/>
                  <w:noWrap w:val="0"/>
                  <w:vAlign w:val="center"/>
                </w:tcPr>
                <w:p w14:paraId="72CAC55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b/>
                      <w:bCs/>
                      <w:color w:val="auto"/>
                      <w:sz w:val="21"/>
                      <w:szCs w:val="21"/>
                    </w:rPr>
                  </w:pPr>
                  <w:r>
                    <w:rPr>
                      <w:rFonts w:hint="eastAsia"/>
                      <w:b/>
                      <w:bCs/>
                      <w:color w:val="auto"/>
                      <w:sz w:val="21"/>
                      <w:szCs w:val="21"/>
                    </w:rPr>
                    <w:t>结论</w:t>
                  </w:r>
                </w:p>
              </w:tc>
            </w:tr>
            <w:tr w14:paraId="6AE80C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2" w:type="dxa"/>
                  <w:vMerge w:val="restart"/>
                  <w:noWrap w:val="0"/>
                  <w:vAlign w:val="center"/>
                </w:tcPr>
                <w:p w14:paraId="5ED2275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color w:val="auto"/>
                      <w:sz w:val="21"/>
                      <w:szCs w:val="21"/>
                    </w:rPr>
                  </w:pPr>
                  <w:r>
                    <w:rPr>
                      <w:color w:val="auto"/>
                      <w:sz w:val="21"/>
                      <w:szCs w:val="21"/>
                    </w:rPr>
                    <w:t>空间布局约束</w:t>
                  </w:r>
                </w:p>
              </w:tc>
              <w:tc>
                <w:tcPr>
                  <w:tcW w:w="1701" w:type="dxa"/>
                  <w:gridSpan w:val="2"/>
                  <w:noWrap w:val="0"/>
                  <w:vAlign w:val="center"/>
                </w:tcPr>
                <w:p w14:paraId="39B5A9A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color w:val="auto"/>
                      <w:sz w:val="21"/>
                      <w:szCs w:val="21"/>
                    </w:rPr>
                  </w:pPr>
                  <w:r>
                    <w:rPr>
                      <w:color w:val="auto"/>
                      <w:sz w:val="21"/>
                      <w:szCs w:val="21"/>
                    </w:rPr>
                    <w:t>禁止开发建设活动的要求</w:t>
                  </w:r>
                </w:p>
              </w:tc>
              <w:tc>
                <w:tcPr>
                  <w:tcW w:w="2509" w:type="dxa"/>
                  <w:noWrap w:val="0"/>
                  <w:vAlign w:val="center"/>
                </w:tcPr>
                <w:p w14:paraId="24873053">
                  <w:pPr>
                    <w:keepNext w:val="0"/>
                    <w:keepLines w:val="0"/>
                    <w:pageBreakBefore w:val="0"/>
                    <w:widowControl w:val="0"/>
                    <w:kinsoku/>
                    <w:wordWrap/>
                    <w:overflowPunct/>
                    <w:topLinePunct w:val="0"/>
                    <w:autoSpaceDE/>
                    <w:autoSpaceDN/>
                    <w:bidi w:val="0"/>
                    <w:adjustRightInd/>
                    <w:snapToGrid w:val="0"/>
                    <w:spacing w:line="240" w:lineRule="auto"/>
                    <w:ind w:firstLine="420" w:firstLineChars="200"/>
                    <w:jc w:val="both"/>
                    <w:textAlignment w:val="auto"/>
                    <w:rPr>
                      <w:rFonts w:hint="eastAsia"/>
                      <w:color w:val="auto"/>
                      <w:sz w:val="21"/>
                      <w:szCs w:val="21"/>
                    </w:rPr>
                  </w:pPr>
                  <w:r>
                    <w:rPr>
                      <w:rFonts w:hint="default" w:ascii="Times New Roman" w:hAnsi="Times New Roman" w:cs="Times New Roman"/>
                      <w:color w:val="auto"/>
                      <w:sz w:val="21"/>
                      <w:szCs w:val="21"/>
                      <w:highlight w:val="none"/>
                    </w:rPr>
                    <w:t>按饮用水源保护区相关管理规定执行。</w:t>
                  </w:r>
                </w:p>
              </w:tc>
              <w:tc>
                <w:tcPr>
                  <w:tcW w:w="2741" w:type="dxa"/>
                  <w:noWrap w:val="0"/>
                  <w:vAlign w:val="center"/>
                </w:tcPr>
                <w:p w14:paraId="7D3E7B9F">
                  <w:pPr>
                    <w:keepNext w:val="0"/>
                    <w:keepLines w:val="0"/>
                    <w:pageBreakBefore w:val="0"/>
                    <w:widowControl w:val="0"/>
                    <w:kinsoku/>
                    <w:wordWrap/>
                    <w:overflowPunct/>
                    <w:topLinePunct w:val="0"/>
                    <w:autoSpaceDE/>
                    <w:autoSpaceDN/>
                    <w:bidi w:val="0"/>
                    <w:adjustRightInd/>
                    <w:snapToGrid w:val="0"/>
                    <w:spacing w:line="240" w:lineRule="auto"/>
                    <w:ind w:firstLine="420" w:firstLineChars="200"/>
                    <w:jc w:val="both"/>
                    <w:textAlignment w:val="auto"/>
                    <w:rPr>
                      <w:rFonts w:hint="default" w:eastAsia="宋体"/>
                      <w:color w:val="auto"/>
                      <w:sz w:val="21"/>
                      <w:szCs w:val="21"/>
                      <w:lang w:val="en-US" w:eastAsia="zh-CN"/>
                    </w:rPr>
                  </w:pPr>
                  <w:r>
                    <w:rPr>
                      <w:rFonts w:hint="eastAsia"/>
                      <w:color w:val="auto"/>
                      <w:sz w:val="21"/>
                      <w:szCs w:val="21"/>
                      <w:lang w:val="en-US" w:eastAsia="zh-CN"/>
                    </w:rPr>
                    <w:t>本项目按</w:t>
                  </w:r>
                  <w:r>
                    <w:rPr>
                      <w:rFonts w:hint="default" w:ascii="Times New Roman" w:hAnsi="Times New Roman" w:cs="Times New Roman"/>
                      <w:color w:val="auto"/>
                      <w:sz w:val="21"/>
                      <w:szCs w:val="21"/>
                      <w:highlight w:val="none"/>
                    </w:rPr>
                    <w:t>饮用水源保护区相关管理规定执行。</w:t>
                  </w:r>
                </w:p>
              </w:tc>
              <w:tc>
                <w:tcPr>
                  <w:tcW w:w="644" w:type="dxa"/>
                  <w:noWrap w:val="0"/>
                  <w:vAlign w:val="center"/>
                </w:tcPr>
                <w:p w14:paraId="32FA76D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color w:val="auto"/>
                      <w:sz w:val="21"/>
                      <w:szCs w:val="21"/>
                      <w:lang w:eastAsia="zh-CN"/>
                    </w:rPr>
                  </w:pPr>
                  <w:r>
                    <w:rPr>
                      <w:rFonts w:hint="eastAsia"/>
                      <w:color w:val="auto"/>
                      <w:sz w:val="21"/>
                      <w:szCs w:val="21"/>
                      <w:lang w:val="en-US" w:eastAsia="zh-CN"/>
                    </w:rPr>
                    <w:t>符合</w:t>
                  </w:r>
                </w:p>
              </w:tc>
            </w:tr>
            <w:tr w14:paraId="756581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2" w:type="dxa"/>
                  <w:vMerge w:val="continue"/>
                  <w:noWrap w:val="0"/>
                  <w:vAlign w:val="center"/>
                </w:tcPr>
                <w:p w14:paraId="61DB693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color w:val="auto"/>
                      <w:sz w:val="21"/>
                      <w:szCs w:val="21"/>
                    </w:rPr>
                  </w:pPr>
                </w:p>
              </w:tc>
              <w:tc>
                <w:tcPr>
                  <w:tcW w:w="1701" w:type="dxa"/>
                  <w:gridSpan w:val="2"/>
                  <w:noWrap w:val="0"/>
                  <w:vAlign w:val="center"/>
                </w:tcPr>
                <w:p w14:paraId="5BBD5FF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color w:val="auto"/>
                      <w:sz w:val="21"/>
                      <w:szCs w:val="21"/>
                    </w:rPr>
                  </w:pPr>
                  <w:r>
                    <w:rPr>
                      <w:color w:val="auto"/>
                      <w:sz w:val="21"/>
                      <w:szCs w:val="21"/>
                    </w:rPr>
                    <w:t>限制开发建设活动的要求</w:t>
                  </w:r>
                </w:p>
              </w:tc>
              <w:tc>
                <w:tcPr>
                  <w:tcW w:w="2509" w:type="dxa"/>
                  <w:noWrap w:val="0"/>
                  <w:vAlign w:val="center"/>
                </w:tcPr>
                <w:p w14:paraId="7E5985A9">
                  <w:pPr>
                    <w:keepNext w:val="0"/>
                    <w:keepLines w:val="0"/>
                    <w:pageBreakBefore w:val="0"/>
                    <w:widowControl w:val="0"/>
                    <w:kinsoku/>
                    <w:wordWrap/>
                    <w:overflowPunct/>
                    <w:topLinePunct w:val="0"/>
                    <w:autoSpaceDE/>
                    <w:autoSpaceDN/>
                    <w:bidi w:val="0"/>
                    <w:adjustRightInd/>
                    <w:snapToGrid w:val="0"/>
                    <w:spacing w:line="240" w:lineRule="auto"/>
                    <w:ind w:firstLine="420" w:firstLineChars="200"/>
                    <w:jc w:val="both"/>
                    <w:textAlignment w:val="auto"/>
                    <w:rPr>
                      <w:color w:val="auto"/>
                      <w:sz w:val="21"/>
                      <w:szCs w:val="21"/>
                    </w:rPr>
                  </w:pPr>
                  <w:r>
                    <w:rPr>
                      <w:rFonts w:hint="default" w:ascii="Times New Roman" w:hAnsi="Times New Roman" w:cs="Times New Roman"/>
                      <w:color w:val="auto"/>
                      <w:sz w:val="21"/>
                      <w:szCs w:val="21"/>
                      <w:highlight w:val="none"/>
                      <w:lang w:val="en-US" w:eastAsia="zh-CN"/>
                    </w:rPr>
                    <w:t>重要险工险段、重要涉水工程及设施、河势变化敏感区、地质灾害易发区、水土流失严重区所在岸段的岸线控制利用区，应禁止建设可能影响防洪安全、河势稳定、设施安全、岸坡稳定以及加重水土流失的项目。</w:t>
                  </w:r>
                </w:p>
              </w:tc>
              <w:tc>
                <w:tcPr>
                  <w:tcW w:w="2741" w:type="dxa"/>
                  <w:noWrap w:val="0"/>
                  <w:vAlign w:val="center"/>
                </w:tcPr>
                <w:p w14:paraId="4957B999">
                  <w:pPr>
                    <w:keepNext w:val="0"/>
                    <w:keepLines w:val="0"/>
                    <w:pageBreakBefore w:val="0"/>
                    <w:widowControl w:val="0"/>
                    <w:kinsoku/>
                    <w:wordWrap/>
                    <w:overflowPunct/>
                    <w:topLinePunct w:val="0"/>
                    <w:autoSpaceDE/>
                    <w:autoSpaceDN/>
                    <w:bidi w:val="0"/>
                    <w:adjustRightInd/>
                    <w:snapToGrid w:val="0"/>
                    <w:spacing w:line="240" w:lineRule="auto"/>
                    <w:ind w:firstLine="420" w:firstLineChars="200"/>
                    <w:jc w:val="both"/>
                    <w:textAlignment w:val="auto"/>
                    <w:rPr>
                      <w:rFonts w:hint="default"/>
                      <w:color w:val="auto"/>
                      <w:sz w:val="21"/>
                      <w:szCs w:val="21"/>
                      <w:lang w:val="en-US"/>
                    </w:rPr>
                  </w:pPr>
                  <w:r>
                    <w:rPr>
                      <w:rFonts w:hint="eastAsia"/>
                      <w:color w:val="auto"/>
                      <w:sz w:val="21"/>
                      <w:szCs w:val="21"/>
                      <w:lang w:val="en-US" w:eastAsia="zh-CN"/>
                    </w:rPr>
                    <w:t>本项目不在</w:t>
                  </w:r>
                  <w:r>
                    <w:rPr>
                      <w:rFonts w:hint="default" w:ascii="Times New Roman" w:hAnsi="Times New Roman" w:cs="Times New Roman"/>
                      <w:color w:val="auto"/>
                      <w:sz w:val="21"/>
                      <w:szCs w:val="21"/>
                      <w:highlight w:val="none"/>
                      <w:lang w:val="en-US" w:eastAsia="zh-CN"/>
                    </w:rPr>
                    <w:t>重要险工险段、重要涉水工程及设施、河势变化敏感区、地质灾害易发区、水土流失严重区所在岸段的岸线控制利用区</w:t>
                  </w:r>
                  <w:r>
                    <w:rPr>
                      <w:rFonts w:hint="eastAsia" w:ascii="Times New Roman" w:hAnsi="Times New Roman" w:cs="Times New Roman"/>
                      <w:color w:val="auto"/>
                      <w:sz w:val="21"/>
                      <w:szCs w:val="21"/>
                      <w:highlight w:val="none"/>
                      <w:lang w:val="en-US" w:eastAsia="zh-CN"/>
                    </w:rPr>
                    <w:t>。</w:t>
                  </w:r>
                </w:p>
              </w:tc>
              <w:tc>
                <w:tcPr>
                  <w:tcW w:w="644" w:type="dxa"/>
                  <w:noWrap w:val="0"/>
                  <w:vAlign w:val="center"/>
                </w:tcPr>
                <w:p w14:paraId="5108EB6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color w:val="auto"/>
                      <w:sz w:val="21"/>
                      <w:szCs w:val="21"/>
                    </w:rPr>
                  </w:pPr>
                  <w:r>
                    <w:rPr>
                      <w:rFonts w:hint="eastAsia"/>
                      <w:color w:val="auto"/>
                      <w:sz w:val="21"/>
                      <w:szCs w:val="21"/>
                      <w:lang w:val="en-US" w:eastAsia="zh-CN"/>
                    </w:rPr>
                    <w:t>符合</w:t>
                  </w:r>
                </w:p>
              </w:tc>
            </w:tr>
            <w:tr w14:paraId="104E3A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442" w:type="dxa"/>
                  <w:vMerge w:val="continue"/>
                  <w:noWrap w:val="0"/>
                  <w:vAlign w:val="center"/>
                </w:tcPr>
                <w:p w14:paraId="08B591A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color w:val="auto"/>
                      <w:sz w:val="21"/>
                      <w:szCs w:val="21"/>
                    </w:rPr>
                  </w:pPr>
                </w:p>
              </w:tc>
              <w:tc>
                <w:tcPr>
                  <w:tcW w:w="1701" w:type="dxa"/>
                  <w:gridSpan w:val="2"/>
                  <w:noWrap w:val="0"/>
                  <w:vAlign w:val="center"/>
                </w:tcPr>
                <w:p w14:paraId="7AE17F2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color w:val="auto"/>
                      <w:sz w:val="21"/>
                      <w:szCs w:val="21"/>
                    </w:rPr>
                  </w:pPr>
                  <w:r>
                    <w:rPr>
                      <w:rFonts w:hint="eastAsia"/>
                      <w:color w:val="auto"/>
                      <w:sz w:val="21"/>
                      <w:szCs w:val="21"/>
                    </w:rPr>
                    <w:t>允许开发建设活动的要求</w:t>
                  </w:r>
                </w:p>
              </w:tc>
              <w:tc>
                <w:tcPr>
                  <w:tcW w:w="2509" w:type="dxa"/>
                  <w:noWrap w:val="0"/>
                  <w:vAlign w:val="center"/>
                </w:tcPr>
                <w:p w14:paraId="16819130">
                  <w:pPr>
                    <w:keepNext w:val="0"/>
                    <w:keepLines w:val="0"/>
                    <w:pageBreakBefore w:val="0"/>
                    <w:widowControl w:val="0"/>
                    <w:kinsoku/>
                    <w:wordWrap/>
                    <w:overflowPunct/>
                    <w:topLinePunct w:val="0"/>
                    <w:autoSpaceDE/>
                    <w:autoSpaceDN/>
                    <w:bidi w:val="0"/>
                    <w:adjustRightInd/>
                    <w:snapToGrid w:val="0"/>
                    <w:spacing w:line="240" w:lineRule="auto"/>
                    <w:ind w:firstLine="420" w:firstLineChars="200"/>
                    <w:jc w:val="both"/>
                    <w:textAlignment w:val="auto"/>
                    <w:rPr>
                      <w:rFonts w:hint="eastAsia"/>
                      <w:color w:val="auto"/>
                      <w:sz w:val="21"/>
                      <w:szCs w:val="21"/>
                    </w:rPr>
                  </w:pPr>
                  <w:r>
                    <w:rPr>
                      <w:rFonts w:hint="eastAsia"/>
                      <w:color w:val="auto"/>
                      <w:sz w:val="21"/>
                      <w:szCs w:val="21"/>
                    </w:rPr>
                    <w:t>涉及河湖（含水库）管理范围的按照相关法律法规执行。</w:t>
                  </w:r>
                </w:p>
              </w:tc>
              <w:tc>
                <w:tcPr>
                  <w:tcW w:w="2741" w:type="dxa"/>
                  <w:noWrap w:val="0"/>
                  <w:vAlign w:val="center"/>
                </w:tcPr>
                <w:p w14:paraId="0AC0F29E">
                  <w:pPr>
                    <w:keepNext w:val="0"/>
                    <w:keepLines w:val="0"/>
                    <w:pageBreakBefore w:val="0"/>
                    <w:widowControl w:val="0"/>
                    <w:kinsoku/>
                    <w:wordWrap/>
                    <w:overflowPunct/>
                    <w:topLinePunct w:val="0"/>
                    <w:autoSpaceDE/>
                    <w:autoSpaceDN/>
                    <w:bidi w:val="0"/>
                    <w:adjustRightInd/>
                    <w:snapToGrid w:val="0"/>
                    <w:spacing w:line="240" w:lineRule="auto"/>
                    <w:ind w:firstLine="420" w:firstLineChars="200"/>
                    <w:jc w:val="both"/>
                    <w:textAlignment w:val="auto"/>
                    <w:rPr>
                      <w:rFonts w:hint="eastAsia" w:eastAsia="宋体"/>
                      <w:color w:val="auto"/>
                      <w:sz w:val="21"/>
                      <w:szCs w:val="21"/>
                      <w:lang w:val="en-US" w:eastAsia="zh-CN"/>
                    </w:rPr>
                  </w:pPr>
                  <w:r>
                    <w:rPr>
                      <w:rFonts w:hint="eastAsia"/>
                      <w:color w:val="auto"/>
                      <w:sz w:val="21"/>
                      <w:szCs w:val="21"/>
                      <w:lang w:val="en-US" w:eastAsia="zh-CN"/>
                    </w:rPr>
                    <w:t>本项目为机动车燃油零售项目，不属于涉及河湖</w:t>
                  </w:r>
                  <w:r>
                    <w:rPr>
                      <w:rFonts w:hint="eastAsia"/>
                      <w:color w:val="auto"/>
                      <w:sz w:val="21"/>
                      <w:szCs w:val="21"/>
                    </w:rPr>
                    <w:t>（含水库）管理范围的</w:t>
                  </w:r>
                  <w:r>
                    <w:rPr>
                      <w:rFonts w:hint="eastAsia"/>
                      <w:color w:val="auto"/>
                      <w:sz w:val="21"/>
                      <w:szCs w:val="21"/>
                      <w:lang w:val="en-US" w:eastAsia="zh-CN"/>
                    </w:rPr>
                    <w:t>项目。</w:t>
                  </w:r>
                </w:p>
              </w:tc>
              <w:tc>
                <w:tcPr>
                  <w:tcW w:w="644" w:type="dxa"/>
                  <w:noWrap w:val="0"/>
                  <w:vAlign w:val="center"/>
                </w:tcPr>
                <w:p w14:paraId="7D5E894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color w:val="auto"/>
                      <w:sz w:val="21"/>
                      <w:szCs w:val="21"/>
                    </w:rPr>
                  </w:pPr>
                  <w:r>
                    <w:rPr>
                      <w:rFonts w:hint="eastAsia"/>
                      <w:color w:val="auto"/>
                      <w:sz w:val="21"/>
                      <w:szCs w:val="21"/>
                      <w:lang w:val="en-US" w:eastAsia="zh-CN"/>
                    </w:rPr>
                    <w:t>符合</w:t>
                  </w:r>
                </w:p>
              </w:tc>
            </w:tr>
            <w:tr w14:paraId="57A4E8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442" w:type="dxa"/>
                  <w:vMerge w:val="continue"/>
                  <w:noWrap w:val="0"/>
                  <w:vAlign w:val="center"/>
                </w:tcPr>
                <w:p w14:paraId="2F9DD0E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color w:val="auto"/>
                      <w:sz w:val="21"/>
                      <w:szCs w:val="21"/>
                    </w:rPr>
                  </w:pPr>
                </w:p>
              </w:tc>
              <w:tc>
                <w:tcPr>
                  <w:tcW w:w="1701" w:type="dxa"/>
                  <w:gridSpan w:val="2"/>
                  <w:noWrap w:val="0"/>
                  <w:vAlign w:val="center"/>
                </w:tcPr>
                <w:p w14:paraId="452E79C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color w:val="auto"/>
                      <w:sz w:val="21"/>
                      <w:szCs w:val="21"/>
                    </w:rPr>
                  </w:pPr>
                  <w:r>
                    <w:rPr>
                      <w:color w:val="auto"/>
                      <w:sz w:val="21"/>
                      <w:szCs w:val="21"/>
                    </w:rPr>
                    <w:t>不符合空间布局要求活动的退出要求</w:t>
                  </w:r>
                </w:p>
              </w:tc>
              <w:tc>
                <w:tcPr>
                  <w:tcW w:w="2509" w:type="dxa"/>
                  <w:noWrap w:val="0"/>
                  <w:vAlign w:val="center"/>
                </w:tcPr>
                <w:p w14:paraId="3DEAC3AD">
                  <w:pPr>
                    <w:keepNext w:val="0"/>
                    <w:keepLines w:val="0"/>
                    <w:pageBreakBefore w:val="0"/>
                    <w:widowControl w:val="0"/>
                    <w:kinsoku/>
                    <w:wordWrap/>
                    <w:overflowPunct/>
                    <w:topLinePunct w:val="0"/>
                    <w:autoSpaceDE/>
                    <w:autoSpaceDN/>
                    <w:bidi w:val="0"/>
                    <w:adjustRightInd/>
                    <w:snapToGrid w:val="0"/>
                    <w:spacing w:line="240" w:lineRule="auto"/>
                    <w:ind w:firstLine="420" w:firstLineChars="200"/>
                    <w:textAlignment w:val="auto"/>
                    <w:rPr>
                      <w:color w:val="auto"/>
                      <w:sz w:val="21"/>
                      <w:szCs w:val="21"/>
                    </w:rPr>
                  </w:pPr>
                  <w:r>
                    <w:rPr>
                      <w:rFonts w:hint="eastAsia"/>
                      <w:color w:val="auto"/>
                      <w:sz w:val="21"/>
                      <w:szCs w:val="21"/>
                    </w:rPr>
                    <w:t>无</w:t>
                  </w:r>
                </w:p>
              </w:tc>
              <w:tc>
                <w:tcPr>
                  <w:tcW w:w="2741" w:type="dxa"/>
                  <w:noWrap w:val="0"/>
                  <w:vAlign w:val="center"/>
                </w:tcPr>
                <w:p w14:paraId="6EC6E312">
                  <w:pPr>
                    <w:keepNext w:val="0"/>
                    <w:keepLines w:val="0"/>
                    <w:pageBreakBefore w:val="0"/>
                    <w:widowControl w:val="0"/>
                    <w:kinsoku/>
                    <w:wordWrap/>
                    <w:overflowPunct/>
                    <w:topLinePunct w:val="0"/>
                    <w:autoSpaceDE/>
                    <w:autoSpaceDN/>
                    <w:bidi w:val="0"/>
                    <w:adjustRightInd/>
                    <w:snapToGrid w:val="0"/>
                    <w:spacing w:line="240" w:lineRule="auto"/>
                    <w:ind w:firstLine="420" w:firstLineChars="200"/>
                    <w:textAlignment w:val="auto"/>
                    <w:rPr>
                      <w:color w:val="auto"/>
                      <w:sz w:val="21"/>
                      <w:szCs w:val="21"/>
                    </w:rPr>
                  </w:pPr>
                  <w:r>
                    <w:rPr>
                      <w:rFonts w:hint="eastAsia"/>
                      <w:color w:val="auto"/>
                      <w:sz w:val="21"/>
                      <w:szCs w:val="21"/>
                      <w:lang w:val="en-US" w:eastAsia="zh-CN"/>
                    </w:rPr>
                    <w:t>/</w:t>
                  </w:r>
                </w:p>
              </w:tc>
              <w:tc>
                <w:tcPr>
                  <w:tcW w:w="644" w:type="dxa"/>
                  <w:noWrap w:val="0"/>
                  <w:vAlign w:val="center"/>
                </w:tcPr>
                <w:p w14:paraId="245229B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color w:val="auto"/>
                      <w:sz w:val="21"/>
                      <w:szCs w:val="21"/>
                    </w:rPr>
                  </w:pPr>
                  <w:r>
                    <w:rPr>
                      <w:rFonts w:hint="eastAsia"/>
                      <w:color w:val="auto"/>
                      <w:sz w:val="21"/>
                      <w:szCs w:val="21"/>
                      <w:lang w:val="en-US" w:eastAsia="zh-CN"/>
                    </w:rPr>
                    <w:t>/</w:t>
                  </w:r>
                </w:p>
              </w:tc>
            </w:tr>
            <w:tr w14:paraId="2D4BE5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442" w:type="dxa"/>
                  <w:vMerge w:val="continue"/>
                  <w:noWrap w:val="0"/>
                  <w:vAlign w:val="center"/>
                </w:tcPr>
                <w:p w14:paraId="71EDE5B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color w:val="auto"/>
                      <w:sz w:val="21"/>
                      <w:szCs w:val="21"/>
                    </w:rPr>
                  </w:pPr>
                </w:p>
              </w:tc>
              <w:tc>
                <w:tcPr>
                  <w:tcW w:w="1701" w:type="dxa"/>
                  <w:gridSpan w:val="2"/>
                  <w:noWrap w:val="0"/>
                  <w:vAlign w:val="center"/>
                </w:tcPr>
                <w:p w14:paraId="19B9E6D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color w:val="auto"/>
                      <w:sz w:val="21"/>
                      <w:szCs w:val="21"/>
                    </w:rPr>
                  </w:pPr>
                  <w:r>
                    <w:rPr>
                      <w:rFonts w:hint="eastAsia"/>
                      <w:color w:val="auto"/>
                      <w:sz w:val="21"/>
                      <w:szCs w:val="21"/>
                    </w:rPr>
                    <w:t>其他空间布局约束要求</w:t>
                  </w:r>
                </w:p>
              </w:tc>
              <w:tc>
                <w:tcPr>
                  <w:tcW w:w="2509" w:type="dxa"/>
                  <w:noWrap w:val="0"/>
                  <w:vAlign w:val="center"/>
                </w:tcPr>
                <w:p w14:paraId="0E846FE3">
                  <w:pPr>
                    <w:keepNext w:val="0"/>
                    <w:keepLines w:val="0"/>
                    <w:pageBreakBefore w:val="0"/>
                    <w:widowControl w:val="0"/>
                    <w:kinsoku/>
                    <w:wordWrap/>
                    <w:overflowPunct/>
                    <w:topLinePunct w:val="0"/>
                    <w:autoSpaceDE/>
                    <w:autoSpaceDN/>
                    <w:bidi w:val="0"/>
                    <w:adjustRightInd/>
                    <w:snapToGrid w:val="0"/>
                    <w:spacing w:line="240" w:lineRule="auto"/>
                    <w:ind w:firstLine="420" w:firstLineChars="200"/>
                    <w:jc w:val="both"/>
                    <w:textAlignment w:val="auto"/>
                    <w:rPr>
                      <w:rFonts w:hint="eastAsia"/>
                      <w:color w:val="auto"/>
                      <w:sz w:val="21"/>
                      <w:szCs w:val="21"/>
                    </w:rPr>
                  </w:pPr>
                  <w:r>
                    <w:rPr>
                      <w:rFonts w:hint="eastAsia"/>
                      <w:color w:val="auto"/>
                      <w:sz w:val="21"/>
                      <w:szCs w:val="21"/>
                    </w:rPr>
                    <w:t>无</w:t>
                  </w:r>
                </w:p>
              </w:tc>
              <w:tc>
                <w:tcPr>
                  <w:tcW w:w="2741" w:type="dxa"/>
                  <w:noWrap w:val="0"/>
                  <w:vAlign w:val="center"/>
                </w:tcPr>
                <w:p w14:paraId="1CF3B739">
                  <w:pPr>
                    <w:keepNext w:val="0"/>
                    <w:keepLines w:val="0"/>
                    <w:pageBreakBefore w:val="0"/>
                    <w:widowControl w:val="0"/>
                    <w:kinsoku/>
                    <w:wordWrap/>
                    <w:overflowPunct/>
                    <w:topLinePunct w:val="0"/>
                    <w:autoSpaceDE/>
                    <w:autoSpaceDN/>
                    <w:bidi w:val="0"/>
                    <w:adjustRightInd/>
                    <w:snapToGrid w:val="0"/>
                    <w:spacing w:line="240" w:lineRule="auto"/>
                    <w:ind w:firstLine="420" w:firstLineChars="200"/>
                    <w:jc w:val="both"/>
                    <w:textAlignment w:val="auto"/>
                    <w:rPr>
                      <w:rFonts w:hint="eastAsia" w:eastAsia="宋体"/>
                      <w:color w:val="auto"/>
                      <w:sz w:val="21"/>
                      <w:szCs w:val="21"/>
                      <w:lang w:eastAsia="zh-CN"/>
                    </w:rPr>
                  </w:pPr>
                  <w:r>
                    <w:rPr>
                      <w:rFonts w:hint="eastAsia"/>
                      <w:color w:val="auto"/>
                      <w:sz w:val="21"/>
                      <w:szCs w:val="21"/>
                      <w:lang w:val="en-US" w:eastAsia="zh-CN"/>
                    </w:rPr>
                    <w:t>/</w:t>
                  </w:r>
                </w:p>
              </w:tc>
              <w:tc>
                <w:tcPr>
                  <w:tcW w:w="644" w:type="dxa"/>
                  <w:noWrap w:val="0"/>
                  <w:vAlign w:val="center"/>
                </w:tcPr>
                <w:p w14:paraId="7FF1EB0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color w:val="auto"/>
                      <w:sz w:val="21"/>
                      <w:szCs w:val="21"/>
                      <w:lang w:eastAsia="zh-CN"/>
                    </w:rPr>
                  </w:pPr>
                  <w:r>
                    <w:rPr>
                      <w:rFonts w:hint="eastAsia"/>
                      <w:color w:val="auto"/>
                      <w:sz w:val="21"/>
                      <w:szCs w:val="21"/>
                      <w:lang w:val="en-US" w:eastAsia="zh-CN"/>
                    </w:rPr>
                    <w:t>/</w:t>
                  </w:r>
                </w:p>
              </w:tc>
            </w:tr>
            <w:tr w14:paraId="4F8073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2" w:type="dxa"/>
                  <w:vMerge w:val="restart"/>
                  <w:noWrap w:val="0"/>
                  <w:vAlign w:val="center"/>
                </w:tcPr>
                <w:p w14:paraId="6ED18B6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color w:val="auto"/>
                      <w:sz w:val="21"/>
                      <w:szCs w:val="21"/>
                    </w:rPr>
                  </w:pPr>
                  <w:r>
                    <w:rPr>
                      <w:color w:val="auto"/>
                      <w:sz w:val="21"/>
                      <w:szCs w:val="21"/>
                    </w:rPr>
                    <w:t>污染物排放管控</w:t>
                  </w:r>
                </w:p>
              </w:tc>
              <w:tc>
                <w:tcPr>
                  <w:tcW w:w="1701" w:type="dxa"/>
                  <w:gridSpan w:val="2"/>
                  <w:noWrap w:val="0"/>
                  <w:vAlign w:val="center"/>
                </w:tcPr>
                <w:p w14:paraId="221A907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color w:val="auto"/>
                      <w:sz w:val="21"/>
                      <w:szCs w:val="21"/>
                    </w:rPr>
                  </w:pPr>
                  <w:r>
                    <w:rPr>
                      <w:color w:val="auto"/>
                      <w:sz w:val="21"/>
                      <w:szCs w:val="21"/>
                    </w:rPr>
                    <w:t>现有源提标升级改造</w:t>
                  </w:r>
                </w:p>
              </w:tc>
              <w:tc>
                <w:tcPr>
                  <w:tcW w:w="2509" w:type="dxa"/>
                  <w:noWrap w:val="0"/>
                  <w:vAlign w:val="center"/>
                </w:tcPr>
                <w:p w14:paraId="0CFF519B">
                  <w:pPr>
                    <w:keepNext w:val="0"/>
                    <w:keepLines w:val="0"/>
                    <w:pageBreakBefore w:val="0"/>
                    <w:widowControl w:val="0"/>
                    <w:kinsoku/>
                    <w:wordWrap/>
                    <w:overflowPunct/>
                    <w:topLinePunct w:val="0"/>
                    <w:autoSpaceDE/>
                    <w:autoSpaceDN/>
                    <w:bidi w:val="0"/>
                    <w:adjustRightInd/>
                    <w:snapToGrid w:val="0"/>
                    <w:spacing w:line="240" w:lineRule="auto"/>
                    <w:ind w:firstLine="420" w:firstLineChars="200"/>
                    <w:textAlignment w:val="auto"/>
                    <w:rPr>
                      <w:rFonts w:hint="eastAsia" w:eastAsia="宋体"/>
                      <w:color w:val="auto"/>
                      <w:sz w:val="21"/>
                      <w:szCs w:val="21"/>
                      <w:lang w:eastAsia="zh-CN"/>
                    </w:rPr>
                  </w:pPr>
                  <w:r>
                    <w:rPr>
                      <w:rFonts w:hint="default" w:ascii="Times New Roman" w:hAnsi="Times New Roman" w:cs="Times New Roman"/>
                      <w:color w:val="auto"/>
                      <w:sz w:val="21"/>
                      <w:szCs w:val="21"/>
                      <w:highlight w:val="none"/>
                      <w:lang w:val="en-US" w:eastAsia="zh-CN"/>
                    </w:rPr>
                    <w:t>城市建成区生活污水需集中收集，其尾水排放应逐步达到一级A标准</w:t>
                  </w:r>
                  <w:r>
                    <w:rPr>
                      <w:rFonts w:hint="eastAsia" w:ascii="Times New Roman" w:hAnsi="Times New Roman" w:cs="Times New Roman"/>
                      <w:color w:val="auto"/>
                      <w:sz w:val="21"/>
                      <w:szCs w:val="21"/>
                      <w:highlight w:val="none"/>
                      <w:lang w:val="en-US" w:eastAsia="zh-CN"/>
                    </w:rPr>
                    <w:t>。</w:t>
                  </w:r>
                </w:p>
              </w:tc>
              <w:tc>
                <w:tcPr>
                  <w:tcW w:w="2741" w:type="dxa"/>
                  <w:noWrap w:val="0"/>
                  <w:vAlign w:val="center"/>
                </w:tcPr>
                <w:p w14:paraId="4EFB268D">
                  <w:pPr>
                    <w:keepNext w:val="0"/>
                    <w:keepLines w:val="0"/>
                    <w:pageBreakBefore w:val="0"/>
                    <w:widowControl w:val="0"/>
                    <w:kinsoku/>
                    <w:wordWrap w:val="0"/>
                    <w:overflowPunct/>
                    <w:topLinePunct w:val="0"/>
                    <w:autoSpaceDE/>
                    <w:autoSpaceDN/>
                    <w:bidi w:val="0"/>
                    <w:adjustRightInd/>
                    <w:snapToGrid w:val="0"/>
                    <w:spacing w:line="240" w:lineRule="auto"/>
                    <w:ind w:firstLine="420" w:firstLineChars="200"/>
                    <w:textAlignment w:val="auto"/>
                    <w:rPr>
                      <w:rFonts w:hint="default"/>
                      <w:color w:val="auto"/>
                      <w:sz w:val="21"/>
                      <w:szCs w:val="21"/>
                      <w:lang w:val="en-US"/>
                    </w:rPr>
                  </w:pPr>
                  <w:r>
                    <w:rPr>
                      <w:rFonts w:hint="eastAsia" w:ascii="Times New Roman" w:hAnsi="Times New Roman" w:eastAsia="宋体" w:cs="Times New Roman"/>
                      <w:color w:val="auto"/>
                      <w:sz w:val="21"/>
                      <w:szCs w:val="21"/>
                      <w:lang w:val="en-US" w:eastAsia="zh-CN"/>
                    </w:rPr>
                    <w:t>本</w:t>
                  </w:r>
                  <w:r>
                    <w:rPr>
                      <w:rFonts w:hint="eastAsia" w:ascii="Times New Roman" w:hAnsi="Times New Roman" w:eastAsia="宋体" w:cs="Times New Roman"/>
                      <w:color w:val="auto"/>
                      <w:sz w:val="21"/>
                      <w:szCs w:val="21"/>
                      <w:lang w:eastAsia="zh-CN"/>
                    </w:rPr>
                    <w:t>项目外排废水为</w:t>
                  </w:r>
                  <w:r>
                    <w:rPr>
                      <w:rFonts w:hint="eastAsia" w:cs="Times New Roman"/>
                      <w:b w:val="0"/>
                      <w:bCs w:val="0"/>
                      <w:color w:val="auto"/>
                      <w:spacing w:val="4"/>
                      <w:kern w:val="18"/>
                      <w:sz w:val="21"/>
                      <w:szCs w:val="21"/>
                      <w:highlight w:val="none"/>
                      <w:vertAlign w:val="baseline"/>
                      <w:lang w:val="en-US" w:eastAsia="zh-CN"/>
                    </w:rPr>
                    <w:t>生活污水，生活污水经油水分离器+化粪池预处理达红心村生活污水处理站接管标准，经污水管网排入红心村生活污水处理站进一步处理后，满足《城镇污水处理厂污染物排放标准》（GB18918-2002）及其修改单中一级B标准排放。红心村污水处理站远期计划提标改造，尾水排放会逐步</w:t>
                  </w:r>
                  <w:r>
                    <w:rPr>
                      <w:rFonts w:hint="default" w:ascii="Times New Roman" w:hAnsi="Times New Roman" w:cs="Times New Roman"/>
                      <w:color w:val="auto"/>
                      <w:sz w:val="21"/>
                      <w:szCs w:val="21"/>
                      <w:highlight w:val="none"/>
                      <w:lang w:val="en-US" w:eastAsia="zh-CN"/>
                    </w:rPr>
                    <w:t>达到一级A标准</w:t>
                  </w:r>
                  <w:r>
                    <w:rPr>
                      <w:rFonts w:hint="eastAsia" w:ascii="Times New Roman" w:hAnsi="Times New Roman" w:cs="Times New Roman"/>
                      <w:color w:val="auto"/>
                      <w:sz w:val="21"/>
                      <w:szCs w:val="21"/>
                      <w:highlight w:val="none"/>
                      <w:lang w:val="en-US" w:eastAsia="zh-CN"/>
                    </w:rPr>
                    <w:t>。</w:t>
                  </w:r>
                </w:p>
              </w:tc>
              <w:tc>
                <w:tcPr>
                  <w:tcW w:w="644" w:type="dxa"/>
                  <w:noWrap w:val="0"/>
                  <w:vAlign w:val="center"/>
                </w:tcPr>
                <w:p w14:paraId="78114E4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color w:val="auto"/>
                      <w:sz w:val="21"/>
                      <w:szCs w:val="21"/>
                    </w:rPr>
                  </w:pPr>
                  <w:r>
                    <w:rPr>
                      <w:color w:val="auto"/>
                      <w:sz w:val="21"/>
                      <w:szCs w:val="21"/>
                    </w:rPr>
                    <w:t>符合</w:t>
                  </w:r>
                </w:p>
              </w:tc>
            </w:tr>
            <w:tr w14:paraId="018D77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2" w:type="dxa"/>
                  <w:vMerge w:val="continue"/>
                  <w:noWrap w:val="0"/>
                  <w:vAlign w:val="center"/>
                </w:tcPr>
                <w:p w14:paraId="450835D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color w:val="auto"/>
                      <w:sz w:val="21"/>
                      <w:szCs w:val="21"/>
                    </w:rPr>
                  </w:pPr>
                </w:p>
              </w:tc>
              <w:tc>
                <w:tcPr>
                  <w:tcW w:w="1701" w:type="dxa"/>
                  <w:gridSpan w:val="2"/>
                  <w:noWrap w:val="0"/>
                  <w:vAlign w:val="center"/>
                </w:tcPr>
                <w:p w14:paraId="7862FAC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color w:val="auto"/>
                      <w:sz w:val="21"/>
                      <w:szCs w:val="21"/>
                    </w:rPr>
                  </w:pPr>
                  <w:r>
                    <w:rPr>
                      <w:color w:val="auto"/>
                      <w:sz w:val="21"/>
                      <w:szCs w:val="21"/>
                    </w:rPr>
                    <w:t>新增源等量或倍量替代</w:t>
                  </w:r>
                </w:p>
              </w:tc>
              <w:tc>
                <w:tcPr>
                  <w:tcW w:w="2509" w:type="dxa"/>
                  <w:noWrap w:val="0"/>
                  <w:vAlign w:val="center"/>
                </w:tcPr>
                <w:p w14:paraId="02D3CE2A">
                  <w:pPr>
                    <w:keepNext w:val="0"/>
                    <w:keepLines w:val="0"/>
                    <w:pageBreakBefore w:val="0"/>
                    <w:widowControl w:val="0"/>
                    <w:kinsoku/>
                    <w:wordWrap/>
                    <w:overflowPunct/>
                    <w:topLinePunct w:val="0"/>
                    <w:autoSpaceDE/>
                    <w:autoSpaceDN/>
                    <w:bidi w:val="0"/>
                    <w:adjustRightInd/>
                    <w:snapToGrid w:val="0"/>
                    <w:spacing w:line="240" w:lineRule="auto"/>
                    <w:ind w:firstLine="420" w:firstLineChars="200"/>
                    <w:textAlignment w:val="auto"/>
                    <w:rPr>
                      <w:rFonts w:hint="eastAsia"/>
                      <w:color w:val="auto"/>
                      <w:sz w:val="21"/>
                      <w:szCs w:val="21"/>
                    </w:rPr>
                  </w:pPr>
                  <w:r>
                    <w:rPr>
                      <w:rFonts w:hint="eastAsia"/>
                      <w:color w:val="auto"/>
                      <w:sz w:val="21"/>
                      <w:szCs w:val="21"/>
                    </w:rPr>
                    <w:t>无</w:t>
                  </w:r>
                </w:p>
              </w:tc>
              <w:tc>
                <w:tcPr>
                  <w:tcW w:w="2741" w:type="dxa"/>
                  <w:noWrap w:val="0"/>
                  <w:vAlign w:val="center"/>
                </w:tcPr>
                <w:p w14:paraId="574A6503">
                  <w:pPr>
                    <w:keepNext w:val="0"/>
                    <w:keepLines w:val="0"/>
                    <w:pageBreakBefore w:val="0"/>
                    <w:widowControl w:val="0"/>
                    <w:kinsoku/>
                    <w:wordWrap/>
                    <w:overflowPunct/>
                    <w:topLinePunct w:val="0"/>
                    <w:autoSpaceDE/>
                    <w:autoSpaceDN/>
                    <w:bidi w:val="0"/>
                    <w:adjustRightInd/>
                    <w:snapToGrid w:val="0"/>
                    <w:spacing w:line="240" w:lineRule="auto"/>
                    <w:ind w:firstLine="420" w:firstLineChars="200"/>
                    <w:textAlignment w:val="auto"/>
                    <w:rPr>
                      <w:color w:val="auto"/>
                      <w:sz w:val="21"/>
                      <w:szCs w:val="21"/>
                    </w:rPr>
                  </w:pPr>
                  <w:r>
                    <w:rPr>
                      <w:rFonts w:hint="eastAsia"/>
                      <w:color w:val="auto"/>
                      <w:sz w:val="21"/>
                      <w:szCs w:val="21"/>
                      <w:lang w:val="en-US" w:eastAsia="zh-CN"/>
                    </w:rPr>
                    <w:t>/</w:t>
                  </w:r>
                </w:p>
              </w:tc>
              <w:tc>
                <w:tcPr>
                  <w:tcW w:w="644" w:type="dxa"/>
                  <w:noWrap w:val="0"/>
                  <w:vAlign w:val="center"/>
                </w:tcPr>
                <w:p w14:paraId="159313C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color w:val="auto"/>
                      <w:sz w:val="21"/>
                      <w:szCs w:val="21"/>
                    </w:rPr>
                  </w:pPr>
                  <w:r>
                    <w:rPr>
                      <w:rFonts w:hint="eastAsia"/>
                      <w:color w:val="auto"/>
                      <w:sz w:val="21"/>
                      <w:szCs w:val="21"/>
                      <w:lang w:val="en-US" w:eastAsia="zh-CN"/>
                    </w:rPr>
                    <w:t>/</w:t>
                  </w:r>
                </w:p>
              </w:tc>
            </w:tr>
            <w:tr w14:paraId="0DB8AD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2" w:type="dxa"/>
                  <w:vMerge w:val="continue"/>
                  <w:noWrap w:val="0"/>
                  <w:vAlign w:val="center"/>
                </w:tcPr>
                <w:p w14:paraId="2367A1D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color w:val="auto"/>
                      <w:sz w:val="21"/>
                      <w:szCs w:val="21"/>
                    </w:rPr>
                  </w:pPr>
                </w:p>
              </w:tc>
              <w:tc>
                <w:tcPr>
                  <w:tcW w:w="1701" w:type="dxa"/>
                  <w:gridSpan w:val="2"/>
                  <w:noWrap w:val="0"/>
                  <w:vAlign w:val="center"/>
                </w:tcPr>
                <w:p w14:paraId="07CC25A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color w:val="auto"/>
                      <w:sz w:val="21"/>
                      <w:szCs w:val="21"/>
                    </w:rPr>
                  </w:pPr>
                  <w:r>
                    <w:rPr>
                      <w:color w:val="auto"/>
                      <w:sz w:val="21"/>
                      <w:szCs w:val="21"/>
                    </w:rPr>
                    <w:t>新增源排放标准限值</w:t>
                  </w:r>
                </w:p>
              </w:tc>
              <w:tc>
                <w:tcPr>
                  <w:tcW w:w="2509" w:type="dxa"/>
                  <w:noWrap w:val="0"/>
                  <w:vAlign w:val="center"/>
                </w:tcPr>
                <w:p w14:paraId="4E9868CC">
                  <w:pPr>
                    <w:keepNext w:val="0"/>
                    <w:keepLines w:val="0"/>
                    <w:pageBreakBefore w:val="0"/>
                    <w:widowControl w:val="0"/>
                    <w:kinsoku/>
                    <w:wordWrap/>
                    <w:overflowPunct/>
                    <w:topLinePunct w:val="0"/>
                    <w:autoSpaceDE/>
                    <w:autoSpaceDN/>
                    <w:bidi w:val="0"/>
                    <w:adjustRightInd/>
                    <w:snapToGrid w:val="0"/>
                    <w:spacing w:line="240" w:lineRule="auto"/>
                    <w:ind w:firstLine="420" w:firstLineChars="200"/>
                    <w:textAlignment w:val="auto"/>
                    <w:rPr>
                      <w:rFonts w:hint="eastAsia"/>
                      <w:color w:val="auto"/>
                      <w:sz w:val="21"/>
                      <w:szCs w:val="21"/>
                    </w:rPr>
                  </w:pPr>
                  <w:r>
                    <w:rPr>
                      <w:rFonts w:hint="eastAsia"/>
                      <w:color w:val="auto"/>
                      <w:sz w:val="21"/>
                      <w:szCs w:val="21"/>
                    </w:rPr>
                    <w:t>无</w:t>
                  </w:r>
                </w:p>
              </w:tc>
              <w:tc>
                <w:tcPr>
                  <w:tcW w:w="2741" w:type="dxa"/>
                  <w:noWrap w:val="0"/>
                  <w:vAlign w:val="center"/>
                </w:tcPr>
                <w:p w14:paraId="37B6FCDD">
                  <w:pPr>
                    <w:keepNext w:val="0"/>
                    <w:keepLines w:val="0"/>
                    <w:pageBreakBefore w:val="0"/>
                    <w:widowControl w:val="0"/>
                    <w:kinsoku/>
                    <w:wordWrap/>
                    <w:overflowPunct/>
                    <w:topLinePunct w:val="0"/>
                    <w:autoSpaceDE/>
                    <w:autoSpaceDN/>
                    <w:bidi w:val="0"/>
                    <w:adjustRightInd/>
                    <w:snapToGrid w:val="0"/>
                    <w:spacing w:line="240" w:lineRule="auto"/>
                    <w:ind w:firstLine="420" w:firstLineChars="200"/>
                    <w:textAlignment w:val="auto"/>
                    <w:rPr>
                      <w:color w:val="auto"/>
                      <w:sz w:val="21"/>
                      <w:szCs w:val="21"/>
                    </w:rPr>
                  </w:pPr>
                  <w:r>
                    <w:rPr>
                      <w:rFonts w:hint="eastAsia"/>
                      <w:color w:val="auto"/>
                      <w:sz w:val="21"/>
                      <w:szCs w:val="21"/>
                      <w:lang w:val="en-US" w:eastAsia="zh-CN"/>
                    </w:rPr>
                    <w:t>/</w:t>
                  </w:r>
                </w:p>
              </w:tc>
              <w:tc>
                <w:tcPr>
                  <w:tcW w:w="644" w:type="dxa"/>
                  <w:noWrap w:val="0"/>
                  <w:vAlign w:val="center"/>
                </w:tcPr>
                <w:p w14:paraId="04F4F26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color w:val="auto"/>
                      <w:sz w:val="21"/>
                      <w:szCs w:val="21"/>
                    </w:rPr>
                  </w:pPr>
                  <w:r>
                    <w:rPr>
                      <w:rFonts w:hint="eastAsia"/>
                      <w:color w:val="auto"/>
                      <w:sz w:val="21"/>
                      <w:szCs w:val="21"/>
                      <w:lang w:val="en-US" w:eastAsia="zh-CN"/>
                    </w:rPr>
                    <w:t>/</w:t>
                  </w:r>
                </w:p>
              </w:tc>
            </w:tr>
            <w:tr w14:paraId="010BFA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2" w:type="dxa"/>
                  <w:vMerge w:val="continue"/>
                  <w:noWrap w:val="0"/>
                  <w:vAlign w:val="center"/>
                </w:tcPr>
                <w:p w14:paraId="2BEB2DF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color w:val="auto"/>
                      <w:sz w:val="21"/>
                      <w:szCs w:val="21"/>
                    </w:rPr>
                  </w:pPr>
                </w:p>
              </w:tc>
              <w:tc>
                <w:tcPr>
                  <w:tcW w:w="1701" w:type="dxa"/>
                  <w:gridSpan w:val="2"/>
                  <w:noWrap w:val="0"/>
                  <w:vAlign w:val="center"/>
                </w:tcPr>
                <w:p w14:paraId="21B3564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color w:val="auto"/>
                      <w:sz w:val="21"/>
                      <w:szCs w:val="21"/>
                    </w:rPr>
                  </w:pPr>
                  <w:r>
                    <w:rPr>
                      <w:color w:val="auto"/>
                      <w:sz w:val="21"/>
                      <w:szCs w:val="21"/>
                    </w:rPr>
                    <w:t>污染物排放绩效水平准入要求</w:t>
                  </w:r>
                </w:p>
              </w:tc>
              <w:tc>
                <w:tcPr>
                  <w:tcW w:w="2509" w:type="dxa"/>
                  <w:noWrap w:val="0"/>
                  <w:vAlign w:val="center"/>
                </w:tcPr>
                <w:p w14:paraId="16986EA1">
                  <w:pPr>
                    <w:keepNext w:val="0"/>
                    <w:keepLines w:val="0"/>
                    <w:pageBreakBefore w:val="0"/>
                    <w:widowControl w:val="0"/>
                    <w:kinsoku/>
                    <w:wordWrap/>
                    <w:overflowPunct/>
                    <w:topLinePunct w:val="0"/>
                    <w:autoSpaceDE/>
                    <w:autoSpaceDN/>
                    <w:bidi w:val="0"/>
                    <w:adjustRightInd/>
                    <w:snapToGrid w:val="0"/>
                    <w:spacing w:line="240" w:lineRule="auto"/>
                    <w:ind w:firstLine="420" w:firstLineChars="200"/>
                    <w:textAlignment w:val="auto"/>
                    <w:rPr>
                      <w:rFonts w:hint="eastAsia"/>
                      <w:color w:val="auto"/>
                      <w:sz w:val="21"/>
                      <w:szCs w:val="21"/>
                    </w:rPr>
                  </w:pPr>
                  <w:r>
                    <w:rPr>
                      <w:rFonts w:hint="eastAsia"/>
                      <w:color w:val="auto"/>
                      <w:sz w:val="21"/>
                      <w:szCs w:val="21"/>
                    </w:rPr>
                    <w:t>无</w:t>
                  </w:r>
                </w:p>
              </w:tc>
              <w:tc>
                <w:tcPr>
                  <w:tcW w:w="2741" w:type="dxa"/>
                  <w:noWrap w:val="0"/>
                  <w:vAlign w:val="center"/>
                </w:tcPr>
                <w:p w14:paraId="307E185C">
                  <w:pPr>
                    <w:keepNext w:val="0"/>
                    <w:keepLines w:val="0"/>
                    <w:pageBreakBefore w:val="0"/>
                    <w:widowControl w:val="0"/>
                    <w:kinsoku/>
                    <w:wordWrap/>
                    <w:overflowPunct/>
                    <w:topLinePunct w:val="0"/>
                    <w:autoSpaceDE/>
                    <w:autoSpaceDN/>
                    <w:bidi w:val="0"/>
                    <w:adjustRightInd/>
                    <w:snapToGrid w:val="0"/>
                    <w:spacing w:line="240" w:lineRule="auto"/>
                    <w:ind w:firstLine="420" w:firstLineChars="200"/>
                    <w:textAlignment w:val="auto"/>
                    <w:rPr>
                      <w:color w:val="auto"/>
                      <w:sz w:val="21"/>
                      <w:szCs w:val="21"/>
                    </w:rPr>
                  </w:pPr>
                  <w:r>
                    <w:rPr>
                      <w:rFonts w:hint="eastAsia"/>
                      <w:color w:val="auto"/>
                      <w:sz w:val="21"/>
                      <w:szCs w:val="21"/>
                      <w:lang w:val="en-US" w:eastAsia="zh-CN"/>
                    </w:rPr>
                    <w:t>/</w:t>
                  </w:r>
                </w:p>
              </w:tc>
              <w:tc>
                <w:tcPr>
                  <w:tcW w:w="644" w:type="dxa"/>
                  <w:noWrap w:val="0"/>
                  <w:vAlign w:val="center"/>
                </w:tcPr>
                <w:p w14:paraId="35DA5B0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color w:val="auto"/>
                      <w:sz w:val="21"/>
                      <w:szCs w:val="21"/>
                    </w:rPr>
                  </w:pPr>
                  <w:r>
                    <w:rPr>
                      <w:rFonts w:hint="eastAsia"/>
                      <w:color w:val="auto"/>
                      <w:sz w:val="21"/>
                      <w:szCs w:val="21"/>
                      <w:lang w:val="en-US" w:eastAsia="zh-CN"/>
                    </w:rPr>
                    <w:t>/</w:t>
                  </w:r>
                </w:p>
              </w:tc>
            </w:tr>
            <w:tr w14:paraId="57E7FA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2" w:type="dxa"/>
                  <w:vMerge w:val="continue"/>
                  <w:noWrap w:val="0"/>
                  <w:vAlign w:val="center"/>
                </w:tcPr>
                <w:p w14:paraId="04652B2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color w:val="auto"/>
                      <w:sz w:val="21"/>
                      <w:szCs w:val="21"/>
                    </w:rPr>
                  </w:pPr>
                </w:p>
              </w:tc>
              <w:tc>
                <w:tcPr>
                  <w:tcW w:w="1701" w:type="dxa"/>
                  <w:gridSpan w:val="2"/>
                  <w:noWrap w:val="0"/>
                  <w:vAlign w:val="center"/>
                </w:tcPr>
                <w:p w14:paraId="5238AA1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color w:val="auto"/>
                      <w:sz w:val="21"/>
                      <w:szCs w:val="21"/>
                    </w:rPr>
                  </w:pPr>
                  <w:r>
                    <w:rPr>
                      <w:rFonts w:hint="eastAsia"/>
                      <w:color w:val="auto"/>
                      <w:sz w:val="21"/>
                      <w:szCs w:val="21"/>
                    </w:rPr>
                    <w:t>其他污染物排放管控要求</w:t>
                  </w:r>
                </w:p>
              </w:tc>
              <w:tc>
                <w:tcPr>
                  <w:tcW w:w="2509" w:type="dxa"/>
                  <w:noWrap w:val="0"/>
                  <w:vAlign w:val="center"/>
                </w:tcPr>
                <w:p w14:paraId="1D0E0BB5">
                  <w:pPr>
                    <w:keepNext w:val="0"/>
                    <w:keepLines w:val="0"/>
                    <w:pageBreakBefore w:val="0"/>
                    <w:widowControl w:val="0"/>
                    <w:kinsoku/>
                    <w:wordWrap/>
                    <w:overflowPunct/>
                    <w:topLinePunct w:val="0"/>
                    <w:autoSpaceDE/>
                    <w:autoSpaceDN/>
                    <w:bidi w:val="0"/>
                    <w:adjustRightInd/>
                    <w:snapToGrid w:val="0"/>
                    <w:spacing w:line="240" w:lineRule="auto"/>
                    <w:ind w:firstLine="420" w:firstLineChars="200"/>
                    <w:jc w:val="both"/>
                    <w:textAlignment w:val="auto"/>
                    <w:rPr>
                      <w:color w:val="auto"/>
                      <w:sz w:val="21"/>
                      <w:szCs w:val="21"/>
                    </w:rPr>
                  </w:pPr>
                  <w:r>
                    <w:rPr>
                      <w:rFonts w:hint="eastAsia"/>
                      <w:color w:val="auto"/>
                      <w:sz w:val="21"/>
                      <w:szCs w:val="21"/>
                    </w:rPr>
                    <w:t>无</w:t>
                  </w:r>
                </w:p>
              </w:tc>
              <w:tc>
                <w:tcPr>
                  <w:tcW w:w="2741" w:type="dxa"/>
                  <w:noWrap w:val="0"/>
                  <w:vAlign w:val="center"/>
                </w:tcPr>
                <w:p w14:paraId="742D396F">
                  <w:pPr>
                    <w:keepNext w:val="0"/>
                    <w:keepLines w:val="0"/>
                    <w:pageBreakBefore w:val="0"/>
                    <w:widowControl w:val="0"/>
                    <w:kinsoku/>
                    <w:wordWrap/>
                    <w:overflowPunct/>
                    <w:topLinePunct w:val="0"/>
                    <w:autoSpaceDE/>
                    <w:autoSpaceDN/>
                    <w:bidi w:val="0"/>
                    <w:adjustRightInd/>
                    <w:snapToGrid w:val="0"/>
                    <w:spacing w:line="240" w:lineRule="auto"/>
                    <w:ind w:firstLine="420" w:firstLineChars="200"/>
                    <w:jc w:val="both"/>
                    <w:textAlignment w:val="auto"/>
                    <w:rPr>
                      <w:rFonts w:hint="eastAsia" w:eastAsia="宋体"/>
                      <w:color w:val="auto"/>
                      <w:sz w:val="21"/>
                      <w:szCs w:val="21"/>
                      <w:lang w:eastAsia="zh-CN"/>
                    </w:rPr>
                  </w:pPr>
                  <w:r>
                    <w:rPr>
                      <w:rFonts w:hint="eastAsia"/>
                      <w:color w:val="auto"/>
                      <w:sz w:val="21"/>
                      <w:szCs w:val="21"/>
                      <w:lang w:val="en-US" w:eastAsia="zh-CN"/>
                    </w:rPr>
                    <w:t>/</w:t>
                  </w:r>
                </w:p>
              </w:tc>
              <w:tc>
                <w:tcPr>
                  <w:tcW w:w="644" w:type="dxa"/>
                  <w:noWrap w:val="0"/>
                  <w:vAlign w:val="center"/>
                </w:tcPr>
                <w:p w14:paraId="675E77E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color w:val="auto"/>
                      <w:sz w:val="21"/>
                      <w:szCs w:val="21"/>
                      <w:lang w:eastAsia="zh-CN"/>
                    </w:rPr>
                  </w:pPr>
                  <w:r>
                    <w:rPr>
                      <w:rFonts w:hint="eastAsia"/>
                      <w:color w:val="auto"/>
                      <w:sz w:val="21"/>
                      <w:szCs w:val="21"/>
                      <w:lang w:val="en-US" w:eastAsia="zh-CN"/>
                    </w:rPr>
                    <w:t>/</w:t>
                  </w:r>
                </w:p>
              </w:tc>
            </w:tr>
            <w:tr w14:paraId="016497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2" w:type="dxa"/>
                  <w:vMerge w:val="restart"/>
                  <w:noWrap w:val="0"/>
                  <w:vAlign w:val="center"/>
                </w:tcPr>
                <w:p w14:paraId="2084EED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color w:val="auto"/>
                      <w:sz w:val="21"/>
                      <w:szCs w:val="21"/>
                    </w:rPr>
                  </w:pPr>
                  <w:r>
                    <w:rPr>
                      <w:color w:val="auto"/>
                      <w:sz w:val="21"/>
                      <w:szCs w:val="21"/>
                    </w:rPr>
                    <w:t>环境风险防范</w:t>
                  </w:r>
                </w:p>
              </w:tc>
              <w:tc>
                <w:tcPr>
                  <w:tcW w:w="430" w:type="dxa"/>
                  <w:vMerge w:val="restart"/>
                  <w:noWrap w:val="0"/>
                  <w:vAlign w:val="center"/>
                </w:tcPr>
                <w:p w14:paraId="1FF9446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color w:val="auto"/>
                      <w:sz w:val="21"/>
                      <w:szCs w:val="21"/>
                    </w:rPr>
                  </w:pPr>
                  <w:r>
                    <w:rPr>
                      <w:rFonts w:hint="eastAsia"/>
                      <w:color w:val="auto"/>
                      <w:sz w:val="21"/>
                      <w:szCs w:val="21"/>
                    </w:rPr>
                    <w:t>用地环境风险防控要求</w:t>
                  </w:r>
                </w:p>
              </w:tc>
              <w:tc>
                <w:tcPr>
                  <w:tcW w:w="1271" w:type="dxa"/>
                  <w:noWrap w:val="0"/>
                  <w:vAlign w:val="center"/>
                </w:tcPr>
                <w:p w14:paraId="79F39EF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color w:val="auto"/>
                      <w:sz w:val="21"/>
                      <w:szCs w:val="21"/>
                    </w:rPr>
                  </w:pPr>
                  <w:r>
                    <w:rPr>
                      <w:color w:val="auto"/>
                      <w:sz w:val="21"/>
                      <w:szCs w:val="21"/>
                    </w:rPr>
                    <w:t>严格管控类农用地</w:t>
                  </w:r>
                  <w:r>
                    <w:rPr>
                      <w:rFonts w:hint="eastAsia"/>
                      <w:color w:val="auto"/>
                      <w:sz w:val="21"/>
                      <w:szCs w:val="21"/>
                    </w:rPr>
                    <w:t>管控</w:t>
                  </w:r>
                  <w:r>
                    <w:rPr>
                      <w:color w:val="auto"/>
                      <w:sz w:val="21"/>
                      <w:szCs w:val="21"/>
                    </w:rPr>
                    <w:t>要求</w:t>
                  </w:r>
                </w:p>
              </w:tc>
              <w:tc>
                <w:tcPr>
                  <w:tcW w:w="2509" w:type="dxa"/>
                  <w:noWrap w:val="0"/>
                  <w:vAlign w:val="center"/>
                </w:tcPr>
                <w:p w14:paraId="21B3F509">
                  <w:pPr>
                    <w:keepNext w:val="0"/>
                    <w:keepLines w:val="0"/>
                    <w:pageBreakBefore w:val="0"/>
                    <w:widowControl w:val="0"/>
                    <w:kinsoku/>
                    <w:wordWrap/>
                    <w:overflowPunct/>
                    <w:topLinePunct w:val="0"/>
                    <w:autoSpaceDE/>
                    <w:autoSpaceDN/>
                    <w:bidi w:val="0"/>
                    <w:adjustRightInd/>
                    <w:snapToGrid w:val="0"/>
                    <w:spacing w:line="240" w:lineRule="auto"/>
                    <w:ind w:firstLine="420" w:firstLineChars="200"/>
                    <w:jc w:val="both"/>
                    <w:textAlignment w:val="auto"/>
                    <w:rPr>
                      <w:rFonts w:hint="eastAsia"/>
                      <w:color w:val="auto"/>
                      <w:sz w:val="21"/>
                      <w:szCs w:val="21"/>
                    </w:rPr>
                  </w:pPr>
                  <w:r>
                    <w:rPr>
                      <w:rFonts w:hint="eastAsia"/>
                      <w:color w:val="auto"/>
                      <w:sz w:val="21"/>
                      <w:szCs w:val="21"/>
                    </w:rPr>
                    <w:t>严格管控农用地，不得在污染地块种植食用农产品。</w:t>
                  </w:r>
                </w:p>
              </w:tc>
              <w:tc>
                <w:tcPr>
                  <w:tcW w:w="2741" w:type="dxa"/>
                  <w:noWrap w:val="0"/>
                  <w:vAlign w:val="center"/>
                </w:tcPr>
                <w:p w14:paraId="42F22AB6">
                  <w:pPr>
                    <w:keepNext w:val="0"/>
                    <w:keepLines w:val="0"/>
                    <w:pageBreakBefore w:val="0"/>
                    <w:widowControl w:val="0"/>
                    <w:kinsoku/>
                    <w:wordWrap/>
                    <w:overflowPunct/>
                    <w:topLinePunct w:val="0"/>
                    <w:autoSpaceDE/>
                    <w:autoSpaceDN/>
                    <w:bidi w:val="0"/>
                    <w:adjustRightInd/>
                    <w:snapToGrid w:val="0"/>
                    <w:spacing w:line="240" w:lineRule="auto"/>
                    <w:ind w:firstLine="420" w:firstLineChars="200"/>
                    <w:jc w:val="both"/>
                    <w:textAlignment w:val="auto"/>
                    <w:rPr>
                      <w:rFonts w:hint="eastAsia" w:eastAsia="宋体"/>
                      <w:color w:val="auto"/>
                      <w:sz w:val="21"/>
                      <w:szCs w:val="21"/>
                      <w:lang w:val="en-US" w:eastAsia="zh-CN"/>
                    </w:rPr>
                  </w:pPr>
                  <w:r>
                    <w:rPr>
                      <w:rFonts w:hint="eastAsia" w:eastAsia="宋体"/>
                      <w:color w:val="auto"/>
                      <w:sz w:val="21"/>
                      <w:szCs w:val="21"/>
                      <w:lang w:val="en-US" w:eastAsia="zh-CN"/>
                    </w:rPr>
                    <w:t>本项目用地性质为其他商服用地（加油加气充电），不属于</w:t>
                  </w:r>
                  <w:r>
                    <w:rPr>
                      <w:rFonts w:hint="eastAsia"/>
                      <w:color w:val="auto"/>
                      <w:sz w:val="21"/>
                      <w:szCs w:val="21"/>
                    </w:rPr>
                    <w:t>农用地</w:t>
                  </w:r>
                  <w:r>
                    <w:rPr>
                      <w:rFonts w:hint="eastAsia"/>
                      <w:color w:val="auto"/>
                      <w:sz w:val="21"/>
                      <w:szCs w:val="21"/>
                      <w:lang w:eastAsia="zh-CN"/>
                    </w:rPr>
                    <w:t>。</w:t>
                  </w:r>
                </w:p>
              </w:tc>
              <w:tc>
                <w:tcPr>
                  <w:tcW w:w="644" w:type="dxa"/>
                  <w:noWrap w:val="0"/>
                  <w:vAlign w:val="center"/>
                </w:tcPr>
                <w:p w14:paraId="6388204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color w:val="auto"/>
                      <w:sz w:val="21"/>
                      <w:szCs w:val="21"/>
                      <w:lang w:eastAsia="zh-CN"/>
                    </w:rPr>
                  </w:pPr>
                  <w:r>
                    <w:rPr>
                      <w:color w:val="auto"/>
                      <w:sz w:val="21"/>
                      <w:szCs w:val="21"/>
                    </w:rPr>
                    <w:t>符合</w:t>
                  </w:r>
                </w:p>
              </w:tc>
            </w:tr>
            <w:tr w14:paraId="222514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2" w:type="dxa"/>
                  <w:vMerge w:val="continue"/>
                  <w:noWrap w:val="0"/>
                  <w:vAlign w:val="center"/>
                </w:tcPr>
                <w:p w14:paraId="35A6CBC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color w:val="auto"/>
                      <w:sz w:val="21"/>
                      <w:szCs w:val="21"/>
                    </w:rPr>
                  </w:pPr>
                </w:p>
              </w:tc>
              <w:tc>
                <w:tcPr>
                  <w:tcW w:w="430" w:type="dxa"/>
                  <w:vMerge w:val="continue"/>
                  <w:noWrap w:val="0"/>
                  <w:vAlign w:val="center"/>
                </w:tcPr>
                <w:p w14:paraId="02AAE8E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color w:val="auto"/>
                      <w:sz w:val="21"/>
                      <w:szCs w:val="21"/>
                    </w:rPr>
                  </w:pPr>
                </w:p>
              </w:tc>
              <w:tc>
                <w:tcPr>
                  <w:tcW w:w="1271" w:type="dxa"/>
                  <w:noWrap w:val="0"/>
                  <w:vAlign w:val="center"/>
                </w:tcPr>
                <w:p w14:paraId="070407D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color w:val="auto"/>
                      <w:sz w:val="21"/>
                      <w:szCs w:val="21"/>
                    </w:rPr>
                  </w:pPr>
                  <w:r>
                    <w:rPr>
                      <w:color w:val="auto"/>
                      <w:sz w:val="21"/>
                      <w:szCs w:val="21"/>
                    </w:rPr>
                    <w:t>安全利用类农用地</w:t>
                  </w:r>
                  <w:r>
                    <w:rPr>
                      <w:rFonts w:hint="eastAsia"/>
                      <w:color w:val="auto"/>
                      <w:sz w:val="21"/>
                      <w:szCs w:val="21"/>
                    </w:rPr>
                    <w:t>管控</w:t>
                  </w:r>
                  <w:r>
                    <w:rPr>
                      <w:color w:val="auto"/>
                      <w:sz w:val="21"/>
                      <w:szCs w:val="21"/>
                    </w:rPr>
                    <w:t>要求</w:t>
                  </w:r>
                </w:p>
              </w:tc>
              <w:tc>
                <w:tcPr>
                  <w:tcW w:w="2509" w:type="dxa"/>
                  <w:noWrap w:val="0"/>
                  <w:vAlign w:val="center"/>
                </w:tcPr>
                <w:p w14:paraId="0A212F41">
                  <w:pPr>
                    <w:keepNext w:val="0"/>
                    <w:keepLines w:val="0"/>
                    <w:pageBreakBefore w:val="0"/>
                    <w:widowControl w:val="0"/>
                    <w:kinsoku/>
                    <w:wordWrap/>
                    <w:overflowPunct/>
                    <w:topLinePunct w:val="0"/>
                    <w:autoSpaceDE/>
                    <w:autoSpaceDN/>
                    <w:bidi w:val="0"/>
                    <w:adjustRightInd/>
                    <w:snapToGrid w:val="0"/>
                    <w:spacing w:line="240" w:lineRule="auto"/>
                    <w:ind w:firstLine="420" w:firstLineChars="200"/>
                    <w:jc w:val="both"/>
                    <w:textAlignment w:val="auto"/>
                    <w:rPr>
                      <w:rFonts w:hint="eastAsia"/>
                      <w:color w:val="auto"/>
                      <w:sz w:val="21"/>
                      <w:szCs w:val="21"/>
                    </w:rPr>
                  </w:pPr>
                  <w:r>
                    <w:rPr>
                      <w:rFonts w:hint="eastAsia"/>
                      <w:color w:val="auto"/>
                      <w:sz w:val="21"/>
                      <w:szCs w:val="21"/>
                    </w:rPr>
                    <w:t>安全利用类农用地，应制定替代种植、轮耕休耕等安全利用方案，降低农产品超标风险。</w:t>
                  </w:r>
                </w:p>
              </w:tc>
              <w:tc>
                <w:tcPr>
                  <w:tcW w:w="2741" w:type="dxa"/>
                  <w:noWrap w:val="0"/>
                  <w:vAlign w:val="center"/>
                </w:tcPr>
                <w:p w14:paraId="211D8935">
                  <w:pPr>
                    <w:keepNext w:val="0"/>
                    <w:keepLines w:val="0"/>
                    <w:pageBreakBefore w:val="0"/>
                    <w:widowControl w:val="0"/>
                    <w:kinsoku/>
                    <w:wordWrap/>
                    <w:overflowPunct/>
                    <w:topLinePunct w:val="0"/>
                    <w:autoSpaceDE/>
                    <w:autoSpaceDN/>
                    <w:bidi w:val="0"/>
                    <w:adjustRightInd/>
                    <w:snapToGrid w:val="0"/>
                    <w:spacing w:line="240" w:lineRule="auto"/>
                    <w:ind w:firstLine="420" w:firstLineChars="200"/>
                    <w:jc w:val="both"/>
                    <w:textAlignment w:val="auto"/>
                    <w:rPr>
                      <w:rFonts w:hint="eastAsia" w:eastAsia="宋体"/>
                      <w:color w:val="auto"/>
                      <w:sz w:val="21"/>
                      <w:szCs w:val="21"/>
                      <w:lang w:eastAsia="zh-CN"/>
                    </w:rPr>
                  </w:pPr>
                  <w:r>
                    <w:rPr>
                      <w:rFonts w:hint="eastAsia" w:eastAsia="宋体"/>
                      <w:color w:val="auto"/>
                      <w:sz w:val="21"/>
                      <w:szCs w:val="21"/>
                      <w:lang w:val="en-US" w:eastAsia="zh-CN"/>
                    </w:rPr>
                    <w:t>本项目用地性质为其他商服用地（加油加气充电），不属于</w:t>
                  </w:r>
                  <w:r>
                    <w:rPr>
                      <w:rFonts w:hint="eastAsia"/>
                      <w:color w:val="auto"/>
                      <w:sz w:val="21"/>
                      <w:szCs w:val="21"/>
                    </w:rPr>
                    <w:t>农用地</w:t>
                  </w:r>
                  <w:r>
                    <w:rPr>
                      <w:rFonts w:hint="eastAsia"/>
                      <w:color w:val="auto"/>
                      <w:sz w:val="21"/>
                      <w:szCs w:val="21"/>
                      <w:lang w:eastAsia="zh-CN"/>
                    </w:rPr>
                    <w:t>。</w:t>
                  </w:r>
                </w:p>
              </w:tc>
              <w:tc>
                <w:tcPr>
                  <w:tcW w:w="644" w:type="dxa"/>
                  <w:noWrap w:val="0"/>
                  <w:vAlign w:val="center"/>
                </w:tcPr>
                <w:p w14:paraId="1A5B05F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color w:val="auto"/>
                      <w:sz w:val="21"/>
                      <w:szCs w:val="21"/>
                      <w:lang w:eastAsia="zh-CN"/>
                    </w:rPr>
                  </w:pPr>
                  <w:r>
                    <w:rPr>
                      <w:color w:val="auto"/>
                      <w:sz w:val="21"/>
                      <w:szCs w:val="21"/>
                    </w:rPr>
                    <w:t>符合</w:t>
                  </w:r>
                </w:p>
              </w:tc>
            </w:tr>
            <w:tr w14:paraId="1AAC2A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2" w:type="dxa"/>
                  <w:vMerge w:val="continue"/>
                  <w:noWrap w:val="0"/>
                  <w:vAlign w:val="center"/>
                </w:tcPr>
                <w:p w14:paraId="6B5C749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color w:val="auto"/>
                      <w:sz w:val="21"/>
                      <w:szCs w:val="21"/>
                    </w:rPr>
                  </w:pPr>
                </w:p>
              </w:tc>
              <w:tc>
                <w:tcPr>
                  <w:tcW w:w="430" w:type="dxa"/>
                  <w:vMerge w:val="continue"/>
                  <w:noWrap w:val="0"/>
                  <w:vAlign w:val="center"/>
                </w:tcPr>
                <w:p w14:paraId="2D13454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color w:val="auto"/>
                      <w:sz w:val="21"/>
                      <w:szCs w:val="21"/>
                    </w:rPr>
                  </w:pPr>
                </w:p>
              </w:tc>
              <w:tc>
                <w:tcPr>
                  <w:tcW w:w="1271" w:type="dxa"/>
                  <w:noWrap w:val="0"/>
                  <w:vAlign w:val="center"/>
                </w:tcPr>
                <w:p w14:paraId="32C1BD9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color w:val="auto"/>
                      <w:sz w:val="21"/>
                      <w:szCs w:val="21"/>
                    </w:rPr>
                  </w:pPr>
                  <w:r>
                    <w:rPr>
                      <w:color w:val="auto"/>
                      <w:sz w:val="21"/>
                      <w:szCs w:val="21"/>
                    </w:rPr>
                    <w:t>污染地块</w:t>
                  </w:r>
                  <w:r>
                    <w:rPr>
                      <w:rFonts w:hint="eastAsia"/>
                      <w:color w:val="auto"/>
                      <w:sz w:val="21"/>
                      <w:szCs w:val="21"/>
                    </w:rPr>
                    <w:t>管控</w:t>
                  </w:r>
                  <w:r>
                    <w:rPr>
                      <w:color w:val="auto"/>
                      <w:sz w:val="21"/>
                      <w:szCs w:val="21"/>
                    </w:rPr>
                    <w:t>要求</w:t>
                  </w:r>
                </w:p>
              </w:tc>
              <w:tc>
                <w:tcPr>
                  <w:tcW w:w="2509" w:type="dxa"/>
                  <w:noWrap w:val="0"/>
                  <w:vAlign w:val="center"/>
                </w:tcPr>
                <w:p w14:paraId="4963D8A5">
                  <w:pPr>
                    <w:keepNext w:val="0"/>
                    <w:keepLines w:val="0"/>
                    <w:pageBreakBefore w:val="0"/>
                    <w:widowControl w:val="0"/>
                    <w:kinsoku/>
                    <w:wordWrap/>
                    <w:overflowPunct/>
                    <w:topLinePunct w:val="0"/>
                    <w:autoSpaceDE/>
                    <w:autoSpaceDN/>
                    <w:bidi w:val="0"/>
                    <w:adjustRightInd/>
                    <w:snapToGrid w:val="0"/>
                    <w:spacing w:line="240" w:lineRule="auto"/>
                    <w:ind w:firstLine="420" w:firstLineChars="200"/>
                    <w:textAlignment w:val="auto"/>
                    <w:rPr>
                      <w:color w:val="auto"/>
                      <w:sz w:val="21"/>
                      <w:szCs w:val="21"/>
                    </w:rPr>
                  </w:pPr>
                  <w:r>
                    <w:rPr>
                      <w:rFonts w:hint="eastAsia"/>
                      <w:color w:val="auto"/>
                      <w:sz w:val="21"/>
                      <w:szCs w:val="21"/>
                    </w:rPr>
                    <w:t>已污染地块，应当依法开展土壤污染状况调查、治理与修复，符合规划用地性质土壤环境质量要求后，方可进入用地程序。</w:t>
                  </w:r>
                </w:p>
              </w:tc>
              <w:tc>
                <w:tcPr>
                  <w:tcW w:w="2741" w:type="dxa"/>
                  <w:noWrap w:val="0"/>
                  <w:vAlign w:val="center"/>
                </w:tcPr>
                <w:p w14:paraId="463E3E98">
                  <w:pPr>
                    <w:keepNext w:val="0"/>
                    <w:keepLines w:val="0"/>
                    <w:pageBreakBefore w:val="0"/>
                    <w:widowControl w:val="0"/>
                    <w:kinsoku/>
                    <w:wordWrap/>
                    <w:overflowPunct/>
                    <w:topLinePunct w:val="0"/>
                    <w:autoSpaceDE/>
                    <w:autoSpaceDN/>
                    <w:bidi w:val="0"/>
                    <w:adjustRightInd/>
                    <w:snapToGrid w:val="0"/>
                    <w:spacing w:line="240" w:lineRule="auto"/>
                    <w:ind w:firstLine="420" w:firstLineChars="200"/>
                    <w:textAlignment w:val="auto"/>
                    <w:rPr>
                      <w:color w:val="auto"/>
                      <w:sz w:val="21"/>
                      <w:szCs w:val="21"/>
                    </w:rPr>
                  </w:pPr>
                  <w:r>
                    <w:rPr>
                      <w:rFonts w:hint="eastAsia"/>
                      <w:color w:val="auto"/>
                      <w:sz w:val="21"/>
                      <w:szCs w:val="21"/>
                    </w:rPr>
                    <w:t>本</w:t>
                  </w:r>
                  <w:r>
                    <w:rPr>
                      <w:color w:val="auto"/>
                      <w:sz w:val="21"/>
                      <w:szCs w:val="21"/>
                    </w:rPr>
                    <w:t>项目</w:t>
                  </w:r>
                  <w:r>
                    <w:rPr>
                      <w:rFonts w:hint="eastAsia"/>
                      <w:color w:val="auto"/>
                      <w:sz w:val="21"/>
                      <w:szCs w:val="21"/>
                      <w:lang w:val="en-US" w:eastAsia="zh-CN"/>
                    </w:rPr>
                    <w:t>所在地</w:t>
                  </w:r>
                  <w:r>
                    <w:rPr>
                      <w:color w:val="auto"/>
                      <w:sz w:val="21"/>
                      <w:szCs w:val="21"/>
                    </w:rPr>
                    <w:t>不属于</w:t>
                  </w:r>
                  <w:r>
                    <w:rPr>
                      <w:rFonts w:hint="eastAsia"/>
                      <w:color w:val="auto"/>
                      <w:sz w:val="21"/>
                      <w:szCs w:val="21"/>
                      <w:lang w:val="en-US" w:eastAsia="zh-CN"/>
                    </w:rPr>
                    <w:t>已</w:t>
                  </w:r>
                  <w:r>
                    <w:rPr>
                      <w:color w:val="auto"/>
                      <w:sz w:val="21"/>
                      <w:szCs w:val="21"/>
                    </w:rPr>
                    <w:t>污染地块</w:t>
                  </w:r>
                  <w:r>
                    <w:rPr>
                      <w:rFonts w:hint="eastAsia"/>
                      <w:color w:val="auto"/>
                      <w:sz w:val="21"/>
                      <w:szCs w:val="21"/>
                    </w:rPr>
                    <w:t>。</w:t>
                  </w:r>
                </w:p>
              </w:tc>
              <w:tc>
                <w:tcPr>
                  <w:tcW w:w="644" w:type="dxa"/>
                  <w:noWrap w:val="0"/>
                  <w:vAlign w:val="center"/>
                </w:tcPr>
                <w:p w14:paraId="65E6603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color w:val="auto"/>
                      <w:sz w:val="21"/>
                      <w:szCs w:val="21"/>
                    </w:rPr>
                  </w:pPr>
                  <w:r>
                    <w:rPr>
                      <w:color w:val="auto"/>
                      <w:sz w:val="21"/>
                      <w:szCs w:val="21"/>
                    </w:rPr>
                    <w:t>符合</w:t>
                  </w:r>
                </w:p>
              </w:tc>
            </w:tr>
            <w:tr w14:paraId="16D865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2" w:type="dxa"/>
                  <w:vMerge w:val="continue"/>
                  <w:noWrap w:val="0"/>
                  <w:vAlign w:val="center"/>
                </w:tcPr>
                <w:p w14:paraId="4F5246F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color w:val="auto"/>
                      <w:sz w:val="21"/>
                      <w:szCs w:val="21"/>
                    </w:rPr>
                  </w:pPr>
                </w:p>
              </w:tc>
              <w:tc>
                <w:tcPr>
                  <w:tcW w:w="1701" w:type="dxa"/>
                  <w:gridSpan w:val="2"/>
                  <w:noWrap w:val="0"/>
                  <w:vAlign w:val="center"/>
                </w:tcPr>
                <w:p w14:paraId="5B2D170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color w:val="auto"/>
                      <w:sz w:val="21"/>
                      <w:szCs w:val="21"/>
                    </w:rPr>
                  </w:pPr>
                  <w:r>
                    <w:rPr>
                      <w:color w:val="auto"/>
                      <w:sz w:val="21"/>
                      <w:szCs w:val="21"/>
                    </w:rPr>
                    <w:t>园区</w:t>
                  </w:r>
                  <w:r>
                    <w:rPr>
                      <w:rFonts w:hint="eastAsia"/>
                      <w:color w:val="auto"/>
                      <w:sz w:val="21"/>
                      <w:szCs w:val="21"/>
                    </w:rPr>
                    <w:t>环境风险</w:t>
                  </w:r>
                  <w:r>
                    <w:rPr>
                      <w:color w:val="auto"/>
                      <w:sz w:val="21"/>
                      <w:szCs w:val="21"/>
                    </w:rPr>
                    <w:t>防控要求</w:t>
                  </w:r>
                </w:p>
              </w:tc>
              <w:tc>
                <w:tcPr>
                  <w:tcW w:w="2509" w:type="dxa"/>
                  <w:noWrap w:val="0"/>
                  <w:vAlign w:val="center"/>
                </w:tcPr>
                <w:p w14:paraId="31E3BCFD">
                  <w:pPr>
                    <w:keepNext w:val="0"/>
                    <w:keepLines w:val="0"/>
                    <w:pageBreakBefore w:val="0"/>
                    <w:widowControl w:val="0"/>
                    <w:kinsoku/>
                    <w:wordWrap/>
                    <w:overflowPunct/>
                    <w:topLinePunct w:val="0"/>
                    <w:autoSpaceDE/>
                    <w:autoSpaceDN/>
                    <w:bidi w:val="0"/>
                    <w:adjustRightInd/>
                    <w:snapToGrid w:val="0"/>
                    <w:spacing w:line="240" w:lineRule="auto"/>
                    <w:ind w:firstLine="420" w:firstLineChars="200"/>
                    <w:textAlignment w:val="auto"/>
                    <w:rPr>
                      <w:rFonts w:hint="eastAsia" w:eastAsia="宋体"/>
                      <w:color w:val="auto"/>
                      <w:sz w:val="21"/>
                      <w:szCs w:val="21"/>
                      <w:lang w:eastAsia="zh-CN"/>
                    </w:rPr>
                  </w:pPr>
                  <w:r>
                    <w:rPr>
                      <w:rFonts w:hint="eastAsia"/>
                      <w:color w:val="auto"/>
                      <w:sz w:val="21"/>
                      <w:szCs w:val="21"/>
                      <w:lang w:val="en-US" w:eastAsia="zh-CN"/>
                    </w:rPr>
                    <w:t>无</w:t>
                  </w:r>
                </w:p>
              </w:tc>
              <w:tc>
                <w:tcPr>
                  <w:tcW w:w="2741" w:type="dxa"/>
                  <w:noWrap w:val="0"/>
                  <w:vAlign w:val="center"/>
                </w:tcPr>
                <w:p w14:paraId="146706A8">
                  <w:pPr>
                    <w:keepNext w:val="0"/>
                    <w:keepLines w:val="0"/>
                    <w:pageBreakBefore w:val="0"/>
                    <w:widowControl w:val="0"/>
                    <w:kinsoku/>
                    <w:wordWrap/>
                    <w:overflowPunct/>
                    <w:topLinePunct w:val="0"/>
                    <w:autoSpaceDE/>
                    <w:autoSpaceDN/>
                    <w:bidi w:val="0"/>
                    <w:adjustRightInd/>
                    <w:snapToGrid w:val="0"/>
                    <w:spacing w:line="240" w:lineRule="auto"/>
                    <w:ind w:firstLine="420" w:firstLineChars="200"/>
                    <w:textAlignment w:val="auto"/>
                    <w:rPr>
                      <w:rFonts w:hint="eastAsia"/>
                      <w:color w:val="auto"/>
                      <w:sz w:val="21"/>
                      <w:szCs w:val="21"/>
                    </w:rPr>
                  </w:pPr>
                  <w:r>
                    <w:rPr>
                      <w:rFonts w:hint="eastAsia"/>
                      <w:color w:val="auto"/>
                      <w:sz w:val="21"/>
                      <w:szCs w:val="21"/>
                      <w:lang w:val="en-US" w:eastAsia="zh-CN"/>
                    </w:rPr>
                    <w:t>/</w:t>
                  </w:r>
                </w:p>
              </w:tc>
              <w:tc>
                <w:tcPr>
                  <w:tcW w:w="644" w:type="dxa"/>
                  <w:noWrap w:val="0"/>
                  <w:vAlign w:val="center"/>
                </w:tcPr>
                <w:p w14:paraId="525A26D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color w:val="auto"/>
                      <w:sz w:val="21"/>
                      <w:szCs w:val="21"/>
                    </w:rPr>
                  </w:pPr>
                  <w:r>
                    <w:rPr>
                      <w:rFonts w:hint="eastAsia"/>
                      <w:color w:val="auto"/>
                      <w:sz w:val="21"/>
                      <w:szCs w:val="21"/>
                      <w:lang w:val="en-US" w:eastAsia="zh-CN"/>
                    </w:rPr>
                    <w:t>/</w:t>
                  </w:r>
                </w:p>
              </w:tc>
            </w:tr>
            <w:tr w14:paraId="2CE0DA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2" w:type="dxa"/>
                  <w:vMerge w:val="continue"/>
                  <w:noWrap w:val="0"/>
                  <w:vAlign w:val="center"/>
                </w:tcPr>
                <w:p w14:paraId="5B45F41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color w:val="auto"/>
                      <w:sz w:val="21"/>
                      <w:szCs w:val="21"/>
                    </w:rPr>
                  </w:pPr>
                </w:p>
              </w:tc>
              <w:tc>
                <w:tcPr>
                  <w:tcW w:w="1701" w:type="dxa"/>
                  <w:gridSpan w:val="2"/>
                  <w:noWrap w:val="0"/>
                  <w:vAlign w:val="center"/>
                </w:tcPr>
                <w:p w14:paraId="26939B9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color w:val="auto"/>
                      <w:sz w:val="21"/>
                      <w:szCs w:val="21"/>
                    </w:rPr>
                  </w:pPr>
                  <w:r>
                    <w:rPr>
                      <w:color w:val="auto"/>
                      <w:sz w:val="21"/>
                      <w:szCs w:val="21"/>
                    </w:rPr>
                    <w:t>企业</w:t>
                  </w:r>
                  <w:r>
                    <w:rPr>
                      <w:rFonts w:hint="eastAsia"/>
                      <w:color w:val="auto"/>
                      <w:sz w:val="21"/>
                      <w:szCs w:val="21"/>
                    </w:rPr>
                    <w:t>环境风险</w:t>
                  </w:r>
                  <w:r>
                    <w:rPr>
                      <w:color w:val="auto"/>
                      <w:sz w:val="21"/>
                      <w:szCs w:val="21"/>
                    </w:rPr>
                    <w:t>防控要求</w:t>
                  </w:r>
                </w:p>
              </w:tc>
              <w:tc>
                <w:tcPr>
                  <w:tcW w:w="2509" w:type="dxa"/>
                  <w:noWrap w:val="0"/>
                  <w:vAlign w:val="center"/>
                </w:tcPr>
                <w:p w14:paraId="0C7EB7B6">
                  <w:pPr>
                    <w:keepNext w:val="0"/>
                    <w:keepLines w:val="0"/>
                    <w:pageBreakBefore w:val="0"/>
                    <w:widowControl w:val="0"/>
                    <w:kinsoku/>
                    <w:wordWrap/>
                    <w:overflowPunct/>
                    <w:topLinePunct w:val="0"/>
                    <w:autoSpaceDE/>
                    <w:autoSpaceDN/>
                    <w:bidi w:val="0"/>
                    <w:adjustRightInd/>
                    <w:snapToGrid w:val="0"/>
                    <w:spacing w:line="240" w:lineRule="auto"/>
                    <w:ind w:firstLine="420" w:firstLineChars="200"/>
                    <w:textAlignment w:val="auto"/>
                    <w:rPr>
                      <w:rFonts w:hint="eastAsia"/>
                      <w:color w:val="auto"/>
                      <w:sz w:val="21"/>
                      <w:szCs w:val="21"/>
                    </w:rPr>
                  </w:pPr>
                  <w:r>
                    <w:rPr>
                      <w:rFonts w:hint="eastAsia"/>
                      <w:color w:val="auto"/>
                      <w:sz w:val="21"/>
                      <w:szCs w:val="21"/>
                      <w:lang w:val="en-US" w:eastAsia="zh-CN"/>
                    </w:rPr>
                    <w:t>无</w:t>
                  </w:r>
                </w:p>
              </w:tc>
              <w:tc>
                <w:tcPr>
                  <w:tcW w:w="2741" w:type="dxa"/>
                  <w:noWrap w:val="0"/>
                  <w:vAlign w:val="center"/>
                </w:tcPr>
                <w:p w14:paraId="6E5D9FB8">
                  <w:pPr>
                    <w:keepNext w:val="0"/>
                    <w:keepLines w:val="0"/>
                    <w:pageBreakBefore w:val="0"/>
                    <w:widowControl w:val="0"/>
                    <w:kinsoku/>
                    <w:wordWrap/>
                    <w:overflowPunct/>
                    <w:topLinePunct w:val="0"/>
                    <w:autoSpaceDE/>
                    <w:autoSpaceDN/>
                    <w:bidi w:val="0"/>
                    <w:adjustRightInd/>
                    <w:snapToGrid w:val="0"/>
                    <w:spacing w:line="240" w:lineRule="auto"/>
                    <w:ind w:firstLine="420" w:firstLineChars="200"/>
                    <w:textAlignment w:val="auto"/>
                    <w:rPr>
                      <w:rFonts w:hint="eastAsia"/>
                      <w:color w:val="auto"/>
                      <w:sz w:val="21"/>
                      <w:szCs w:val="21"/>
                    </w:rPr>
                  </w:pPr>
                  <w:r>
                    <w:rPr>
                      <w:rFonts w:hint="eastAsia"/>
                      <w:color w:val="auto"/>
                      <w:sz w:val="21"/>
                      <w:szCs w:val="21"/>
                      <w:lang w:val="en-US" w:eastAsia="zh-CN"/>
                    </w:rPr>
                    <w:t>/</w:t>
                  </w:r>
                </w:p>
              </w:tc>
              <w:tc>
                <w:tcPr>
                  <w:tcW w:w="644" w:type="dxa"/>
                  <w:noWrap w:val="0"/>
                  <w:vAlign w:val="center"/>
                </w:tcPr>
                <w:p w14:paraId="02F5A2D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color w:val="auto"/>
                      <w:sz w:val="21"/>
                      <w:szCs w:val="21"/>
                    </w:rPr>
                  </w:pPr>
                  <w:r>
                    <w:rPr>
                      <w:rFonts w:hint="eastAsia"/>
                      <w:color w:val="auto"/>
                      <w:sz w:val="21"/>
                      <w:szCs w:val="21"/>
                      <w:lang w:val="en-US" w:eastAsia="zh-CN"/>
                    </w:rPr>
                    <w:t>/</w:t>
                  </w:r>
                </w:p>
              </w:tc>
            </w:tr>
            <w:tr w14:paraId="1D4369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2" w:type="dxa"/>
                  <w:vMerge w:val="continue"/>
                  <w:noWrap w:val="0"/>
                  <w:vAlign w:val="center"/>
                </w:tcPr>
                <w:p w14:paraId="50D3CBF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color w:val="auto"/>
                      <w:sz w:val="21"/>
                      <w:szCs w:val="21"/>
                    </w:rPr>
                  </w:pPr>
                </w:p>
              </w:tc>
              <w:tc>
                <w:tcPr>
                  <w:tcW w:w="1701" w:type="dxa"/>
                  <w:gridSpan w:val="2"/>
                  <w:noWrap w:val="0"/>
                  <w:vAlign w:val="center"/>
                </w:tcPr>
                <w:p w14:paraId="65CEF0F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color w:val="auto"/>
                      <w:sz w:val="21"/>
                      <w:szCs w:val="21"/>
                    </w:rPr>
                  </w:pPr>
                  <w:r>
                    <w:rPr>
                      <w:rFonts w:hint="eastAsia"/>
                      <w:color w:val="auto"/>
                      <w:sz w:val="21"/>
                      <w:szCs w:val="21"/>
                    </w:rPr>
                    <w:t>其他环境风险</w:t>
                  </w:r>
                  <w:r>
                    <w:rPr>
                      <w:color w:val="auto"/>
                      <w:sz w:val="21"/>
                      <w:szCs w:val="21"/>
                    </w:rPr>
                    <w:t>防控要求</w:t>
                  </w:r>
                </w:p>
              </w:tc>
              <w:tc>
                <w:tcPr>
                  <w:tcW w:w="2509" w:type="dxa"/>
                  <w:noWrap w:val="0"/>
                  <w:vAlign w:val="center"/>
                </w:tcPr>
                <w:p w14:paraId="735B905B">
                  <w:pPr>
                    <w:keepNext w:val="0"/>
                    <w:keepLines w:val="0"/>
                    <w:pageBreakBefore w:val="0"/>
                    <w:widowControl w:val="0"/>
                    <w:kinsoku/>
                    <w:wordWrap/>
                    <w:overflowPunct/>
                    <w:topLinePunct w:val="0"/>
                    <w:autoSpaceDE/>
                    <w:autoSpaceDN/>
                    <w:bidi w:val="0"/>
                    <w:adjustRightInd/>
                    <w:snapToGrid w:val="0"/>
                    <w:spacing w:line="240" w:lineRule="auto"/>
                    <w:ind w:firstLine="420" w:firstLineChars="200"/>
                    <w:textAlignment w:val="auto"/>
                    <w:rPr>
                      <w:rFonts w:hint="eastAsia"/>
                      <w:color w:val="auto"/>
                      <w:sz w:val="21"/>
                      <w:szCs w:val="21"/>
                    </w:rPr>
                  </w:pPr>
                  <w:r>
                    <w:rPr>
                      <w:rFonts w:hint="eastAsia"/>
                      <w:color w:val="auto"/>
                      <w:sz w:val="21"/>
                      <w:szCs w:val="21"/>
                      <w:lang w:val="en-US" w:eastAsia="zh-CN"/>
                    </w:rPr>
                    <w:t>无</w:t>
                  </w:r>
                </w:p>
              </w:tc>
              <w:tc>
                <w:tcPr>
                  <w:tcW w:w="2741" w:type="dxa"/>
                  <w:noWrap w:val="0"/>
                  <w:vAlign w:val="center"/>
                </w:tcPr>
                <w:p w14:paraId="4EAAABC6">
                  <w:pPr>
                    <w:keepNext w:val="0"/>
                    <w:keepLines w:val="0"/>
                    <w:pageBreakBefore w:val="0"/>
                    <w:widowControl w:val="0"/>
                    <w:kinsoku/>
                    <w:wordWrap/>
                    <w:overflowPunct/>
                    <w:topLinePunct w:val="0"/>
                    <w:autoSpaceDE/>
                    <w:autoSpaceDN/>
                    <w:bidi w:val="0"/>
                    <w:adjustRightInd/>
                    <w:snapToGrid w:val="0"/>
                    <w:spacing w:line="240" w:lineRule="auto"/>
                    <w:ind w:firstLine="420" w:firstLineChars="200"/>
                    <w:textAlignment w:val="auto"/>
                    <w:rPr>
                      <w:color w:val="auto"/>
                      <w:sz w:val="21"/>
                      <w:szCs w:val="21"/>
                    </w:rPr>
                  </w:pPr>
                  <w:r>
                    <w:rPr>
                      <w:rFonts w:hint="eastAsia"/>
                      <w:color w:val="auto"/>
                      <w:sz w:val="21"/>
                      <w:szCs w:val="21"/>
                      <w:lang w:val="en-US" w:eastAsia="zh-CN"/>
                    </w:rPr>
                    <w:t>/</w:t>
                  </w:r>
                </w:p>
              </w:tc>
              <w:tc>
                <w:tcPr>
                  <w:tcW w:w="644" w:type="dxa"/>
                  <w:noWrap w:val="0"/>
                  <w:vAlign w:val="center"/>
                </w:tcPr>
                <w:p w14:paraId="0794430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color w:val="auto"/>
                      <w:sz w:val="21"/>
                      <w:szCs w:val="21"/>
                    </w:rPr>
                  </w:pPr>
                  <w:r>
                    <w:rPr>
                      <w:rFonts w:hint="eastAsia"/>
                      <w:color w:val="auto"/>
                      <w:sz w:val="21"/>
                      <w:szCs w:val="21"/>
                      <w:lang w:val="en-US" w:eastAsia="zh-CN"/>
                    </w:rPr>
                    <w:t>/</w:t>
                  </w:r>
                </w:p>
              </w:tc>
            </w:tr>
            <w:tr w14:paraId="77F56F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2" w:type="dxa"/>
                  <w:vMerge w:val="restart"/>
                  <w:noWrap w:val="0"/>
                  <w:vAlign w:val="center"/>
                </w:tcPr>
                <w:p w14:paraId="40013C3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color w:val="auto"/>
                      <w:sz w:val="21"/>
                      <w:szCs w:val="21"/>
                    </w:rPr>
                  </w:pPr>
                  <w:r>
                    <w:rPr>
                      <w:color w:val="auto"/>
                      <w:sz w:val="21"/>
                      <w:szCs w:val="21"/>
                    </w:rPr>
                    <w:t>资源利用效率要求</w:t>
                  </w:r>
                </w:p>
              </w:tc>
              <w:tc>
                <w:tcPr>
                  <w:tcW w:w="1701" w:type="dxa"/>
                  <w:gridSpan w:val="2"/>
                  <w:noWrap w:val="0"/>
                  <w:vAlign w:val="center"/>
                </w:tcPr>
                <w:p w14:paraId="5562AEB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color w:val="auto"/>
                      <w:sz w:val="21"/>
                      <w:szCs w:val="21"/>
                    </w:rPr>
                  </w:pPr>
                  <w:r>
                    <w:rPr>
                      <w:color w:val="auto"/>
                      <w:sz w:val="21"/>
                      <w:szCs w:val="21"/>
                    </w:rPr>
                    <w:t>水资源利用率要求</w:t>
                  </w:r>
                </w:p>
              </w:tc>
              <w:tc>
                <w:tcPr>
                  <w:tcW w:w="2509" w:type="dxa"/>
                  <w:noWrap w:val="0"/>
                  <w:vAlign w:val="center"/>
                </w:tcPr>
                <w:p w14:paraId="19C82687">
                  <w:pPr>
                    <w:keepNext w:val="0"/>
                    <w:keepLines w:val="0"/>
                    <w:pageBreakBefore w:val="0"/>
                    <w:widowControl w:val="0"/>
                    <w:kinsoku/>
                    <w:wordWrap/>
                    <w:overflowPunct/>
                    <w:topLinePunct w:val="0"/>
                    <w:autoSpaceDE/>
                    <w:autoSpaceDN/>
                    <w:bidi w:val="0"/>
                    <w:adjustRightInd/>
                    <w:snapToGrid w:val="0"/>
                    <w:spacing w:line="240" w:lineRule="auto"/>
                    <w:ind w:firstLine="420" w:firstLineChars="200"/>
                    <w:textAlignment w:val="auto"/>
                    <w:rPr>
                      <w:color w:val="auto"/>
                      <w:sz w:val="21"/>
                      <w:szCs w:val="21"/>
                    </w:rPr>
                  </w:pPr>
                  <w:r>
                    <w:rPr>
                      <w:rFonts w:hint="eastAsia"/>
                      <w:color w:val="auto"/>
                      <w:sz w:val="21"/>
                      <w:szCs w:val="21"/>
                      <w:lang w:val="en-US" w:eastAsia="zh-CN"/>
                    </w:rPr>
                    <w:t>无</w:t>
                  </w:r>
                </w:p>
              </w:tc>
              <w:tc>
                <w:tcPr>
                  <w:tcW w:w="2741" w:type="dxa"/>
                  <w:noWrap w:val="0"/>
                  <w:vAlign w:val="center"/>
                </w:tcPr>
                <w:p w14:paraId="6F764578">
                  <w:pPr>
                    <w:keepNext w:val="0"/>
                    <w:keepLines w:val="0"/>
                    <w:pageBreakBefore w:val="0"/>
                    <w:widowControl w:val="0"/>
                    <w:kinsoku/>
                    <w:wordWrap w:val="0"/>
                    <w:overflowPunct/>
                    <w:topLinePunct w:val="0"/>
                    <w:autoSpaceDE/>
                    <w:autoSpaceDN/>
                    <w:bidi w:val="0"/>
                    <w:adjustRightInd/>
                    <w:snapToGrid w:val="0"/>
                    <w:spacing w:line="240" w:lineRule="auto"/>
                    <w:ind w:firstLine="420" w:firstLineChars="200"/>
                    <w:textAlignment w:val="auto"/>
                    <w:rPr>
                      <w:color w:val="auto"/>
                      <w:sz w:val="21"/>
                      <w:szCs w:val="21"/>
                    </w:rPr>
                  </w:pPr>
                  <w:r>
                    <w:rPr>
                      <w:rFonts w:hint="eastAsia"/>
                      <w:color w:val="auto"/>
                      <w:sz w:val="21"/>
                      <w:szCs w:val="21"/>
                      <w:lang w:val="en-US" w:eastAsia="zh-CN"/>
                    </w:rPr>
                    <w:t>/</w:t>
                  </w:r>
                </w:p>
              </w:tc>
              <w:tc>
                <w:tcPr>
                  <w:tcW w:w="644" w:type="dxa"/>
                  <w:noWrap w:val="0"/>
                  <w:vAlign w:val="center"/>
                </w:tcPr>
                <w:p w14:paraId="362A51E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color w:val="auto"/>
                      <w:sz w:val="21"/>
                      <w:szCs w:val="21"/>
                    </w:rPr>
                  </w:pPr>
                  <w:r>
                    <w:rPr>
                      <w:rFonts w:hint="eastAsia"/>
                      <w:color w:val="auto"/>
                      <w:sz w:val="21"/>
                      <w:szCs w:val="21"/>
                      <w:lang w:val="en-US" w:eastAsia="zh-CN"/>
                    </w:rPr>
                    <w:t>/</w:t>
                  </w:r>
                </w:p>
              </w:tc>
            </w:tr>
            <w:tr w14:paraId="7B3BC1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2" w:type="dxa"/>
                  <w:vMerge w:val="continue"/>
                  <w:noWrap w:val="0"/>
                  <w:vAlign w:val="center"/>
                </w:tcPr>
                <w:p w14:paraId="3B0A54D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color w:val="auto"/>
                      <w:sz w:val="21"/>
                      <w:szCs w:val="21"/>
                    </w:rPr>
                  </w:pPr>
                </w:p>
              </w:tc>
              <w:tc>
                <w:tcPr>
                  <w:tcW w:w="1701" w:type="dxa"/>
                  <w:gridSpan w:val="2"/>
                  <w:noWrap w:val="0"/>
                  <w:vAlign w:val="center"/>
                </w:tcPr>
                <w:p w14:paraId="28E23FF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color w:val="auto"/>
                      <w:sz w:val="21"/>
                      <w:szCs w:val="21"/>
                    </w:rPr>
                  </w:pPr>
                  <w:r>
                    <w:rPr>
                      <w:color w:val="auto"/>
                      <w:sz w:val="21"/>
                      <w:szCs w:val="21"/>
                    </w:rPr>
                    <w:t>地下水</w:t>
                  </w:r>
                  <w:r>
                    <w:rPr>
                      <w:rFonts w:hint="eastAsia"/>
                      <w:color w:val="auto"/>
                      <w:sz w:val="21"/>
                      <w:szCs w:val="21"/>
                    </w:rPr>
                    <w:t>开</w:t>
                  </w:r>
                  <w:r>
                    <w:rPr>
                      <w:color w:val="auto"/>
                      <w:sz w:val="21"/>
                      <w:szCs w:val="21"/>
                    </w:rPr>
                    <w:t>采要求</w:t>
                  </w:r>
                </w:p>
              </w:tc>
              <w:tc>
                <w:tcPr>
                  <w:tcW w:w="2509" w:type="dxa"/>
                  <w:noWrap w:val="0"/>
                  <w:vAlign w:val="center"/>
                </w:tcPr>
                <w:p w14:paraId="26C0D284">
                  <w:pPr>
                    <w:keepNext w:val="0"/>
                    <w:keepLines w:val="0"/>
                    <w:pageBreakBefore w:val="0"/>
                    <w:widowControl w:val="0"/>
                    <w:kinsoku/>
                    <w:wordWrap/>
                    <w:overflowPunct/>
                    <w:topLinePunct w:val="0"/>
                    <w:autoSpaceDE/>
                    <w:autoSpaceDN/>
                    <w:bidi w:val="0"/>
                    <w:adjustRightInd/>
                    <w:snapToGrid w:val="0"/>
                    <w:spacing w:line="240" w:lineRule="auto"/>
                    <w:ind w:firstLine="420" w:firstLineChars="200"/>
                    <w:textAlignment w:val="auto"/>
                    <w:rPr>
                      <w:rFonts w:hint="eastAsia"/>
                      <w:color w:val="auto"/>
                      <w:sz w:val="21"/>
                      <w:szCs w:val="21"/>
                    </w:rPr>
                  </w:pPr>
                  <w:r>
                    <w:rPr>
                      <w:rFonts w:hint="eastAsia"/>
                      <w:color w:val="auto"/>
                      <w:sz w:val="21"/>
                      <w:szCs w:val="21"/>
                    </w:rPr>
                    <w:t>按江西省水资源条例执行。</w:t>
                  </w:r>
                </w:p>
              </w:tc>
              <w:tc>
                <w:tcPr>
                  <w:tcW w:w="2741" w:type="dxa"/>
                  <w:noWrap w:val="0"/>
                  <w:vAlign w:val="center"/>
                </w:tcPr>
                <w:p w14:paraId="03FEDF41">
                  <w:pPr>
                    <w:keepNext w:val="0"/>
                    <w:keepLines w:val="0"/>
                    <w:pageBreakBefore w:val="0"/>
                    <w:widowControl w:val="0"/>
                    <w:kinsoku/>
                    <w:wordWrap/>
                    <w:overflowPunct/>
                    <w:topLinePunct w:val="0"/>
                    <w:autoSpaceDE/>
                    <w:autoSpaceDN/>
                    <w:bidi w:val="0"/>
                    <w:adjustRightInd/>
                    <w:snapToGrid w:val="0"/>
                    <w:spacing w:line="240" w:lineRule="auto"/>
                    <w:ind w:firstLine="420" w:firstLineChars="200"/>
                    <w:textAlignment w:val="auto"/>
                    <w:rPr>
                      <w:color w:val="auto"/>
                      <w:sz w:val="21"/>
                      <w:szCs w:val="21"/>
                    </w:rPr>
                  </w:pPr>
                  <w:r>
                    <w:rPr>
                      <w:rFonts w:hint="eastAsia"/>
                      <w:color w:val="auto"/>
                      <w:sz w:val="21"/>
                      <w:szCs w:val="21"/>
                    </w:rPr>
                    <w:t>本项目</w:t>
                  </w:r>
                  <w:r>
                    <w:rPr>
                      <w:color w:val="auto"/>
                      <w:sz w:val="21"/>
                      <w:szCs w:val="21"/>
                    </w:rPr>
                    <w:t>不涉及地下水开采</w:t>
                  </w:r>
                  <w:r>
                    <w:rPr>
                      <w:rFonts w:hint="eastAsia"/>
                      <w:color w:val="auto"/>
                      <w:sz w:val="21"/>
                      <w:szCs w:val="21"/>
                    </w:rPr>
                    <w:t>。</w:t>
                  </w:r>
                </w:p>
              </w:tc>
              <w:tc>
                <w:tcPr>
                  <w:tcW w:w="644" w:type="dxa"/>
                  <w:noWrap w:val="0"/>
                  <w:vAlign w:val="center"/>
                </w:tcPr>
                <w:p w14:paraId="6354438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color w:val="auto"/>
                      <w:sz w:val="21"/>
                      <w:szCs w:val="21"/>
                    </w:rPr>
                  </w:pPr>
                  <w:r>
                    <w:rPr>
                      <w:color w:val="auto"/>
                      <w:sz w:val="21"/>
                      <w:szCs w:val="21"/>
                    </w:rPr>
                    <w:t>符合</w:t>
                  </w:r>
                </w:p>
              </w:tc>
            </w:tr>
            <w:tr w14:paraId="1BD236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2" w:type="dxa"/>
                  <w:vMerge w:val="continue"/>
                  <w:noWrap w:val="0"/>
                  <w:vAlign w:val="center"/>
                </w:tcPr>
                <w:p w14:paraId="2F06A2E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color w:val="auto"/>
                      <w:sz w:val="21"/>
                      <w:szCs w:val="21"/>
                    </w:rPr>
                  </w:pPr>
                </w:p>
              </w:tc>
              <w:tc>
                <w:tcPr>
                  <w:tcW w:w="1701" w:type="dxa"/>
                  <w:gridSpan w:val="2"/>
                  <w:noWrap w:val="0"/>
                  <w:vAlign w:val="center"/>
                </w:tcPr>
                <w:p w14:paraId="5055C77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color w:val="auto"/>
                      <w:sz w:val="21"/>
                      <w:szCs w:val="21"/>
                    </w:rPr>
                  </w:pPr>
                  <w:r>
                    <w:rPr>
                      <w:color w:val="auto"/>
                      <w:sz w:val="21"/>
                      <w:szCs w:val="21"/>
                    </w:rPr>
                    <w:t>能源利用效率要求</w:t>
                  </w:r>
                </w:p>
              </w:tc>
              <w:tc>
                <w:tcPr>
                  <w:tcW w:w="2509" w:type="dxa"/>
                  <w:noWrap w:val="0"/>
                  <w:vAlign w:val="center"/>
                </w:tcPr>
                <w:p w14:paraId="4788A48D">
                  <w:pPr>
                    <w:keepNext w:val="0"/>
                    <w:keepLines w:val="0"/>
                    <w:pageBreakBefore w:val="0"/>
                    <w:widowControl w:val="0"/>
                    <w:kinsoku/>
                    <w:wordWrap/>
                    <w:overflowPunct/>
                    <w:topLinePunct w:val="0"/>
                    <w:autoSpaceDE/>
                    <w:autoSpaceDN/>
                    <w:bidi w:val="0"/>
                    <w:adjustRightInd/>
                    <w:snapToGrid w:val="0"/>
                    <w:spacing w:line="240" w:lineRule="auto"/>
                    <w:ind w:firstLine="420" w:firstLineChars="200"/>
                    <w:textAlignment w:val="auto"/>
                    <w:rPr>
                      <w:color w:val="auto"/>
                      <w:sz w:val="21"/>
                      <w:szCs w:val="21"/>
                    </w:rPr>
                  </w:pPr>
                  <w:r>
                    <w:rPr>
                      <w:rFonts w:hint="eastAsia"/>
                      <w:color w:val="auto"/>
                      <w:sz w:val="21"/>
                      <w:szCs w:val="21"/>
                      <w:lang w:val="en-US" w:eastAsia="zh-CN"/>
                    </w:rPr>
                    <w:t>无</w:t>
                  </w:r>
                </w:p>
              </w:tc>
              <w:tc>
                <w:tcPr>
                  <w:tcW w:w="2741" w:type="dxa"/>
                  <w:noWrap w:val="0"/>
                  <w:vAlign w:val="center"/>
                </w:tcPr>
                <w:p w14:paraId="09D79CEE">
                  <w:pPr>
                    <w:keepNext w:val="0"/>
                    <w:keepLines w:val="0"/>
                    <w:pageBreakBefore w:val="0"/>
                    <w:widowControl w:val="0"/>
                    <w:kinsoku/>
                    <w:wordWrap/>
                    <w:overflowPunct/>
                    <w:topLinePunct w:val="0"/>
                    <w:autoSpaceDE/>
                    <w:autoSpaceDN/>
                    <w:bidi w:val="0"/>
                    <w:adjustRightInd/>
                    <w:snapToGrid w:val="0"/>
                    <w:spacing w:line="240" w:lineRule="auto"/>
                    <w:ind w:firstLine="420" w:firstLineChars="200"/>
                    <w:textAlignment w:val="auto"/>
                    <w:rPr>
                      <w:color w:val="auto"/>
                      <w:sz w:val="21"/>
                      <w:szCs w:val="21"/>
                    </w:rPr>
                  </w:pPr>
                  <w:r>
                    <w:rPr>
                      <w:rFonts w:hint="eastAsia"/>
                      <w:color w:val="auto"/>
                      <w:sz w:val="21"/>
                      <w:szCs w:val="21"/>
                      <w:lang w:val="en-US" w:eastAsia="zh-CN"/>
                    </w:rPr>
                    <w:t>/</w:t>
                  </w:r>
                </w:p>
              </w:tc>
              <w:tc>
                <w:tcPr>
                  <w:tcW w:w="644" w:type="dxa"/>
                  <w:noWrap w:val="0"/>
                  <w:vAlign w:val="center"/>
                </w:tcPr>
                <w:p w14:paraId="76B7BC8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color w:val="auto"/>
                      <w:sz w:val="21"/>
                      <w:szCs w:val="21"/>
                    </w:rPr>
                  </w:pPr>
                  <w:r>
                    <w:rPr>
                      <w:rFonts w:hint="eastAsia"/>
                      <w:color w:val="auto"/>
                      <w:sz w:val="21"/>
                      <w:szCs w:val="21"/>
                      <w:lang w:val="en-US" w:eastAsia="zh-CN"/>
                    </w:rPr>
                    <w:t>/</w:t>
                  </w:r>
                </w:p>
              </w:tc>
            </w:tr>
            <w:tr w14:paraId="3172D7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2" w:type="dxa"/>
                  <w:vMerge w:val="continue"/>
                  <w:noWrap w:val="0"/>
                  <w:vAlign w:val="center"/>
                </w:tcPr>
                <w:p w14:paraId="0D4DC3D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color w:val="auto"/>
                      <w:sz w:val="21"/>
                      <w:szCs w:val="21"/>
                    </w:rPr>
                  </w:pPr>
                </w:p>
              </w:tc>
              <w:tc>
                <w:tcPr>
                  <w:tcW w:w="1701" w:type="dxa"/>
                  <w:gridSpan w:val="2"/>
                  <w:noWrap w:val="0"/>
                  <w:vAlign w:val="center"/>
                </w:tcPr>
                <w:p w14:paraId="7DEB65A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color w:val="auto"/>
                      <w:sz w:val="21"/>
                      <w:szCs w:val="21"/>
                    </w:rPr>
                  </w:pPr>
                  <w:r>
                    <w:rPr>
                      <w:rFonts w:hint="eastAsia"/>
                      <w:color w:val="auto"/>
                      <w:sz w:val="21"/>
                      <w:szCs w:val="21"/>
                    </w:rPr>
                    <w:t>其他资源利用效率要求</w:t>
                  </w:r>
                </w:p>
              </w:tc>
              <w:tc>
                <w:tcPr>
                  <w:tcW w:w="2509" w:type="dxa"/>
                  <w:noWrap w:val="0"/>
                  <w:vAlign w:val="center"/>
                </w:tcPr>
                <w:p w14:paraId="4471282B">
                  <w:pPr>
                    <w:keepNext w:val="0"/>
                    <w:keepLines w:val="0"/>
                    <w:pageBreakBefore w:val="0"/>
                    <w:widowControl w:val="0"/>
                    <w:kinsoku/>
                    <w:wordWrap/>
                    <w:overflowPunct/>
                    <w:topLinePunct w:val="0"/>
                    <w:autoSpaceDE/>
                    <w:autoSpaceDN/>
                    <w:bidi w:val="0"/>
                    <w:adjustRightInd/>
                    <w:snapToGrid w:val="0"/>
                    <w:spacing w:line="240" w:lineRule="auto"/>
                    <w:ind w:firstLine="420" w:firstLineChars="200"/>
                    <w:jc w:val="both"/>
                    <w:textAlignment w:val="auto"/>
                    <w:rPr>
                      <w:rFonts w:hint="eastAsia"/>
                      <w:color w:val="auto"/>
                      <w:sz w:val="21"/>
                      <w:szCs w:val="21"/>
                    </w:rPr>
                  </w:pPr>
                  <w:r>
                    <w:rPr>
                      <w:rFonts w:hint="eastAsia"/>
                      <w:color w:val="auto"/>
                      <w:sz w:val="21"/>
                      <w:szCs w:val="21"/>
                    </w:rPr>
                    <w:t>无</w:t>
                  </w:r>
                </w:p>
              </w:tc>
              <w:tc>
                <w:tcPr>
                  <w:tcW w:w="2741" w:type="dxa"/>
                  <w:noWrap w:val="0"/>
                  <w:vAlign w:val="center"/>
                </w:tcPr>
                <w:p w14:paraId="17859DE2">
                  <w:pPr>
                    <w:keepNext w:val="0"/>
                    <w:keepLines w:val="0"/>
                    <w:pageBreakBefore w:val="0"/>
                    <w:widowControl w:val="0"/>
                    <w:kinsoku/>
                    <w:wordWrap/>
                    <w:overflowPunct/>
                    <w:topLinePunct w:val="0"/>
                    <w:autoSpaceDE/>
                    <w:autoSpaceDN/>
                    <w:bidi w:val="0"/>
                    <w:adjustRightInd/>
                    <w:snapToGrid w:val="0"/>
                    <w:spacing w:line="240" w:lineRule="auto"/>
                    <w:ind w:firstLine="420" w:firstLineChars="200"/>
                    <w:jc w:val="both"/>
                    <w:textAlignment w:val="auto"/>
                    <w:rPr>
                      <w:rFonts w:hint="eastAsia" w:eastAsia="宋体"/>
                      <w:color w:val="auto"/>
                      <w:sz w:val="21"/>
                      <w:szCs w:val="21"/>
                      <w:lang w:eastAsia="zh-CN"/>
                    </w:rPr>
                  </w:pPr>
                  <w:r>
                    <w:rPr>
                      <w:rFonts w:hint="eastAsia"/>
                      <w:color w:val="auto"/>
                      <w:sz w:val="21"/>
                      <w:szCs w:val="21"/>
                      <w:lang w:val="en-US" w:eastAsia="zh-CN"/>
                    </w:rPr>
                    <w:t>/</w:t>
                  </w:r>
                </w:p>
              </w:tc>
              <w:tc>
                <w:tcPr>
                  <w:tcW w:w="644" w:type="dxa"/>
                  <w:noWrap w:val="0"/>
                  <w:vAlign w:val="center"/>
                </w:tcPr>
                <w:p w14:paraId="0DA47AA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color w:val="auto"/>
                      <w:sz w:val="21"/>
                      <w:szCs w:val="21"/>
                      <w:lang w:eastAsia="zh-CN"/>
                    </w:rPr>
                  </w:pPr>
                  <w:r>
                    <w:rPr>
                      <w:rFonts w:hint="eastAsia"/>
                      <w:color w:val="auto"/>
                      <w:sz w:val="21"/>
                      <w:szCs w:val="21"/>
                      <w:lang w:val="en-US" w:eastAsia="zh-CN"/>
                    </w:rPr>
                    <w:t>/</w:t>
                  </w:r>
                </w:p>
              </w:tc>
            </w:tr>
          </w:tbl>
          <w:p w14:paraId="028DA982">
            <w:pPr>
              <w:pStyle w:val="92"/>
              <w:keepNext w:val="0"/>
              <w:keepLines w:val="0"/>
              <w:pageBreakBefore w:val="0"/>
              <w:widowControl w:val="0"/>
              <w:kinsoku/>
              <w:wordWrap/>
              <w:overflowPunct/>
              <w:topLinePunct w:val="0"/>
              <w:autoSpaceDE/>
              <w:autoSpaceDN/>
              <w:bidi w:val="0"/>
              <w:adjustRightInd/>
              <w:snapToGrid/>
              <w:ind w:firstLine="496" w:firstLineChars="200"/>
              <w:jc w:val="left"/>
              <w:textAlignment w:val="auto"/>
              <w:rPr>
                <w:rFonts w:ascii="Times New Roman" w:hAnsi="Times New Roman"/>
                <w:color w:val="auto"/>
              </w:rPr>
            </w:pPr>
            <w:r>
              <w:rPr>
                <w:rFonts w:ascii="Times New Roman" w:hAnsi="Times New Roman"/>
                <w:color w:val="auto"/>
              </w:rPr>
              <w:t>综上所述，</w:t>
            </w:r>
            <w:r>
              <w:rPr>
                <w:rFonts w:hint="eastAsia" w:ascii="Times New Roman" w:hAnsi="Times New Roman"/>
                <w:color w:val="auto"/>
              </w:rPr>
              <w:t>本项目建设</w:t>
            </w:r>
            <w:r>
              <w:rPr>
                <w:rFonts w:ascii="Times New Roman" w:hAnsi="Times New Roman"/>
                <w:color w:val="auto"/>
              </w:rPr>
              <w:t>与</w:t>
            </w:r>
            <w:r>
              <w:rPr>
                <w:rFonts w:hint="eastAsia" w:ascii="Times New Roman" w:hAnsi="Times New Roman"/>
                <w:color w:val="auto"/>
              </w:rPr>
              <w:t>《</w:t>
            </w:r>
            <w:r>
              <w:rPr>
                <w:rFonts w:ascii="Times New Roman" w:hAnsi="Times New Roman"/>
                <w:color w:val="auto"/>
              </w:rPr>
              <w:t>九江市</w:t>
            </w:r>
            <w:r>
              <w:rPr>
                <w:rFonts w:hint="eastAsia" w:ascii="Times New Roman" w:hAnsi="Times New Roman"/>
                <w:color w:val="auto"/>
                <w:lang w:val="en-US" w:eastAsia="zh-CN"/>
              </w:rPr>
              <w:t>柴桑区</w:t>
            </w:r>
            <w:r>
              <w:rPr>
                <w:rFonts w:ascii="Times New Roman" w:hAnsi="Times New Roman"/>
                <w:color w:val="auto"/>
              </w:rPr>
              <w:t>管控单元生态环境准入清单</w:t>
            </w:r>
            <w:r>
              <w:rPr>
                <w:rFonts w:hint="eastAsia" w:ascii="Times New Roman" w:hAnsi="Times New Roman"/>
                <w:color w:val="auto"/>
              </w:rPr>
              <w:t>》</w:t>
            </w:r>
            <w:r>
              <w:rPr>
                <w:rFonts w:ascii="Times New Roman" w:hAnsi="Times New Roman"/>
                <w:color w:val="auto"/>
              </w:rPr>
              <w:t>相符。</w:t>
            </w:r>
          </w:p>
          <w:p w14:paraId="620A8256">
            <w:pPr>
              <w:pStyle w:val="111"/>
              <w:keepNext w:val="0"/>
              <w:keepLines w:val="0"/>
              <w:pageBreakBefore w:val="0"/>
              <w:widowControl w:val="0"/>
              <w:kinsoku/>
              <w:wordWrap/>
              <w:overflowPunct w:val="0"/>
              <w:topLinePunct w:val="0"/>
              <w:autoSpaceDE w:val="0"/>
              <w:autoSpaceDN w:val="0"/>
              <w:bidi w:val="0"/>
              <w:adjustRightInd/>
              <w:snapToGrid/>
              <w:spacing w:before="0" w:after="0"/>
              <w:ind w:right="0"/>
              <w:textAlignment w:val="auto"/>
              <w:rPr>
                <w:rFonts w:hint="eastAsia" w:ascii="Times New Roman" w:eastAsia="宋体"/>
                <w:color w:val="auto"/>
              </w:rPr>
            </w:pPr>
            <w:r>
              <w:rPr>
                <w:rFonts w:ascii="Times New Roman" w:eastAsia="宋体"/>
                <w:color w:val="auto"/>
              </w:rPr>
              <w:t>表1-</w:t>
            </w:r>
            <w:r>
              <w:rPr>
                <w:rFonts w:hint="eastAsia" w:ascii="Times New Roman" w:eastAsia="宋体"/>
                <w:color w:val="auto"/>
                <w:lang w:val="en-US" w:eastAsia="zh-CN"/>
              </w:rPr>
              <w:t>3</w:t>
            </w:r>
            <w:r>
              <w:rPr>
                <w:rFonts w:ascii="Times New Roman" w:eastAsia="宋体"/>
                <w:color w:val="auto"/>
              </w:rPr>
              <w:t xml:space="preserve">   项目与</w:t>
            </w:r>
            <w:r>
              <w:rPr>
                <w:rFonts w:hint="eastAsia" w:ascii="Times New Roman" w:eastAsia="宋体"/>
                <w:color w:val="auto"/>
              </w:rPr>
              <w:t>《</w:t>
            </w:r>
            <w:r>
              <w:rPr>
                <w:rFonts w:ascii="Times New Roman" w:eastAsia="宋体"/>
                <w:color w:val="auto"/>
              </w:rPr>
              <w:t>九江市生态环境总体准入清单</w:t>
            </w:r>
            <w:r>
              <w:rPr>
                <w:rFonts w:hint="eastAsia" w:ascii="Times New Roman" w:eastAsia="宋体"/>
                <w:color w:val="auto"/>
              </w:rPr>
              <w:t>》</w:t>
            </w:r>
            <w:r>
              <w:rPr>
                <w:rFonts w:ascii="Times New Roman" w:eastAsia="宋体"/>
                <w:color w:val="auto"/>
              </w:rPr>
              <w:t>相符性</w:t>
            </w:r>
            <w:r>
              <w:rPr>
                <w:rFonts w:hint="eastAsia" w:ascii="Times New Roman" w:eastAsia="宋体"/>
                <w:color w:val="auto"/>
              </w:rPr>
              <w:t>分析</w:t>
            </w:r>
          </w:p>
          <w:tbl>
            <w:tblPr>
              <w:tblStyle w:val="35"/>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711"/>
              <w:gridCol w:w="682"/>
              <w:gridCol w:w="3585"/>
              <w:gridCol w:w="2406"/>
              <w:gridCol w:w="655"/>
            </w:tblGrid>
            <w:tr w14:paraId="779B89B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711" w:type="dxa"/>
                  <w:tcBorders>
                    <w:tl2br w:val="nil"/>
                    <w:tr2bl w:val="nil"/>
                  </w:tcBorders>
                  <w:noWrap w:val="0"/>
                  <w:vAlign w:val="center"/>
                </w:tcPr>
                <w:p w14:paraId="3C5A628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b/>
                      <w:color w:val="auto"/>
                      <w:sz w:val="21"/>
                      <w:szCs w:val="21"/>
                    </w:rPr>
                  </w:pPr>
                  <w:r>
                    <w:rPr>
                      <w:rFonts w:hint="eastAsia"/>
                      <w:b/>
                      <w:color w:val="auto"/>
                      <w:sz w:val="21"/>
                      <w:szCs w:val="21"/>
                    </w:rPr>
                    <w:t>单元类别</w:t>
                  </w:r>
                </w:p>
              </w:tc>
              <w:tc>
                <w:tcPr>
                  <w:tcW w:w="682" w:type="dxa"/>
                  <w:tcBorders>
                    <w:tl2br w:val="nil"/>
                    <w:tr2bl w:val="nil"/>
                  </w:tcBorders>
                  <w:noWrap w:val="0"/>
                  <w:vAlign w:val="center"/>
                </w:tcPr>
                <w:p w14:paraId="2705E80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b/>
                      <w:color w:val="auto"/>
                      <w:sz w:val="21"/>
                      <w:szCs w:val="21"/>
                    </w:rPr>
                  </w:pPr>
                  <w:r>
                    <w:rPr>
                      <w:rFonts w:hint="eastAsia"/>
                      <w:b/>
                      <w:color w:val="auto"/>
                      <w:sz w:val="21"/>
                      <w:szCs w:val="21"/>
                    </w:rPr>
                    <w:t>维度</w:t>
                  </w:r>
                </w:p>
              </w:tc>
              <w:tc>
                <w:tcPr>
                  <w:tcW w:w="3585" w:type="dxa"/>
                  <w:tcBorders>
                    <w:tl2br w:val="nil"/>
                    <w:tr2bl w:val="nil"/>
                  </w:tcBorders>
                  <w:noWrap w:val="0"/>
                  <w:vAlign w:val="center"/>
                </w:tcPr>
                <w:p w14:paraId="149DC37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b/>
                      <w:color w:val="auto"/>
                      <w:sz w:val="21"/>
                      <w:szCs w:val="21"/>
                    </w:rPr>
                  </w:pPr>
                  <w:r>
                    <w:rPr>
                      <w:b/>
                      <w:color w:val="auto"/>
                      <w:sz w:val="21"/>
                      <w:szCs w:val="21"/>
                    </w:rPr>
                    <w:t>生态环境准入要求</w:t>
                  </w:r>
                </w:p>
              </w:tc>
              <w:tc>
                <w:tcPr>
                  <w:tcW w:w="2406" w:type="dxa"/>
                  <w:tcBorders>
                    <w:tl2br w:val="nil"/>
                    <w:tr2bl w:val="nil"/>
                  </w:tcBorders>
                  <w:noWrap w:val="0"/>
                  <w:vAlign w:val="center"/>
                </w:tcPr>
                <w:p w14:paraId="1D3F593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b/>
                      <w:color w:val="auto"/>
                      <w:sz w:val="21"/>
                      <w:szCs w:val="21"/>
                    </w:rPr>
                  </w:pPr>
                  <w:r>
                    <w:rPr>
                      <w:b/>
                      <w:color w:val="auto"/>
                      <w:sz w:val="21"/>
                      <w:szCs w:val="21"/>
                    </w:rPr>
                    <w:t>相符性分析</w:t>
                  </w:r>
                </w:p>
              </w:tc>
              <w:tc>
                <w:tcPr>
                  <w:tcW w:w="655" w:type="dxa"/>
                  <w:tcBorders>
                    <w:tl2br w:val="nil"/>
                    <w:tr2bl w:val="nil"/>
                  </w:tcBorders>
                  <w:noWrap w:val="0"/>
                  <w:vAlign w:val="center"/>
                </w:tcPr>
                <w:p w14:paraId="5299486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b/>
                      <w:color w:val="auto"/>
                      <w:sz w:val="21"/>
                      <w:szCs w:val="21"/>
                    </w:rPr>
                  </w:pPr>
                  <w:r>
                    <w:rPr>
                      <w:rFonts w:hint="eastAsia"/>
                      <w:b/>
                      <w:color w:val="auto"/>
                      <w:sz w:val="21"/>
                      <w:szCs w:val="21"/>
                    </w:rPr>
                    <w:t>结论</w:t>
                  </w:r>
                </w:p>
              </w:tc>
            </w:tr>
            <w:tr w14:paraId="1DA6E40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711" w:type="dxa"/>
                  <w:vMerge w:val="restart"/>
                  <w:tcBorders>
                    <w:tl2br w:val="nil"/>
                    <w:tr2bl w:val="nil"/>
                  </w:tcBorders>
                  <w:noWrap w:val="0"/>
                  <w:vAlign w:val="center"/>
                </w:tcPr>
                <w:p w14:paraId="57147B06">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重点管控单元</w:t>
                  </w:r>
                </w:p>
              </w:tc>
              <w:tc>
                <w:tcPr>
                  <w:tcW w:w="682" w:type="dxa"/>
                  <w:vMerge w:val="restart"/>
                  <w:tcBorders>
                    <w:tl2br w:val="nil"/>
                    <w:tr2bl w:val="nil"/>
                  </w:tcBorders>
                  <w:noWrap w:val="0"/>
                  <w:vAlign w:val="center"/>
                </w:tcPr>
                <w:p w14:paraId="0C5814B2">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空间布局约束</w:t>
                  </w:r>
                </w:p>
              </w:tc>
              <w:tc>
                <w:tcPr>
                  <w:tcW w:w="3585" w:type="dxa"/>
                  <w:tcBorders>
                    <w:tl2br w:val="nil"/>
                    <w:tr2bl w:val="nil"/>
                  </w:tcBorders>
                  <w:noWrap w:val="0"/>
                  <w:vAlign w:val="center"/>
                </w:tcPr>
                <w:p w14:paraId="0C3EC41B">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1.强化燃煤锅炉废气精细管控，不再审批</w:t>
                  </w:r>
                  <w:r>
                    <w:rPr>
                      <w:rFonts w:ascii="Times New Roman" w:hAnsi="Times New Roman" w:eastAsia="宋体"/>
                      <w:color w:val="auto"/>
                      <w:sz w:val="21"/>
                      <w:szCs w:val="21"/>
                    </w:rPr>
                    <w:t>35</w:t>
                  </w:r>
                  <w:r>
                    <w:rPr>
                      <w:rFonts w:hint="eastAsia" w:ascii="Times New Roman" w:hAnsi="Times New Roman" w:eastAsia="宋体"/>
                      <w:color w:val="auto"/>
                      <w:sz w:val="21"/>
                      <w:szCs w:val="21"/>
                    </w:rPr>
                    <w:t>蒸吨</w:t>
                  </w:r>
                  <w:r>
                    <w:rPr>
                      <w:rFonts w:ascii="Times New Roman" w:hAnsi="Times New Roman" w:eastAsia="宋体"/>
                      <w:color w:val="auto"/>
                      <w:sz w:val="21"/>
                      <w:szCs w:val="21"/>
                    </w:rPr>
                    <w:t>/</w:t>
                  </w:r>
                  <w:r>
                    <w:rPr>
                      <w:rFonts w:hint="eastAsia" w:ascii="Times New Roman" w:hAnsi="Times New Roman" w:eastAsia="宋体"/>
                      <w:color w:val="auto"/>
                      <w:sz w:val="21"/>
                      <w:szCs w:val="21"/>
                    </w:rPr>
                    <w:t>小时以下燃煤锅炉，不再新增燃煤导热油炉，鼓励现有燃煤锅炉、导热油炉改为清洁能源。</w:t>
                  </w:r>
                </w:p>
              </w:tc>
              <w:tc>
                <w:tcPr>
                  <w:tcW w:w="2406" w:type="dxa"/>
                  <w:tcBorders>
                    <w:tl2br w:val="nil"/>
                    <w:tr2bl w:val="nil"/>
                  </w:tcBorders>
                  <w:noWrap w:val="0"/>
                  <w:vAlign w:val="center"/>
                </w:tcPr>
                <w:p w14:paraId="78B9F63F">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本项目</w:t>
                  </w:r>
                  <w:r>
                    <w:rPr>
                      <w:rFonts w:ascii="Times New Roman" w:hAnsi="Times New Roman" w:eastAsia="宋体"/>
                      <w:color w:val="auto"/>
                      <w:sz w:val="21"/>
                      <w:szCs w:val="21"/>
                    </w:rPr>
                    <w:t>无</w:t>
                  </w:r>
                  <w:r>
                    <w:rPr>
                      <w:rFonts w:hint="eastAsia" w:ascii="Times New Roman" w:hAnsi="Times New Roman" w:eastAsia="宋体"/>
                      <w:color w:val="auto"/>
                      <w:sz w:val="21"/>
                      <w:szCs w:val="21"/>
                    </w:rPr>
                    <w:t>燃煤</w:t>
                  </w:r>
                  <w:r>
                    <w:rPr>
                      <w:rFonts w:ascii="Times New Roman" w:hAnsi="Times New Roman" w:eastAsia="宋体"/>
                      <w:color w:val="auto"/>
                      <w:sz w:val="21"/>
                      <w:szCs w:val="21"/>
                    </w:rPr>
                    <w:t>锅炉</w:t>
                  </w:r>
                  <w:r>
                    <w:rPr>
                      <w:rFonts w:hint="eastAsia" w:ascii="Times New Roman" w:hAnsi="Times New Roman" w:eastAsia="宋体"/>
                      <w:color w:val="auto"/>
                      <w:sz w:val="21"/>
                      <w:szCs w:val="21"/>
                    </w:rPr>
                    <w:t>和燃煤导热油炉。</w:t>
                  </w:r>
                </w:p>
              </w:tc>
              <w:tc>
                <w:tcPr>
                  <w:tcW w:w="655" w:type="dxa"/>
                  <w:tcBorders>
                    <w:tl2br w:val="nil"/>
                    <w:tr2bl w:val="nil"/>
                  </w:tcBorders>
                  <w:noWrap w:val="0"/>
                  <w:vAlign w:val="center"/>
                </w:tcPr>
                <w:p w14:paraId="179393CD">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ascii="Times New Roman" w:hAnsi="Times New Roman" w:eastAsia="宋体"/>
                      <w:color w:val="auto"/>
                      <w:sz w:val="21"/>
                      <w:szCs w:val="21"/>
                    </w:rPr>
                  </w:pPr>
                  <w:r>
                    <w:rPr>
                      <w:rFonts w:ascii="Times New Roman" w:hAnsi="Times New Roman" w:eastAsia="宋体"/>
                      <w:color w:val="auto"/>
                      <w:sz w:val="21"/>
                      <w:szCs w:val="21"/>
                    </w:rPr>
                    <w:t>符合</w:t>
                  </w:r>
                </w:p>
              </w:tc>
            </w:tr>
            <w:tr w14:paraId="65F04B0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711" w:type="dxa"/>
                  <w:vMerge w:val="continue"/>
                  <w:tcBorders>
                    <w:tl2br w:val="nil"/>
                    <w:tr2bl w:val="nil"/>
                  </w:tcBorders>
                  <w:noWrap w:val="0"/>
                  <w:vAlign w:val="center"/>
                </w:tcPr>
                <w:p w14:paraId="3F13F41B">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ascii="Times New Roman" w:hAnsi="Times New Roman" w:eastAsia="宋体"/>
                      <w:color w:val="auto"/>
                      <w:sz w:val="21"/>
                      <w:szCs w:val="21"/>
                    </w:rPr>
                  </w:pPr>
                </w:p>
              </w:tc>
              <w:tc>
                <w:tcPr>
                  <w:tcW w:w="682" w:type="dxa"/>
                  <w:vMerge w:val="continue"/>
                  <w:tcBorders>
                    <w:tl2br w:val="nil"/>
                    <w:tr2bl w:val="nil"/>
                  </w:tcBorders>
                  <w:noWrap w:val="0"/>
                  <w:vAlign w:val="center"/>
                </w:tcPr>
                <w:p w14:paraId="386D7C9C">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ascii="Times New Roman" w:hAnsi="Times New Roman" w:eastAsia="宋体"/>
                      <w:color w:val="auto"/>
                      <w:sz w:val="21"/>
                      <w:szCs w:val="21"/>
                    </w:rPr>
                  </w:pPr>
                </w:p>
              </w:tc>
              <w:tc>
                <w:tcPr>
                  <w:tcW w:w="3585" w:type="dxa"/>
                  <w:tcBorders>
                    <w:tl2br w:val="nil"/>
                    <w:tr2bl w:val="nil"/>
                  </w:tcBorders>
                  <w:noWrap w:val="0"/>
                  <w:vAlign w:val="center"/>
                </w:tcPr>
                <w:p w14:paraId="6C51198E">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auto"/>
                      <w:sz w:val="21"/>
                      <w:szCs w:val="21"/>
                    </w:rPr>
                  </w:pPr>
                  <w:r>
                    <w:rPr>
                      <w:rFonts w:ascii="Times New Roman" w:hAnsi="Times New Roman" w:eastAsia="宋体"/>
                      <w:color w:val="auto"/>
                      <w:sz w:val="21"/>
                      <w:szCs w:val="21"/>
                    </w:rPr>
                    <w:t>2.</w:t>
                  </w:r>
                  <w:r>
                    <w:rPr>
                      <w:rFonts w:hint="eastAsia" w:ascii="Times New Roman" w:hAnsi="Times New Roman" w:eastAsia="宋体"/>
                      <w:color w:val="auto"/>
                      <w:sz w:val="21"/>
                      <w:szCs w:val="21"/>
                    </w:rPr>
                    <w:t>禁止新、扩建不符合国家产业布局规划的石化、现代煤化工项目和不符合国家产能置换要求的严重产能过剩项目。禁止新建、扩建不符合要求的高耗能高排放项目。</w:t>
                  </w:r>
                </w:p>
              </w:tc>
              <w:tc>
                <w:tcPr>
                  <w:tcW w:w="2406" w:type="dxa"/>
                  <w:tcBorders>
                    <w:tl2br w:val="nil"/>
                    <w:tr2bl w:val="nil"/>
                  </w:tcBorders>
                  <w:noWrap w:val="0"/>
                  <w:vAlign w:val="center"/>
                </w:tcPr>
                <w:p w14:paraId="2CA9D985">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本项目</w:t>
                  </w:r>
                  <w:r>
                    <w:rPr>
                      <w:rFonts w:hint="eastAsia" w:ascii="Times New Roman" w:hAnsi="Times New Roman" w:eastAsia="宋体"/>
                      <w:color w:val="auto"/>
                      <w:sz w:val="21"/>
                      <w:szCs w:val="21"/>
                      <w:lang w:val="en-US" w:eastAsia="zh-CN"/>
                    </w:rPr>
                    <w:t>为机动车燃油零售项目，</w:t>
                  </w:r>
                  <w:r>
                    <w:rPr>
                      <w:rFonts w:ascii="Times New Roman" w:hAnsi="Times New Roman" w:eastAsia="宋体"/>
                      <w:color w:val="auto"/>
                      <w:sz w:val="21"/>
                      <w:szCs w:val="21"/>
                    </w:rPr>
                    <w:t>不属于</w:t>
                  </w:r>
                  <w:r>
                    <w:rPr>
                      <w:rFonts w:hint="eastAsia" w:ascii="Times New Roman" w:hAnsi="Times New Roman" w:eastAsia="宋体"/>
                      <w:color w:val="auto"/>
                      <w:sz w:val="21"/>
                      <w:szCs w:val="21"/>
                    </w:rPr>
                    <w:t>严重产能过剩和高耗能高排放项目。</w:t>
                  </w:r>
                </w:p>
              </w:tc>
              <w:tc>
                <w:tcPr>
                  <w:tcW w:w="655" w:type="dxa"/>
                  <w:tcBorders>
                    <w:tl2br w:val="nil"/>
                    <w:tr2bl w:val="nil"/>
                  </w:tcBorders>
                  <w:noWrap w:val="0"/>
                  <w:vAlign w:val="center"/>
                </w:tcPr>
                <w:p w14:paraId="0DD6571F">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ascii="Times New Roman" w:hAnsi="Times New Roman" w:eastAsia="宋体"/>
                      <w:color w:val="auto"/>
                      <w:sz w:val="21"/>
                      <w:szCs w:val="21"/>
                    </w:rPr>
                  </w:pPr>
                  <w:r>
                    <w:rPr>
                      <w:rFonts w:ascii="Times New Roman" w:hAnsi="Times New Roman" w:eastAsia="宋体"/>
                      <w:color w:val="auto"/>
                      <w:sz w:val="21"/>
                      <w:szCs w:val="21"/>
                    </w:rPr>
                    <w:t>符合</w:t>
                  </w:r>
                </w:p>
              </w:tc>
            </w:tr>
            <w:tr w14:paraId="7D46CB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711" w:type="dxa"/>
                  <w:vMerge w:val="continue"/>
                  <w:tcBorders>
                    <w:tl2br w:val="nil"/>
                    <w:tr2bl w:val="nil"/>
                  </w:tcBorders>
                  <w:noWrap w:val="0"/>
                  <w:vAlign w:val="center"/>
                </w:tcPr>
                <w:p w14:paraId="174544F8">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ascii="Times New Roman" w:hAnsi="Times New Roman" w:eastAsia="宋体"/>
                      <w:color w:val="auto"/>
                      <w:sz w:val="21"/>
                      <w:szCs w:val="21"/>
                    </w:rPr>
                  </w:pPr>
                </w:p>
              </w:tc>
              <w:tc>
                <w:tcPr>
                  <w:tcW w:w="682" w:type="dxa"/>
                  <w:vMerge w:val="continue"/>
                  <w:tcBorders>
                    <w:tl2br w:val="nil"/>
                    <w:tr2bl w:val="nil"/>
                  </w:tcBorders>
                  <w:noWrap w:val="0"/>
                  <w:vAlign w:val="center"/>
                </w:tcPr>
                <w:p w14:paraId="7B8694EE">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ascii="Times New Roman" w:hAnsi="Times New Roman" w:eastAsia="宋体"/>
                      <w:color w:val="auto"/>
                      <w:sz w:val="21"/>
                      <w:szCs w:val="21"/>
                    </w:rPr>
                  </w:pPr>
                </w:p>
              </w:tc>
              <w:tc>
                <w:tcPr>
                  <w:tcW w:w="3585" w:type="dxa"/>
                  <w:tcBorders>
                    <w:tl2br w:val="nil"/>
                    <w:tr2bl w:val="nil"/>
                  </w:tcBorders>
                  <w:noWrap w:val="0"/>
                  <w:vAlign w:val="center"/>
                </w:tcPr>
                <w:p w14:paraId="3A9710C5">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3</w:t>
                  </w:r>
                  <w:r>
                    <w:rPr>
                      <w:rFonts w:ascii="Times New Roman" w:hAnsi="Times New Roman" w:eastAsia="宋体"/>
                      <w:color w:val="auto"/>
                      <w:sz w:val="21"/>
                      <w:szCs w:val="21"/>
                    </w:rPr>
                    <w:t>.</w:t>
                  </w:r>
                  <w:r>
                    <w:rPr>
                      <w:rFonts w:hint="eastAsia" w:ascii="Times New Roman" w:hAnsi="Times New Roman" w:eastAsia="宋体"/>
                      <w:color w:val="auto"/>
                      <w:sz w:val="21"/>
                      <w:szCs w:val="21"/>
                    </w:rPr>
                    <w:t>长江干流九江段、修河干流及鄱阳湖岸线1公里范围内禁止新建化工、造纸、印染、制革、冶炼等重污染项目。</w:t>
                  </w:r>
                </w:p>
              </w:tc>
              <w:tc>
                <w:tcPr>
                  <w:tcW w:w="2406" w:type="dxa"/>
                  <w:tcBorders>
                    <w:tl2br w:val="nil"/>
                    <w:tr2bl w:val="nil"/>
                  </w:tcBorders>
                  <w:noWrap w:val="0"/>
                  <w:vAlign w:val="center"/>
                </w:tcPr>
                <w:p w14:paraId="26125523">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本项目不属于化工、造纸、印染、制革、冶炼等重污染项目。</w:t>
                  </w:r>
                </w:p>
              </w:tc>
              <w:tc>
                <w:tcPr>
                  <w:tcW w:w="655" w:type="dxa"/>
                  <w:tcBorders>
                    <w:tl2br w:val="nil"/>
                    <w:tr2bl w:val="nil"/>
                  </w:tcBorders>
                  <w:noWrap w:val="0"/>
                  <w:vAlign w:val="center"/>
                </w:tcPr>
                <w:p w14:paraId="7D2C07DB">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ascii="Times New Roman" w:hAnsi="Times New Roman" w:eastAsia="宋体"/>
                      <w:color w:val="auto"/>
                      <w:sz w:val="21"/>
                      <w:szCs w:val="21"/>
                    </w:rPr>
                  </w:pPr>
                  <w:r>
                    <w:rPr>
                      <w:rFonts w:ascii="Times New Roman" w:hAnsi="Times New Roman" w:eastAsia="宋体"/>
                      <w:color w:val="auto"/>
                      <w:sz w:val="21"/>
                      <w:szCs w:val="21"/>
                    </w:rPr>
                    <w:t>符合</w:t>
                  </w:r>
                </w:p>
              </w:tc>
            </w:tr>
            <w:tr w14:paraId="70AC96E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711" w:type="dxa"/>
                  <w:vMerge w:val="continue"/>
                  <w:tcBorders>
                    <w:tl2br w:val="nil"/>
                    <w:tr2bl w:val="nil"/>
                  </w:tcBorders>
                  <w:noWrap w:val="0"/>
                  <w:vAlign w:val="center"/>
                </w:tcPr>
                <w:p w14:paraId="240FFABF">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ascii="Times New Roman" w:hAnsi="Times New Roman" w:eastAsia="宋体"/>
                      <w:color w:val="auto"/>
                      <w:sz w:val="21"/>
                      <w:szCs w:val="21"/>
                    </w:rPr>
                  </w:pPr>
                </w:p>
              </w:tc>
              <w:tc>
                <w:tcPr>
                  <w:tcW w:w="682" w:type="dxa"/>
                  <w:vMerge w:val="continue"/>
                  <w:tcBorders>
                    <w:tl2br w:val="nil"/>
                    <w:tr2bl w:val="nil"/>
                  </w:tcBorders>
                  <w:noWrap w:val="0"/>
                  <w:vAlign w:val="center"/>
                </w:tcPr>
                <w:p w14:paraId="26D1428B">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ascii="Times New Roman" w:hAnsi="Times New Roman" w:eastAsia="宋体"/>
                      <w:color w:val="auto"/>
                      <w:sz w:val="21"/>
                      <w:szCs w:val="21"/>
                    </w:rPr>
                  </w:pPr>
                </w:p>
              </w:tc>
              <w:tc>
                <w:tcPr>
                  <w:tcW w:w="3585" w:type="dxa"/>
                  <w:tcBorders>
                    <w:tl2br w:val="nil"/>
                    <w:tr2bl w:val="nil"/>
                  </w:tcBorders>
                  <w:noWrap w:val="0"/>
                  <w:vAlign w:val="center"/>
                </w:tcPr>
                <w:p w14:paraId="7C7A27BB">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auto"/>
                      <w:sz w:val="21"/>
                      <w:szCs w:val="21"/>
                    </w:rPr>
                  </w:pPr>
                  <w:r>
                    <w:rPr>
                      <w:rFonts w:ascii="Times New Roman" w:hAnsi="Times New Roman" w:eastAsia="宋体"/>
                      <w:color w:val="auto"/>
                      <w:sz w:val="21"/>
                      <w:szCs w:val="21"/>
                    </w:rPr>
                    <w:t>4</w:t>
                  </w:r>
                  <w:r>
                    <w:rPr>
                      <w:rFonts w:hint="eastAsia" w:ascii="Times New Roman" w:hAnsi="Times New Roman" w:eastAsia="宋体"/>
                      <w:color w:val="auto"/>
                      <w:sz w:val="21"/>
                      <w:szCs w:val="21"/>
                    </w:rPr>
                    <w:t>.禁止在长江干支流、重要湖泊岸线一公里范围内新建、扩建化工园区和化工项目。</w:t>
                  </w:r>
                </w:p>
              </w:tc>
              <w:tc>
                <w:tcPr>
                  <w:tcW w:w="2406" w:type="dxa"/>
                  <w:tcBorders>
                    <w:tl2br w:val="nil"/>
                    <w:tr2bl w:val="nil"/>
                  </w:tcBorders>
                  <w:noWrap w:val="0"/>
                  <w:vAlign w:val="center"/>
                </w:tcPr>
                <w:p w14:paraId="2C07B4E2">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本项目不属于化工园区和化工项目。</w:t>
                  </w:r>
                </w:p>
              </w:tc>
              <w:tc>
                <w:tcPr>
                  <w:tcW w:w="655" w:type="dxa"/>
                  <w:tcBorders>
                    <w:tl2br w:val="nil"/>
                    <w:tr2bl w:val="nil"/>
                  </w:tcBorders>
                  <w:noWrap w:val="0"/>
                  <w:vAlign w:val="center"/>
                </w:tcPr>
                <w:p w14:paraId="4689FE6A">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ascii="Times New Roman" w:hAnsi="Times New Roman" w:eastAsia="宋体"/>
                      <w:color w:val="auto"/>
                      <w:sz w:val="21"/>
                      <w:szCs w:val="21"/>
                    </w:rPr>
                  </w:pPr>
                  <w:r>
                    <w:rPr>
                      <w:rFonts w:ascii="Times New Roman" w:hAnsi="Times New Roman" w:eastAsia="宋体"/>
                      <w:color w:val="auto"/>
                      <w:sz w:val="21"/>
                      <w:szCs w:val="21"/>
                    </w:rPr>
                    <w:t>符合</w:t>
                  </w:r>
                </w:p>
              </w:tc>
            </w:tr>
            <w:tr w14:paraId="6B6797D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711" w:type="dxa"/>
                  <w:vMerge w:val="continue"/>
                  <w:tcBorders>
                    <w:tl2br w:val="nil"/>
                    <w:tr2bl w:val="nil"/>
                  </w:tcBorders>
                  <w:noWrap w:val="0"/>
                  <w:vAlign w:val="center"/>
                </w:tcPr>
                <w:p w14:paraId="18E800A3">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color w:val="auto"/>
                      <w:sz w:val="21"/>
                      <w:szCs w:val="21"/>
                    </w:rPr>
                  </w:pPr>
                </w:p>
              </w:tc>
              <w:tc>
                <w:tcPr>
                  <w:tcW w:w="682" w:type="dxa"/>
                  <w:vMerge w:val="continue"/>
                  <w:tcBorders>
                    <w:tl2br w:val="nil"/>
                    <w:tr2bl w:val="nil"/>
                  </w:tcBorders>
                  <w:noWrap w:val="0"/>
                  <w:vAlign w:val="center"/>
                </w:tcPr>
                <w:p w14:paraId="564171FF">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color w:val="auto"/>
                      <w:sz w:val="21"/>
                      <w:szCs w:val="21"/>
                    </w:rPr>
                  </w:pPr>
                </w:p>
              </w:tc>
              <w:tc>
                <w:tcPr>
                  <w:tcW w:w="3585" w:type="dxa"/>
                  <w:tcBorders>
                    <w:tl2br w:val="nil"/>
                    <w:tr2bl w:val="nil"/>
                  </w:tcBorders>
                  <w:noWrap w:val="0"/>
                  <w:vAlign w:val="center"/>
                </w:tcPr>
                <w:p w14:paraId="135CD1F9">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auto"/>
                      <w:sz w:val="21"/>
                      <w:szCs w:val="21"/>
                    </w:rPr>
                  </w:pPr>
                  <w:r>
                    <w:rPr>
                      <w:rFonts w:ascii="Times New Roman" w:hAnsi="Times New Roman" w:eastAsia="宋体"/>
                      <w:color w:val="auto"/>
                      <w:sz w:val="21"/>
                      <w:szCs w:val="21"/>
                    </w:rPr>
                    <w:t>5</w:t>
                  </w:r>
                  <w:r>
                    <w:rPr>
                      <w:rFonts w:hint="eastAsia" w:ascii="Times New Roman" w:hAnsi="Times New Roman" w:eastAsia="宋体"/>
                      <w:color w:val="auto"/>
                      <w:sz w:val="21"/>
                      <w:szCs w:val="21"/>
                    </w:rPr>
                    <w:t>.禁止在城市湖泊水域范围内建设除防洪、改善水生态环境、跨湖桥梁、湖底隧道之外的建筑物、构筑物。</w:t>
                  </w:r>
                </w:p>
              </w:tc>
              <w:tc>
                <w:tcPr>
                  <w:tcW w:w="2406" w:type="dxa"/>
                  <w:tcBorders>
                    <w:tl2br w:val="nil"/>
                    <w:tr2bl w:val="nil"/>
                  </w:tcBorders>
                  <w:noWrap w:val="0"/>
                  <w:vAlign w:val="center"/>
                </w:tcPr>
                <w:p w14:paraId="2F45DEE7">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本项目不在城市湖泊水域范围内建设除防洪、改善水生态环境、跨湖桥梁、湖底隧道之外的建筑物、构筑物。</w:t>
                  </w:r>
                </w:p>
              </w:tc>
              <w:tc>
                <w:tcPr>
                  <w:tcW w:w="655" w:type="dxa"/>
                  <w:tcBorders>
                    <w:tl2br w:val="nil"/>
                    <w:tr2bl w:val="nil"/>
                  </w:tcBorders>
                  <w:noWrap w:val="0"/>
                  <w:vAlign w:val="center"/>
                </w:tcPr>
                <w:p w14:paraId="0E5A7954">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ascii="Times New Roman" w:hAnsi="Times New Roman" w:eastAsia="宋体"/>
                      <w:color w:val="auto"/>
                      <w:sz w:val="21"/>
                      <w:szCs w:val="21"/>
                    </w:rPr>
                  </w:pPr>
                  <w:r>
                    <w:rPr>
                      <w:rFonts w:ascii="Times New Roman" w:hAnsi="Times New Roman" w:eastAsia="宋体"/>
                      <w:color w:val="auto"/>
                      <w:sz w:val="21"/>
                      <w:szCs w:val="21"/>
                    </w:rPr>
                    <w:t>符合</w:t>
                  </w:r>
                </w:p>
              </w:tc>
            </w:tr>
            <w:tr w14:paraId="3B84A71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711" w:type="dxa"/>
                  <w:vMerge w:val="continue"/>
                  <w:tcBorders>
                    <w:tl2br w:val="nil"/>
                    <w:tr2bl w:val="nil"/>
                  </w:tcBorders>
                  <w:noWrap w:val="0"/>
                  <w:vAlign w:val="center"/>
                </w:tcPr>
                <w:p w14:paraId="4CA85768">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ascii="Times New Roman" w:hAnsi="Times New Roman" w:eastAsia="宋体"/>
                      <w:color w:val="auto"/>
                      <w:sz w:val="21"/>
                      <w:szCs w:val="21"/>
                    </w:rPr>
                  </w:pPr>
                </w:p>
              </w:tc>
              <w:tc>
                <w:tcPr>
                  <w:tcW w:w="682" w:type="dxa"/>
                  <w:vMerge w:val="continue"/>
                  <w:tcBorders>
                    <w:tl2br w:val="nil"/>
                    <w:tr2bl w:val="nil"/>
                  </w:tcBorders>
                  <w:noWrap w:val="0"/>
                  <w:vAlign w:val="center"/>
                </w:tcPr>
                <w:p w14:paraId="336F8AB0">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ascii="Times New Roman" w:hAnsi="Times New Roman" w:eastAsia="宋体"/>
                      <w:color w:val="auto"/>
                      <w:sz w:val="21"/>
                      <w:szCs w:val="21"/>
                    </w:rPr>
                  </w:pPr>
                </w:p>
              </w:tc>
              <w:tc>
                <w:tcPr>
                  <w:tcW w:w="3585" w:type="dxa"/>
                  <w:tcBorders>
                    <w:tl2br w:val="nil"/>
                    <w:tr2bl w:val="nil"/>
                  </w:tcBorders>
                  <w:noWrap w:val="0"/>
                  <w:vAlign w:val="center"/>
                </w:tcPr>
                <w:p w14:paraId="56B205CF">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auto"/>
                      <w:sz w:val="21"/>
                      <w:szCs w:val="21"/>
                    </w:rPr>
                  </w:pPr>
                  <w:r>
                    <w:rPr>
                      <w:rFonts w:ascii="Times New Roman" w:hAnsi="Times New Roman" w:eastAsia="宋体"/>
                      <w:color w:val="auto"/>
                      <w:sz w:val="21"/>
                      <w:szCs w:val="21"/>
                    </w:rPr>
                    <w:t>6.</w:t>
                  </w:r>
                  <w:r>
                    <w:rPr>
                      <w:rFonts w:hint="eastAsia" w:ascii="Times New Roman" w:hAnsi="Times New Roman" w:eastAsia="宋体"/>
                      <w:color w:val="auto"/>
                      <w:sz w:val="21"/>
                      <w:szCs w:val="21"/>
                    </w:rPr>
                    <w:t>禁止在合规园区外新建、扩建钢铁、石化、化工、焦化、建材、有色、制浆造纸等高污染项目。</w:t>
                  </w:r>
                </w:p>
              </w:tc>
              <w:tc>
                <w:tcPr>
                  <w:tcW w:w="2406" w:type="dxa"/>
                  <w:tcBorders>
                    <w:tl2br w:val="nil"/>
                    <w:tr2bl w:val="nil"/>
                  </w:tcBorders>
                  <w:noWrap w:val="0"/>
                  <w:vAlign w:val="center"/>
                </w:tcPr>
                <w:p w14:paraId="6E87879D">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本项目不属于钢铁、石化、化工、焦化、建材、有色、制浆造纸等高污染项目。</w:t>
                  </w:r>
                </w:p>
              </w:tc>
              <w:tc>
                <w:tcPr>
                  <w:tcW w:w="655" w:type="dxa"/>
                  <w:tcBorders>
                    <w:tl2br w:val="nil"/>
                    <w:tr2bl w:val="nil"/>
                  </w:tcBorders>
                  <w:noWrap w:val="0"/>
                  <w:vAlign w:val="center"/>
                </w:tcPr>
                <w:p w14:paraId="012F3D49">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ascii="Times New Roman" w:hAnsi="Times New Roman" w:eastAsia="宋体"/>
                      <w:color w:val="auto"/>
                      <w:sz w:val="21"/>
                      <w:szCs w:val="21"/>
                    </w:rPr>
                  </w:pPr>
                  <w:r>
                    <w:rPr>
                      <w:rFonts w:ascii="Times New Roman" w:hAnsi="Times New Roman" w:eastAsia="宋体"/>
                      <w:color w:val="auto"/>
                      <w:sz w:val="21"/>
                      <w:szCs w:val="21"/>
                    </w:rPr>
                    <w:t>符合</w:t>
                  </w:r>
                </w:p>
              </w:tc>
            </w:tr>
            <w:tr w14:paraId="441B43B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711" w:type="dxa"/>
                  <w:vMerge w:val="continue"/>
                  <w:tcBorders>
                    <w:tl2br w:val="nil"/>
                    <w:tr2bl w:val="nil"/>
                  </w:tcBorders>
                  <w:noWrap w:val="0"/>
                  <w:vAlign w:val="center"/>
                </w:tcPr>
                <w:p w14:paraId="70FB074B">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color w:val="auto"/>
                      <w:sz w:val="21"/>
                      <w:szCs w:val="21"/>
                    </w:rPr>
                  </w:pPr>
                </w:p>
              </w:tc>
              <w:tc>
                <w:tcPr>
                  <w:tcW w:w="682" w:type="dxa"/>
                  <w:vMerge w:val="continue"/>
                  <w:tcBorders>
                    <w:tl2br w:val="nil"/>
                    <w:tr2bl w:val="nil"/>
                  </w:tcBorders>
                  <w:noWrap w:val="0"/>
                  <w:vAlign w:val="center"/>
                </w:tcPr>
                <w:p w14:paraId="51662E34">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color w:val="auto"/>
                      <w:sz w:val="21"/>
                      <w:szCs w:val="21"/>
                    </w:rPr>
                  </w:pPr>
                </w:p>
              </w:tc>
              <w:tc>
                <w:tcPr>
                  <w:tcW w:w="3585" w:type="dxa"/>
                  <w:tcBorders>
                    <w:tl2br w:val="nil"/>
                    <w:tr2bl w:val="nil"/>
                  </w:tcBorders>
                  <w:noWrap w:val="0"/>
                  <w:vAlign w:val="center"/>
                </w:tcPr>
                <w:p w14:paraId="7764320B">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auto"/>
                      <w:sz w:val="21"/>
                      <w:szCs w:val="21"/>
                    </w:rPr>
                  </w:pPr>
                  <w:r>
                    <w:rPr>
                      <w:rFonts w:ascii="Times New Roman" w:hAnsi="Times New Roman" w:eastAsia="宋体"/>
                      <w:color w:val="auto"/>
                      <w:sz w:val="21"/>
                      <w:szCs w:val="21"/>
                    </w:rPr>
                    <w:t>7.</w:t>
                  </w:r>
                  <w:r>
                    <w:rPr>
                      <w:rFonts w:hint="eastAsia" w:ascii="Times New Roman" w:hAnsi="Times New Roman" w:eastAsia="宋体"/>
                      <w:color w:val="auto"/>
                      <w:sz w:val="21"/>
                      <w:szCs w:val="21"/>
                    </w:rPr>
                    <w:t>对不符合产业政策要求、以及环境风险、安全隐患突出而又无法搬迁或转型企业，依法实施关停。</w:t>
                  </w:r>
                </w:p>
              </w:tc>
              <w:tc>
                <w:tcPr>
                  <w:tcW w:w="2406" w:type="dxa"/>
                  <w:tcBorders>
                    <w:tl2br w:val="nil"/>
                    <w:tr2bl w:val="nil"/>
                  </w:tcBorders>
                  <w:noWrap w:val="0"/>
                  <w:vAlign w:val="center"/>
                </w:tcPr>
                <w:p w14:paraId="6664D1C4">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本项目</w:t>
                  </w:r>
                  <w:r>
                    <w:rPr>
                      <w:rFonts w:ascii="Times New Roman" w:hAnsi="Times New Roman" w:eastAsia="宋体"/>
                      <w:color w:val="auto"/>
                      <w:sz w:val="21"/>
                      <w:szCs w:val="21"/>
                    </w:rPr>
                    <w:t>符合产业政策要求</w:t>
                  </w:r>
                  <w:r>
                    <w:rPr>
                      <w:rFonts w:hint="eastAsia" w:ascii="Times New Roman" w:hAnsi="Times New Roman" w:eastAsia="宋体"/>
                      <w:color w:val="auto"/>
                      <w:sz w:val="21"/>
                      <w:szCs w:val="21"/>
                    </w:rPr>
                    <w:t>。</w:t>
                  </w:r>
                </w:p>
              </w:tc>
              <w:tc>
                <w:tcPr>
                  <w:tcW w:w="655" w:type="dxa"/>
                  <w:tcBorders>
                    <w:tl2br w:val="nil"/>
                    <w:tr2bl w:val="nil"/>
                  </w:tcBorders>
                  <w:noWrap w:val="0"/>
                  <w:vAlign w:val="center"/>
                </w:tcPr>
                <w:p w14:paraId="402BA73C">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ascii="Times New Roman" w:hAnsi="Times New Roman" w:eastAsia="宋体"/>
                      <w:color w:val="auto"/>
                      <w:sz w:val="21"/>
                      <w:szCs w:val="21"/>
                    </w:rPr>
                  </w:pPr>
                  <w:r>
                    <w:rPr>
                      <w:rFonts w:ascii="Times New Roman" w:hAnsi="Times New Roman" w:eastAsia="宋体"/>
                      <w:color w:val="auto"/>
                      <w:sz w:val="21"/>
                      <w:szCs w:val="21"/>
                    </w:rPr>
                    <w:t>符合</w:t>
                  </w:r>
                </w:p>
              </w:tc>
            </w:tr>
            <w:tr w14:paraId="36AEBA4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711" w:type="dxa"/>
                  <w:vMerge w:val="continue"/>
                  <w:tcBorders>
                    <w:tl2br w:val="nil"/>
                    <w:tr2bl w:val="nil"/>
                  </w:tcBorders>
                  <w:noWrap w:val="0"/>
                  <w:vAlign w:val="center"/>
                </w:tcPr>
                <w:p w14:paraId="706A9138">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ascii="Times New Roman" w:hAnsi="Times New Roman" w:eastAsia="宋体"/>
                      <w:color w:val="auto"/>
                      <w:sz w:val="21"/>
                      <w:szCs w:val="21"/>
                    </w:rPr>
                  </w:pPr>
                </w:p>
              </w:tc>
              <w:tc>
                <w:tcPr>
                  <w:tcW w:w="682" w:type="dxa"/>
                  <w:vMerge w:val="continue"/>
                  <w:tcBorders>
                    <w:tl2br w:val="nil"/>
                    <w:tr2bl w:val="nil"/>
                  </w:tcBorders>
                  <w:noWrap w:val="0"/>
                  <w:vAlign w:val="center"/>
                </w:tcPr>
                <w:p w14:paraId="0686CE41">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ascii="Times New Roman" w:hAnsi="Times New Roman" w:eastAsia="宋体"/>
                      <w:color w:val="auto"/>
                      <w:sz w:val="21"/>
                      <w:szCs w:val="21"/>
                    </w:rPr>
                  </w:pPr>
                </w:p>
              </w:tc>
              <w:tc>
                <w:tcPr>
                  <w:tcW w:w="3585" w:type="dxa"/>
                  <w:tcBorders>
                    <w:tl2br w:val="nil"/>
                    <w:tr2bl w:val="nil"/>
                  </w:tcBorders>
                  <w:noWrap w:val="0"/>
                  <w:vAlign w:val="center"/>
                </w:tcPr>
                <w:p w14:paraId="5706FC4A">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auto"/>
                      <w:sz w:val="21"/>
                      <w:szCs w:val="21"/>
                    </w:rPr>
                  </w:pPr>
                  <w:r>
                    <w:rPr>
                      <w:rFonts w:ascii="Times New Roman" w:hAnsi="Times New Roman" w:eastAsia="宋体"/>
                      <w:color w:val="auto"/>
                      <w:sz w:val="21"/>
                      <w:szCs w:val="21"/>
                    </w:rPr>
                    <w:t>8.</w:t>
                  </w:r>
                  <w:r>
                    <w:rPr>
                      <w:rFonts w:hint="eastAsia" w:ascii="Times New Roman" w:hAnsi="Times New Roman" w:eastAsia="宋体"/>
                      <w:color w:val="auto"/>
                      <w:sz w:val="21"/>
                      <w:szCs w:val="21"/>
                    </w:rPr>
                    <w:t>城市建成区内的现有污染较重或严重影响环境的企业应有序搬迁改造或依法关闭。</w:t>
                  </w:r>
                </w:p>
              </w:tc>
              <w:tc>
                <w:tcPr>
                  <w:tcW w:w="2406" w:type="dxa"/>
                  <w:tcBorders>
                    <w:tl2br w:val="nil"/>
                    <w:tr2bl w:val="nil"/>
                  </w:tcBorders>
                  <w:noWrap w:val="0"/>
                  <w:vAlign w:val="center"/>
                </w:tcPr>
                <w:p w14:paraId="06FF1059">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本项目</w:t>
                  </w:r>
                  <w:r>
                    <w:rPr>
                      <w:rFonts w:hint="eastAsia" w:ascii="Times New Roman" w:hAnsi="Times New Roman" w:eastAsia="宋体"/>
                      <w:color w:val="auto"/>
                      <w:sz w:val="21"/>
                      <w:szCs w:val="21"/>
                      <w:lang w:val="en-US" w:eastAsia="zh-CN"/>
                    </w:rPr>
                    <w:t>为新建项目，</w:t>
                  </w:r>
                  <w:r>
                    <w:rPr>
                      <w:rFonts w:hint="eastAsia" w:ascii="Times New Roman" w:hAnsi="Times New Roman" w:eastAsia="宋体"/>
                      <w:color w:val="auto"/>
                      <w:sz w:val="21"/>
                      <w:szCs w:val="21"/>
                    </w:rPr>
                    <w:t>不属于现有污染较重或严重影响环境项目。</w:t>
                  </w:r>
                </w:p>
              </w:tc>
              <w:tc>
                <w:tcPr>
                  <w:tcW w:w="655" w:type="dxa"/>
                  <w:tcBorders>
                    <w:tl2br w:val="nil"/>
                    <w:tr2bl w:val="nil"/>
                  </w:tcBorders>
                  <w:noWrap w:val="0"/>
                  <w:vAlign w:val="center"/>
                </w:tcPr>
                <w:p w14:paraId="09ED5323">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ascii="Times New Roman" w:hAnsi="Times New Roman" w:eastAsia="宋体"/>
                      <w:color w:val="auto"/>
                      <w:sz w:val="21"/>
                      <w:szCs w:val="21"/>
                    </w:rPr>
                  </w:pPr>
                  <w:r>
                    <w:rPr>
                      <w:rFonts w:ascii="Times New Roman" w:hAnsi="Times New Roman" w:eastAsia="宋体"/>
                      <w:color w:val="auto"/>
                      <w:sz w:val="21"/>
                      <w:szCs w:val="21"/>
                    </w:rPr>
                    <w:t>符合</w:t>
                  </w:r>
                </w:p>
              </w:tc>
            </w:tr>
            <w:tr w14:paraId="3C4DB04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711" w:type="dxa"/>
                  <w:vMerge w:val="continue"/>
                  <w:tcBorders>
                    <w:tl2br w:val="nil"/>
                    <w:tr2bl w:val="nil"/>
                  </w:tcBorders>
                  <w:noWrap w:val="0"/>
                  <w:vAlign w:val="center"/>
                </w:tcPr>
                <w:p w14:paraId="20F97EE9">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color w:val="auto"/>
                      <w:sz w:val="21"/>
                      <w:szCs w:val="21"/>
                    </w:rPr>
                  </w:pPr>
                </w:p>
              </w:tc>
              <w:tc>
                <w:tcPr>
                  <w:tcW w:w="682" w:type="dxa"/>
                  <w:vMerge w:val="restart"/>
                  <w:tcBorders>
                    <w:tl2br w:val="nil"/>
                    <w:tr2bl w:val="nil"/>
                  </w:tcBorders>
                  <w:noWrap w:val="0"/>
                  <w:vAlign w:val="center"/>
                </w:tcPr>
                <w:p w14:paraId="136285A9">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污染物排放管控</w:t>
                  </w:r>
                </w:p>
              </w:tc>
              <w:tc>
                <w:tcPr>
                  <w:tcW w:w="3585" w:type="dxa"/>
                  <w:tcBorders>
                    <w:tl2br w:val="nil"/>
                    <w:tr2bl w:val="nil"/>
                  </w:tcBorders>
                  <w:noWrap w:val="0"/>
                  <w:vAlign w:val="center"/>
                </w:tcPr>
                <w:p w14:paraId="472C0C81">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auto"/>
                      <w:sz w:val="21"/>
                      <w:szCs w:val="21"/>
                    </w:rPr>
                  </w:pPr>
                  <w:r>
                    <w:rPr>
                      <w:rFonts w:ascii="Times New Roman" w:hAnsi="Times New Roman" w:eastAsia="宋体"/>
                      <w:color w:val="auto"/>
                      <w:sz w:val="21"/>
                      <w:szCs w:val="21"/>
                    </w:rPr>
                    <w:t>9.“十四五”期间，</w:t>
                  </w:r>
                  <w:r>
                    <w:rPr>
                      <w:rFonts w:hint="eastAsia" w:ascii="Times New Roman" w:hAnsi="Times New Roman" w:eastAsia="宋体"/>
                      <w:color w:val="auto"/>
                      <w:sz w:val="21"/>
                      <w:szCs w:val="21"/>
                    </w:rPr>
                    <w:t>全市氮氧化物、挥发性有机物、化学需氧量和氨氮等主要污染物减排量分别为4</w:t>
                  </w:r>
                  <w:r>
                    <w:rPr>
                      <w:rFonts w:ascii="Times New Roman" w:hAnsi="Times New Roman" w:eastAsia="宋体"/>
                      <w:color w:val="auto"/>
                      <w:sz w:val="21"/>
                      <w:szCs w:val="21"/>
                    </w:rPr>
                    <w:t>098吨、2035吨、10031吨和</w:t>
                  </w:r>
                  <w:r>
                    <w:rPr>
                      <w:rFonts w:hint="eastAsia" w:ascii="Times New Roman" w:hAnsi="Times New Roman" w:eastAsia="宋体"/>
                      <w:color w:val="auto"/>
                      <w:sz w:val="21"/>
                      <w:szCs w:val="21"/>
                    </w:rPr>
                    <w:t>6</w:t>
                  </w:r>
                  <w:r>
                    <w:rPr>
                      <w:rFonts w:ascii="Times New Roman" w:hAnsi="Times New Roman" w:eastAsia="宋体"/>
                      <w:color w:val="auto"/>
                      <w:sz w:val="21"/>
                      <w:szCs w:val="21"/>
                    </w:rPr>
                    <w:t>58吨。</w:t>
                  </w:r>
                </w:p>
              </w:tc>
              <w:tc>
                <w:tcPr>
                  <w:tcW w:w="2406" w:type="dxa"/>
                  <w:tcBorders>
                    <w:tl2br w:val="nil"/>
                    <w:tr2bl w:val="nil"/>
                  </w:tcBorders>
                  <w:noWrap w:val="0"/>
                  <w:vAlign w:val="center"/>
                </w:tcPr>
                <w:p w14:paraId="36B679D0">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本项目不涉及</w:t>
                  </w:r>
                  <w:r>
                    <w:rPr>
                      <w:rFonts w:ascii="Times New Roman" w:hAnsi="Times New Roman" w:eastAsia="宋体"/>
                      <w:color w:val="auto"/>
                      <w:sz w:val="21"/>
                      <w:szCs w:val="21"/>
                    </w:rPr>
                    <w:t>氮氧化物排放</w:t>
                  </w:r>
                  <w:r>
                    <w:rPr>
                      <w:rFonts w:hint="eastAsia" w:ascii="Times New Roman" w:hAnsi="Times New Roman" w:eastAsia="宋体"/>
                      <w:color w:val="auto"/>
                      <w:sz w:val="21"/>
                      <w:szCs w:val="21"/>
                    </w:rPr>
                    <w:t>，</w:t>
                  </w:r>
                  <w:r>
                    <w:rPr>
                      <w:rFonts w:hint="eastAsia" w:ascii="Times New Roman" w:hAnsi="Times New Roman" w:eastAsia="宋体"/>
                      <w:color w:val="auto"/>
                      <w:sz w:val="21"/>
                      <w:szCs w:val="21"/>
                      <w:lang w:val="en-US" w:eastAsia="zh-CN"/>
                    </w:rPr>
                    <w:t>挥发性有机物、</w:t>
                  </w:r>
                  <w:r>
                    <w:rPr>
                      <w:rFonts w:ascii="Times New Roman" w:hAnsi="Times New Roman" w:eastAsia="宋体"/>
                      <w:color w:val="auto"/>
                      <w:sz w:val="21"/>
                      <w:szCs w:val="21"/>
                    </w:rPr>
                    <w:t>化学需氧量、氨氮排放</w:t>
                  </w:r>
                  <w:r>
                    <w:rPr>
                      <w:rFonts w:hint="eastAsia" w:ascii="Times New Roman" w:hAnsi="Times New Roman" w:eastAsia="宋体"/>
                      <w:color w:val="auto"/>
                      <w:sz w:val="21"/>
                      <w:szCs w:val="21"/>
                    </w:rPr>
                    <w:t>量满足总量控制指标要求。</w:t>
                  </w:r>
                </w:p>
              </w:tc>
              <w:tc>
                <w:tcPr>
                  <w:tcW w:w="655" w:type="dxa"/>
                  <w:tcBorders>
                    <w:tl2br w:val="nil"/>
                    <w:tr2bl w:val="nil"/>
                  </w:tcBorders>
                  <w:noWrap w:val="0"/>
                  <w:vAlign w:val="center"/>
                </w:tcPr>
                <w:p w14:paraId="231CD7B7">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ascii="Times New Roman" w:hAnsi="Times New Roman" w:eastAsia="宋体"/>
                      <w:color w:val="auto"/>
                      <w:sz w:val="21"/>
                      <w:szCs w:val="21"/>
                    </w:rPr>
                  </w:pPr>
                  <w:r>
                    <w:rPr>
                      <w:rFonts w:ascii="Times New Roman" w:hAnsi="Times New Roman" w:eastAsia="宋体"/>
                      <w:color w:val="auto"/>
                      <w:sz w:val="21"/>
                      <w:szCs w:val="21"/>
                    </w:rPr>
                    <w:t>符合</w:t>
                  </w:r>
                </w:p>
              </w:tc>
            </w:tr>
            <w:tr w14:paraId="01A2944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711" w:type="dxa"/>
                  <w:vMerge w:val="continue"/>
                  <w:tcBorders>
                    <w:tl2br w:val="nil"/>
                    <w:tr2bl w:val="nil"/>
                  </w:tcBorders>
                  <w:noWrap w:val="0"/>
                  <w:vAlign w:val="center"/>
                </w:tcPr>
                <w:p w14:paraId="427BA558">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ascii="Times New Roman" w:hAnsi="Times New Roman" w:eastAsia="宋体"/>
                      <w:color w:val="auto"/>
                      <w:sz w:val="21"/>
                      <w:szCs w:val="21"/>
                    </w:rPr>
                  </w:pPr>
                </w:p>
              </w:tc>
              <w:tc>
                <w:tcPr>
                  <w:tcW w:w="682" w:type="dxa"/>
                  <w:vMerge w:val="continue"/>
                  <w:tcBorders>
                    <w:tl2br w:val="nil"/>
                    <w:tr2bl w:val="nil"/>
                  </w:tcBorders>
                  <w:noWrap w:val="0"/>
                  <w:vAlign w:val="center"/>
                </w:tcPr>
                <w:p w14:paraId="5DA8535D">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ascii="Times New Roman" w:hAnsi="Times New Roman" w:eastAsia="宋体"/>
                      <w:color w:val="auto"/>
                      <w:sz w:val="21"/>
                      <w:szCs w:val="21"/>
                    </w:rPr>
                  </w:pPr>
                </w:p>
              </w:tc>
              <w:tc>
                <w:tcPr>
                  <w:tcW w:w="3585" w:type="dxa"/>
                  <w:tcBorders>
                    <w:tl2br w:val="nil"/>
                    <w:tr2bl w:val="nil"/>
                  </w:tcBorders>
                  <w:noWrap w:val="0"/>
                  <w:vAlign w:val="center"/>
                </w:tcPr>
                <w:p w14:paraId="4E1BCFA6">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auto"/>
                      <w:sz w:val="21"/>
                      <w:szCs w:val="21"/>
                    </w:rPr>
                  </w:pPr>
                  <w:r>
                    <w:rPr>
                      <w:rFonts w:ascii="Times New Roman" w:hAnsi="Times New Roman" w:eastAsia="宋体"/>
                      <w:color w:val="auto"/>
                      <w:sz w:val="21"/>
                      <w:szCs w:val="21"/>
                    </w:rPr>
                    <w:t>10</w:t>
                  </w:r>
                  <w:r>
                    <w:rPr>
                      <w:rFonts w:hint="eastAsia" w:ascii="Times New Roman" w:hAnsi="Times New Roman" w:eastAsia="宋体"/>
                      <w:color w:val="auto"/>
                      <w:sz w:val="21"/>
                      <w:szCs w:val="21"/>
                    </w:rPr>
                    <w:t>.造纸、焦化、氮肥、有色金属、印染、农副食品加工、原料药制造、制革、农药、电镀等重点行业建设项目新建、改建、扩建实施主要水污染排放总量等量或减量置换。</w:t>
                  </w:r>
                </w:p>
              </w:tc>
              <w:tc>
                <w:tcPr>
                  <w:tcW w:w="2406" w:type="dxa"/>
                  <w:tcBorders>
                    <w:tl2br w:val="nil"/>
                    <w:tr2bl w:val="nil"/>
                  </w:tcBorders>
                  <w:noWrap w:val="0"/>
                  <w:vAlign w:val="center"/>
                </w:tcPr>
                <w:p w14:paraId="0F10A958">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本项目</w:t>
                  </w:r>
                  <w:r>
                    <w:rPr>
                      <w:rFonts w:ascii="Times New Roman" w:hAnsi="Times New Roman" w:eastAsia="宋体"/>
                      <w:color w:val="auto"/>
                      <w:sz w:val="21"/>
                      <w:szCs w:val="21"/>
                    </w:rPr>
                    <w:t>不属于</w:t>
                  </w:r>
                  <w:r>
                    <w:rPr>
                      <w:rFonts w:hint="eastAsia" w:ascii="Times New Roman" w:hAnsi="Times New Roman" w:eastAsia="宋体"/>
                      <w:color w:val="auto"/>
                      <w:sz w:val="21"/>
                      <w:szCs w:val="21"/>
                    </w:rPr>
                    <w:t>造纸、焦化、氮肥、有色金属、印染、农副食品加工、原料药制造、制革、农药、电镀等重点行业项目。</w:t>
                  </w:r>
                </w:p>
              </w:tc>
              <w:tc>
                <w:tcPr>
                  <w:tcW w:w="655" w:type="dxa"/>
                  <w:tcBorders>
                    <w:tl2br w:val="nil"/>
                    <w:tr2bl w:val="nil"/>
                  </w:tcBorders>
                  <w:noWrap w:val="0"/>
                  <w:vAlign w:val="center"/>
                </w:tcPr>
                <w:p w14:paraId="6509BFAF">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ascii="Times New Roman" w:hAnsi="Times New Roman" w:eastAsia="宋体"/>
                      <w:color w:val="auto"/>
                      <w:sz w:val="21"/>
                      <w:szCs w:val="21"/>
                    </w:rPr>
                  </w:pPr>
                  <w:r>
                    <w:rPr>
                      <w:rFonts w:ascii="Times New Roman" w:hAnsi="Times New Roman" w:eastAsia="宋体"/>
                      <w:color w:val="auto"/>
                      <w:sz w:val="21"/>
                      <w:szCs w:val="21"/>
                    </w:rPr>
                    <w:t>符合</w:t>
                  </w:r>
                </w:p>
              </w:tc>
            </w:tr>
            <w:tr w14:paraId="3FF2E8B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711" w:type="dxa"/>
                  <w:vMerge w:val="continue"/>
                  <w:tcBorders>
                    <w:tl2br w:val="nil"/>
                    <w:tr2bl w:val="nil"/>
                  </w:tcBorders>
                  <w:noWrap w:val="0"/>
                  <w:vAlign w:val="center"/>
                </w:tcPr>
                <w:p w14:paraId="1F61849A">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color w:val="auto"/>
                      <w:sz w:val="21"/>
                      <w:szCs w:val="21"/>
                    </w:rPr>
                  </w:pPr>
                </w:p>
              </w:tc>
              <w:tc>
                <w:tcPr>
                  <w:tcW w:w="682" w:type="dxa"/>
                  <w:vMerge w:val="continue"/>
                  <w:tcBorders>
                    <w:tl2br w:val="nil"/>
                    <w:tr2bl w:val="nil"/>
                  </w:tcBorders>
                  <w:noWrap w:val="0"/>
                  <w:vAlign w:val="center"/>
                </w:tcPr>
                <w:p w14:paraId="0BF71B5C">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color w:val="auto"/>
                      <w:sz w:val="21"/>
                      <w:szCs w:val="21"/>
                    </w:rPr>
                  </w:pPr>
                </w:p>
              </w:tc>
              <w:tc>
                <w:tcPr>
                  <w:tcW w:w="3585" w:type="dxa"/>
                  <w:tcBorders>
                    <w:tl2br w:val="nil"/>
                    <w:tr2bl w:val="nil"/>
                  </w:tcBorders>
                  <w:noWrap w:val="0"/>
                  <w:vAlign w:val="center"/>
                </w:tcPr>
                <w:p w14:paraId="7751ED2A">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1</w:t>
                  </w:r>
                  <w:r>
                    <w:rPr>
                      <w:rFonts w:ascii="Times New Roman" w:hAnsi="Times New Roman" w:eastAsia="宋体"/>
                      <w:color w:val="auto"/>
                      <w:sz w:val="21"/>
                      <w:szCs w:val="21"/>
                    </w:rPr>
                    <w:t>1</w:t>
                  </w:r>
                  <w:r>
                    <w:rPr>
                      <w:rFonts w:hint="eastAsia" w:ascii="Times New Roman" w:hAnsi="Times New Roman" w:eastAsia="宋体"/>
                      <w:color w:val="auto"/>
                      <w:sz w:val="21"/>
                      <w:szCs w:val="21"/>
                    </w:rPr>
                    <w:t>.到2</w:t>
                  </w:r>
                  <w:r>
                    <w:rPr>
                      <w:rFonts w:ascii="Times New Roman" w:hAnsi="Times New Roman" w:eastAsia="宋体"/>
                      <w:color w:val="auto"/>
                      <w:sz w:val="21"/>
                      <w:szCs w:val="21"/>
                    </w:rPr>
                    <w:t>025年，</w:t>
                  </w:r>
                  <w:r>
                    <w:rPr>
                      <w:rFonts w:hint="eastAsia" w:ascii="Times New Roman" w:hAnsi="Times New Roman" w:eastAsia="宋体"/>
                      <w:color w:val="auto"/>
                      <w:sz w:val="21"/>
                      <w:szCs w:val="21"/>
                    </w:rPr>
                    <w:t>单位生产总值二氧化碳排放确保完成省下达的指标。</w:t>
                  </w:r>
                </w:p>
              </w:tc>
              <w:tc>
                <w:tcPr>
                  <w:tcW w:w="2406" w:type="dxa"/>
                  <w:tcBorders>
                    <w:tl2br w:val="nil"/>
                    <w:tr2bl w:val="nil"/>
                  </w:tcBorders>
                  <w:noWrap w:val="0"/>
                  <w:vAlign w:val="center"/>
                </w:tcPr>
                <w:p w14:paraId="477DB4F1">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本项目二氧化碳排放量较少。</w:t>
                  </w:r>
                </w:p>
              </w:tc>
              <w:tc>
                <w:tcPr>
                  <w:tcW w:w="655" w:type="dxa"/>
                  <w:tcBorders>
                    <w:tl2br w:val="nil"/>
                    <w:tr2bl w:val="nil"/>
                  </w:tcBorders>
                  <w:noWrap w:val="0"/>
                  <w:vAlign w:val="center"/>
                </w:tcPr>
                <w:p w14:paraId="47F968E0">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ascii="Times New Roman" w:hAnsi="Times New Roman" w:eastAsia="宋体"/>
                      <w:color w:val="auto"/>
                      <w:sz w:val="21"/>
                      <w:szCs w:val="21"/>
                    </w:rPr>
                  </w:pPr>
                  <w:r>
                    <w:rPr>
                      <w:rFonts w:ascii="Times New Roman" w:hAnsi="Times New Roman" w:eastAsia="宋体"/>
                      <w:color w:val="auto"/>
                      <w:sz w:val="21"/>
                      <w:szCs w:val="21"/>
                    </w:rPr>
                    <w:t>符合</w:t>
                  </w:r>
                </w:p>
              </w:tc>
            </w:tr>
            <w:tr w14:paraId="55C6321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711" w:type="dxa"/>
                  <w:vMerge w:val="continue"/>
                  <w:tcBorders>
                    <w:tl2br w:val="nil"/>
                    <w:tr2bl w:val="nil"/>
                  </w:tcBorders>
                  <w:noWrap w:val="0"/>
                  <w:vAlign w:val="center"/>
                </w:tcPr>
                <w:p w14:paraId="1E8A2CE3">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ascii="Times New Roman" w:hAnsi="Times New Roman" w:eastAsia="宋体"/>
                      <w:color w:val="auto"/>
                      <w:sz w:val="21"/>
                      <w:szCs w:val="21"/>
                    </w:rPr>
                  </w:pPr>
                </w:p>
              </w:tc>
              <w:tc>
                <w:tcPr>
                  <w:tcW w:w="682" w:type="dxa"/>
                  <w:vMerge w:val="continue"/>
                  <w:tcBorders>
                    <w:tl2br w:val="nil"/>
                    <w:tr2bl w:val="nil"/>
                  </w:tcBorders>
                  <w:noWrap w:val="0"/>
                  <w:vAlign w:val="center"/>
                </w:tcPr>
                <w:p w14:paraId="19072D9C">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ascii="Times New Roman" w:hAnsi="Times New Roman" w:eastAsia="宋体"/>
                      <w:color w:val="auto"/>
                      <w:sz w:val="21"/>
                      <w:szCs w:val="21"/>
                    </w:rPr>
                  </w:pPr>
                </w:p>
              </w:tc>
              <w:tc>
                <w:tcPr>
                  <w:tcW w:w="3585" w:type="dxa"/>
                  <w:tcBorders>
                    <w:tl2br w:val="nil"/>
                    <w:tr2bl w:val="nil"/>
                  </w:tcBorders>
                  <w:noWrap w:val="0"/>
                  <w:vAlign w:val="center"/>
                </w:tcPr>
                <w:p w14:paraId="2D214736">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auto"/>
                      <w:sz w:val="21"/>
                      <w:szCs w:val="21"/>
                    </w:rPr>
                  </w:pPr>
                  <w:r>
                    <w:rPr>
                      <w:rFonts w:ascii="Times New Roman" w:hAnsi="Times New Roman" w:eastAsia="宋体"/>
                      <w:color w:val="auto"/>
                      <w:sz w:val="21"/>
                      <w:szCs w:val="21"/>
                    </w:rPr>
                    <w:t>12</w:t>
                  </w:r>
                  <w:r>
                    <w:rPr>
                      <w:rFonts w:hint="eastAsia" w:ascii="Times New Roman" w:hAnsi="Times New Roman" w:eastAsia="宋体"/>
                      <w:color w:val="auto"/>
                      <w:sz w:val="21"/>
                      <w:szCs w:val="21"/>
                    </w:rPr>
                    <w:t>.推进重点重金属减排，加强重金属污染综合治理，推进重点行业企业废水总铊治理。</w:t>
                  </w:r>
                </w:p>
              </w:tc>
              <w:tc>
                <w:tcPr>
                  <w:tcW w:w="2406" w:type="dxa"/>
                  <w:tcBorders>
                    <w:tl2br w:val="nil"/>
                    <w:tr2bl w:val="nil"/>
                  </w:tcBorders>
                  <w:noWrap w:val="0"/>
                  <w:vAlign w:val="center"/>
                </w:tcPr>
                <w:p w14:paraId="0A4D6994">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本项目</w:t>
                  </w:r>
                  <w:r>
                    <w:rPr>
                      <w:rFonts w:ascii="Times New Roman" w:hAnsi="Times New Roman" w:eastAsia="宋体"/>
                      <w:color w:val="auto"/>
                      <w:sz w:val="21"/>
                      <w:szCs w:val="21"/>
                    </w:rPr>
                    <w:t>不排放重金属</w:t>
                  </w:r>
                  <w:r>
                    <w:rPr>
                      <w:rFonts w:hint="eastAsia" w:ascii="Times New Roman" w:hAnsi="Times New Roman" w:eastAsia="宋体"/>
                      <w:color w:val="auto"/>
                      <w:sz w:val="21"/>
                      <w:szCs w:val="21"/>
                    </w:rPr>
                    <w:t>。</w:t>
                  </w:r>
                </w:p>
              </w:tc>
              <w:tc>
                <w:tcPr>
                  <w:tcW w:w="655" w:type="dxa"/>
                  <w:tcBorders>
                    <w:tl2br w:val="nil"/>
                    <w:tr2bl w:val="nil"/>
                  </w:tcBorders>
                  <w:noWrap w:val="0"/>
                  <w:vAlign w:val="center"/>
                </w:tcPr>
                <w:p w14:paraId="2D04D2BF">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ascii="Times New Roman" w:hAnsi="Times New Roman" w:eastAsia="宋体"/>
                      <w:color w:val="auto"/>
                      <w:sz w:val="21"/>
                      <w:szCs w:val="21"/>
                    </w:rPr>
                  </w:pPr>
                  <w:r>
                    <w:rPr>
                      <w:rFonts w:ascii="Times New Roman" w:hAnsi="Times New Roman" w:eastAsia="宋体"/>
                      <w:color w:val="auto"/>
                      <w:sz w:val="21"/>
                      <w:szCs w:val="21"/>
                    </w:rPr>
                    <w:t>符合</w:t>
                  </w:r>
                </w:p>
              </w:tc>
            </w:tr>
            <w:tr w14:paraId="74A79B1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711" w:type="dxa"/>
                  <w:vMerge w:val="continue"/>
                  <w:tcBorders>
                    <w:tl2br w:val="nil"/>
                    <w:tr2bl w:val="nil"/>
                  </w:tcBorders>
                  <w:noWrap w:val="0"/>
                  <w:vAlign w:val="center"/>
                </w:tcPr>
                <w:p w14:paraId="382D396C">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color w:val="auto"/>
                      <w:sz w:val="21"/>
                      <w:szCs w:val="21"/>
                    </w:rPr>
                  </w:pPr>
                </w:p>
              </w:tc>
              <w:tc>
                <w:tcPr>
                  <w:tcW w:w="682" w:type="dxa"/>
                  <w:vMerge w:val="continue"/>
                  <w:tcBorders>
                    <w:tl2br w:val="nil"/>
                    <w:tr2bl w:val="nil"/>
                  </w:tcBorders>
                  <w:noWrap w:val="0"/>
                  <w:vAlign w:val="center"/>
                </w:tcPr>
                <w:p w14:paraId="5BF368A1">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color w:val="auto"/>
                      <w:sz w:val="21"/>
                      <w:szCs w:val="21"/>
                    </w:rPr>
                  </w:pPr>
                </w:p>
              </w:tc>
              <w:tc>
                <w:tcPr>
                  <w:tcW w:w="3585" w:type="dxa"/>
                  <w:tcBorders>
                    <w:tl2br w:val="nil"/>
                    <w:tr2bl w:val="nil"/>
                  </w:tcBorders>
                  <w:noWrap w:val="0"/>
                  <w:vAlign w:val="center"/>
                </w:tcPr>
                <w:p w14:paraId="6B9495F1">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auto"/>
                      <w:sz w:val="21"/>
                      <w:szCs w:val="21"/>
                    </w:rPr>
                  </w:pPr>
                  <w:r>
                    <w:rPr>
                      <w:rFonts w:ascii="Times New Roman" w:hAnsi="Times New Roman" w:eastAsia="宋体"/>
                      <w:color w:val="auto"/>
                      <w:sz w:val="21"/>
                      <w:szCs w:val="21"/>
                    </w:rPr>
                    <w:t>13</w:t>
                  </w:r>
                  <w:r>
                    <w:rPr>
                      <w:rFonts w:hint="eastAsia" w:ascii="Times New Roman" w:hAnsi="Times New Roman" w:eastAsia="宋体"/>
                      <w:color w:val="auto"/>
                      <w:sz w:val="21"/>
                      <w:szCs w:val="21"/>
                    </w:rPr>
                    <w:t>.持续提升工业园区污水收集处理水平，推进园区污水处理设施一级A提标改造。推进污泥减量化资源化无害化处置。</w:t>
                  </w:r>
                </w:p>
              </w:tc>
              <w:tc>
                <w:tcPr>
                  <w:tcW w:w="2406" w:type="dxa"/>
                  <w:tcBorders>
                    <w:tl2br w:val="nil"/>
                    <w:tr2bl w:val="nil"/>
                  </w:tcBorders>
                  <w:noWrap w:val="0"/>
                  <w:vAlign w:val="center"/>
                </w:tcPr>
                <w:p w14:paraId="14AFEA77">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hint="default" w:ascii="Times New Roman" w:hAnsi="Times New Roman" w:eastAsia="宋体"/>
                      <w:color w:val="auto"/>
                      <w:sz w:val="21"/>
                      <w:szCs w:val="21"/>
                      <w:lang w:val="en-US"/>
                    </w:rPr>
                  </w:pPr>
                  <w:r>
                    <w:rPr>
                      <w:rFonts w:ascii="Times New Roman" w:hAnsi="Times New Roman" w:eastAsia="宋体"/>
                      <w:color w:val="auto"/>
                      <w:sz w:val="21"/>
                      <w:szCs w:val="21"/>
                    </w:rPr>
                    <w:t>本项目</w:t>
                  </w:r>
                  <w:r>
                    <w:rPr>
                      <w:rFonts w:hint="eastAsia" w:ascii="Times New Roman" w:hAnsi="Times New Roman" w:eastAsia="宋体"/>
                      <w:color w:val="auto"/>
                      <w:sz w:val="21"/>
                      <w:szCs w:val="21"/>
                      <w:lang w:val="en-US" w:eastAsia="zh-CN"/>
                    </w:rPr>
                    <w:t>不在工业园区内。</w:t>
                  </w:r>
                </w:p>
              </w:tc>
              <w:tc>
                <w:tcPr>
                  <w:tcW w:w="655" w:type="dxa"/>
                  <w:tcBorders>
                    <w:tl2br w:val="nil"/>
                    <w:tr2bl w:val="nil"/>
                  </w:tcBorders>
                  <w:noWrap w:val="0"/>
                  <w:vAlign w:val="center"/>
                </w:tcPr>
                <w:p w14:paraId="26BE5A07">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ascii="Times New Roman" w:hAnsi="Times New Roman" w:eastAsia="宋体"/>
                      <w:color w:val="auto"/>
                      <w:sz w:val="21"/>
                      <w:szCs w:val="21"/>
                    </w:rPr>
                  </w:pPr>
                  <w:r>
                    <w:rPr>
                      <w:rFonts w:ascii="Times New Roman" w:hAnsi="Times New Roman" w:eastAsia="宋体"/>
                      <w:color w:val="auto"/>
                      <w:sz w:val="21"/>
                      <w:szCs w:val="21"/>
                    </w:rPr>
                    <w:t>符合</w:t>
                  </w:r>
                </w:p>
              </w:tc>
            </w:tr>
            <w:tr w14:paraId="23345D4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711" w:type="dxa"/>
                  <w:vMerge w:val="continue"/>
                  <w:tcBorders>
                    <w:tl2br w:val="nil"/>
                    <w:tr2bl w:val="nil"/>
                  </w:tcBorders>
                  <w:noWrap w:val="0"/>
                  <w:vAlign w:val="center"/>
                </w:tcPr>
                <w:p w14:paraId="26577DDA">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ascii="Times New Roman" w:hAnsi="Times New Roman" w:eastAsia="宋体"/>
                      <w:color w:val="auto"/>
                      <w:sz w:val="21"/>
                      <w:szCs w:val="21"/>
                    </w:rPr>
                  </w:pPr>
                </w:p>
              </w:tc>
              <w:tc>
                <w:tcPr>
                  <w:tcW w:w="682" w:type="dxa"/>
                  <w:vMerge w:val="continue"/>
                  <w:tcBorders>
                    <w:tl2br w:val="nil"/>
                    <w:tr2bl w:val="nil"/>
                  </w:tcBorders>
                  <w:noWrap w:val="0"/>
                  <w:vAlign w:val="center"/>
                </w:tcPr>
                <w:p w14:paraId="2A21F3A4">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ascii="Times New Roman" w:hAnsi="Times New Roman" w:eastAsia="宋体"/>
                      <w:color w:val="auto"/>
                      <w:sz w:val="21"/>
                      <w:szCs w:val="21"/>
                    </w:rPr>
                  </w:pPr>
                </w:p>
              </w:tc>
              <w:tc>
                <w:tcPr>
                  <w:tcW w:w="3585" w:type="dxa"/>
                  <w:tcBorders>
                    <w:tl2br w:val="nil"/>
                    <w:tr2bl w:val="nil"/>
                  </w:tcBorders>
                  <w:noWrap w:val="0"/>
                  <w:vAlign w:val="center"/>
                </w:tcPr>
                <w:p w14:paraId="7B02F793">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auto"/>
                      <w:sz w:val="21"/>
                      <w:szCs w:val="21"/>
                    </w:rPr>
                  </w:pPr>
                  <w:r>
                    <w:rPr>
                      <w:rFonts w:ascii="Times New Roman" w:hAnsi="Times New Roman" w:eastAsia="宋体"/>
                      <w:color w:val="auto"/>
                      <w:sz w:val="21"/>
                      <w:szCs w:val="21"/>
                    </w:rPr>
                    <w:t>14</w:t>
                  </w:r>
                  <w:r>
                    <w:rPr>
                      <w:rFonts w:hint="eastAsia" w:ascii="Times New Roman" w:hAnsi="Times New Roman" w:eastAsia="宋体"/>
                      <w:color w:val="auto"/>
                      <w:sz w:val="21"/>
                      <w:szCs w:val="21"/>
                    </w:rPr>
                    <w:t>.对长江干流及鄱阳湖区从严审批产生有毒有害污染物的新建项目，新建、改建、扩建重点行业项目实行主要水污染物排放等量或减量置换，严控新增污染物排放量。</w:t>
                  </w:r>
                </w:p>
              </w:tc>
              <w:tc>
                <w:tcPr>
                  <w:tcW w:w="2406" w:type="dxa"/>
                  <w:tcBorders>
                    <w:tl2br w:val="nil"/>
                    <w:tr2bl w:val="nil"/>
                  </w:tcBorders>
                  <w:noWrap w:val="0"/>
                  <w:vAlign w:val="center"/>
                </w:tcPr>
                <w:p w14:paraId="5F39091B">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本项目不属于产生有毒有害污染物项目。</w:t>
                  </w:r>
                </w:p>
              </w:tc>
              <w:tc>
                <w:tcPr>
                  <w:tcW w:w="655" w:type="dxa"/>
                  <w:tcBorders>
                    <w:tl2br w:val="nil"/>
                    <w:tr2bl w:val="nil"/>
                  </w:tcBorders>
                  <w:noWrap w:val="0"/>
                  <w:vAlign w:val="center"/>
                </w:tcPr>
                <w:p w14:paraId="7835C5F5">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符合</w:t>
                  </w:r>
                </w:p>
              </w:tc>
            </w:tr>
            <w:tr w14:paraId="0D7943A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711" w:type="dxa"/>
                  <w:vMerge w:val="continue"/>
                  <w:tcBorders>
                    <w:tl2br w:val="nil"/>
                    <w:tr2bl w:val="nil"/>
                  </w:tcBorders>
                  <w:noWrap w:val="0"/>
                  <w:vAlign w:val="center"/>
                </w:tcPr>
                <w:p w14:paraId="67CD587C">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color w:val="auto"/>
                      <w:sz w:val="21"/>
                      <w:szCs w:val="21"/>
                    </w:rPr>
                  </w:pPr>
                </w:p>
              </w:tc>
              <w:tc>
                <w:tcPr>
                  <w:tcW w:w="682" w:type="dxa"/>
                  <w:vMerge w:val="continue"/>
                  <w:tcBorders>
                    <w:tl2br w:val="nil"/>
                    <w:tr2bl w:val="nil"/>
                  </w:tcBorders>
                  <w:noWrap w:val="0"/>
                  <w:vAlign w:val="center"/>
                </w:tcPr>
                <w:p w14:paraId="77F6244C">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color w:val="auto"/>
                      <w:sz w:val="21"/>
                      <w:szCs w:val="21"/>
                    </w:rPr>
                  </w:pPr>
                </w:p>
              </w:tc>
              <w:tc>
                <w:tcPr>
                  <w:tcW w:w="3585" w:type="dxa"/>
                  <w:tcBorders>
                    <w:tl2br w:val="nil"/>
                    <w:tr2bl w:val="nil"/>
                  </w:tcBorders>
                  <w:noWrap w:val="0"/>
                  <w:vAlign w:val="center"/>
                </w:tcPr>
                <w:p w14:paraId="28266502">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1</w:t>
                  </w:r>
                  <w:r>
                    <w:rPr>
                      <w:rFonts w:ascii="Times New Roman" w:hAnsi="Times New Roman" w:eastAsia="宋体"/>
                      <w:color w:val="auto"/>
                      <w:sz w:val="21"/>
                      <w:szCs w:val="21"/>
                    </w:rPr>
                    <w:t>5.</w:t>
                  </w:r>
                  <w:r>
                    <w:rPr>
                      <w:rFonts w:hint="eastAsia" w:ascii="Times New Roman" w:hAnsi="Times New Roman" w:eastAsia="宋体"/>
                      <w:color w:val="auto"/>
                      <w:sz w:val="21"/>
                      <w:szCs w:val="21"/>
                    </w:rPr>
                    <w:t>大力</w:t>
                  </w:r>
                  <w:r>
                    <w:rPr>
                      <w:rFonts w:ascii="Times New Roman" w:hAnsi="Times New Roman" w:eastAsia="宋体"/>
                      <w:color w:val="auto"/>
                      <w:sz w:val="21"/>
                      <w:szCs w:val="21"/>
                    </w:rPr>
                    <w:t>推进挥发性有机物和氮氧化物源头协</w:t>
                  </w:r>
                  <w:r>
                    <w:rPr>
                      <w:rFonts w:hint="eastAsia" w:ascii="Times New Roman" w:hAnsi="Times New Roman" w:eastAsia="宋体"/>
                      <w:color w:val="auto"/>
                      <w:sz w:val="21"/>
                      <w:szCs w:val="21"/>
                    </w:rPr>
                    <w:t>同</w:t>
                  </w:r>
                  <w:r>
                    <w:rPr>
                      <w:rFonts w:ascii="Times New Roman" w:hAnsi="Times New Roman" w:eastAsia="宋体"/>
                      <w:color w:val="auto"/>
                      <w:sz w:val="21"/>
                      <w:szCs w:val="21"/>
                    </w:rPr>
                    <w:t>减排，加强消耗臭氧层物质和氢氟碳化物环境管理，推进企业升级改造和区域环境综合整治。实施溶剂型工业涂料等清洁原料替代。</w:t>
                  </w:r>
                </w:p>
              </w:tc>
              <w:tc>
                <w:tcPr>
                  <w:tcW w:w="2406" w:type="dxa"/>
                  <w:tcBorders>
                    <w:tl2br w:val="nil"/>
                    <w:tr2bl w:val="nil"/>
                  </w:tcBorders>
                  <w:noWrap w:val="0"/>
                  <w:vAlign w:val="center"/>
                </w:tcPr>
                <w:p w14:paraId="040A8990">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本项目不涉及氮氧化物排放，挥发性有机物</w:t>
                  </w:r>
                  <w:r>
                    <w:rPr>
                      <w:rFonts w:ascii="Times New Roman" w:hAnsi="Times New Roman" w:eastAsia="宋体"/>
                      <w:color w:val="auto"/>
                      <w:sz w:val="21"/>
                      <w:szCs w:val="21"/>
                    </w:rPr>
                    <w:t>排放</w:t>
                  </w:r>
                  <w:r>
                    <w:rPr>
                      <w:rFonts w:hint="eastAsia" w:ascii="Times New Roman" w:hAnsi="Times New Roman" w:eastAsia="宋体"/>
                      <w:color w:val="auto"/>
                      <w:sz w:val="21"/>
                      <w:szCs w:val="21"/>
                      <w:lang w:val="en-US" w:eastAsia="zh-CN"/>
                    </w:rPr>
                    <w:t>量满足总量控制指标要求</w:t>
                  </w:r>
                  <w:r>
                    <w:rPr>
                      <w:rFonts w:hint="eastAsia" w:ascii="Times New Roman" w:hAnsi="Times New Roman" w:eastAsia="宋体"/>
                      <w:color w:val="auto"/>
                      <w:sz w:val="21"/>
                      <w:szCs w:val="21"/>
                    </w:rPr>
                    <w:t>。</w:t>
                  </w:r>
                </w:p>
              </w:tc>
              <w:tc>
                <w:tcPr>
                  <w:tcW w:w="655" w:type="dxa"/>
                  <w:tcBorders>
                    <w:tl2br w:val="nil"/>
                    <w:tr2bl w:val="nil"/>
                  </w:tcBorders>
                  <w:noWrap w:val="0"/>
                  <w:vAlign w:val="center"/>
                </w:tcPr>
                <w:p w14:paraId="0E92DB4A">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符合</w:t>
                  </w:r>
                </w:p>
              </w:tc>
            </w:tr>
            <w:tr w14:paraId="21DAA7F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711" w:type="dxa"/>
                  <w:vMerge w:val="continue"/>
                  <w:tcBorders>
                    <w:tl2br w:val="nil"/>
                    <w:tr2bl w:val="nil"/>
                  </w:tcBorders>
                  <w:noWrap w:val="0"/>
                  <w:vAlign w:val="center"/>
                </w:tcPr>
                <w:p w14:paraId="6ADB36CC">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ascii="Times New Roman" w:hAnsi="Times New Roman" w:eastAsia="宋体"/>
                      <w:color w:val="auto"/>
                      <w:sz w:val="21"/>
                      <w:szCs w:val="21"/>
                    </w:rPr>
                  </w:pPr>
                </w:p>
              </w:tc>
              <w:tc>
                <w:tcPr>
                  <w:tcW w:w="682" w:type="dxa"/>
                  <w:vMerge w:val="restart"/>
                  <w:tcBorders>
                    <w:tl2br w:val="nil"/>
                    <w:tr2bl w:val="nil"/>
                  </w:tcBorders>
                  <w:noWrap w:val="0"/>
                  <w:vAlign w:val="center"/>
                </w:tcPr>
                <w:p w14:paraId="6E3003BF">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ascii="Times New Roman" w:hAnsi="Times New Roman" w:eastAsia="宋体"/>
                      <w:color w:val="auto"/>
                      <w:sz w:val="21"/>
                      <w:szCs w:val="21"/>
                    </w:rPr>
                  </w:pPr>
                  <w:r>
                    <w:rPr>
                      <w:rFonts w:ascii="Times New Roman" w:hAnsi="Times New Roman" w:eastAsia="宋体"/>
                      <w:color w:val="auto"/>
                      <w:sz w:val="21"/>
                      <w:szCs w:val="21"/>
                    </w:rPr>
                    <w:t>环境风险防控</w:t>
                  </w:r>
                </w:p>
              </w:tc>
              <w:tc>
                <w:tcPr>
                  <w:tcW w:w="3585" w:type="dxa"/>
                  <w:tcBorders>
                    <w:tl2br w:val="nil"/>
                    <w:tr2bl w:val="nil"/>
                  </w:tcBorders>
                  <w:noWrap w:val="0"/>
                  <w:vAlign w:val="center"/>
                </w:tcPr>
                <w:p w14:paraId="109FD499">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auto"/>
                      <w:sz w:val="21"/>
                      <w:szCs w:val="21"/>
                    </w:rPr>
                  </w:pPr>
                  <w:r>
                    <w:rPr>
                      <w:rFonts w:ascii="Times New Roman" w:hAnsi="Times New Roman" w:eastAsia="宋体"/>
                      <w:color w:val="auto"/>
                      <w:sz w:val="21"/>
                      <w:szCs w:val="21"/>
                    </w:rPr>
                    <w:t>16.继续加强九江与南昌、九江与黄冈区域大气污染联防联控机制。</w:t>
                  </w:r>
                </w:p>
              </w:tc>
              <w:tc>
                <w:tcPr>
                  <w:tcW w:w="2406" w:type="dxa"/>
                  <w:tcBorders>
                    <w:tl2br w:val="nil"/>
                    <w:tr2bl w:val="nil"/>
                  </w:tcBorders>
                  <w:noWrap w:val="0"/>
                  <w:vAlign w:val="center"/>
                </w:tcPr>
                <w:p w14:paraId="5735AAB7">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ascii="Times New Roman" w:hAnsi="Times New Roman" w:eastAsia="宋体"/>
                      <w:color w:val="auto"/>
                      <w:sz w:val="21"/>
                      <w:szCs w:val="21"/>
                      <w:highlight w:val="cyan"/>
                    </w:rPr>
                  </w:pPr>
                  <w:r>
                    <w:rPr>
                      <w:rFonts w:ascii="Times New Roman" w:hAnsi="Times New Roman" w:eastAsia="宋体"/>
                      <w:color w:val="auto"/>
                      <w:sz w:val="21"/>
                      <w:szCs w:val="21"/>
                    </w:rPr>
                    <w:t>/</w:t>
                  </w:r>
                </w:p>
              </w:tc>
              <w:tc>
                <w:tcPr>
                  <w:tcW w:w="655" w:type="dxa"/>
                  <w:tcBorders>
                    <w:tl2br w:val="nil"/>
                    <w:tr2bl w:val="nil"/>
                  </w:tcBorders>
                  <w:noWrap w:val="0"/>
                  <w:vAlign w:val="center"/>
                </w:tcPr>
                <w:p w14:paraId="673260D1">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w:t>
                  </w:r>
                </w:p>
              </w:tc>
            </w:tr>
            <w:tr w14:paraId="78B73A2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711" w:type="dxa"/>
                  <w:vMerge w:val="continue"/>
                  <w:tcBorders>
                    <w:tl2br w:val="nil"/>
                    <w:tr2bl w:val="nil"/>
                  </w:tcBorders>
                  <w:noWrap w:val="0"/>
                  <w:vAlign w:val="center"/>
                </w:tcPr>
                <w:p w14:paraId="56A6EB9D">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ascii="Times New Roman" w:hAnsi="Times New Roman" w:eastAsia="宋体"/>
                      <w:color w:val="auto"/>
                      <w:sz w:val="21"/>
                      <w:szCs w:val="21"/>
                    </w:rPr>
                  </w:pPr>
                </w:p>
              </w:tc>
              <w:tc>
                <w:tcPr>
                  <w:tcW w:w="682" w:type="dxa"/>
                  <w:vMerge w:val="continue"/>
                  <w:tcBorders>
                    <w:tl2br w:val="nil"/>
                    <w:tr2bl w:val="nil"/>
                  </w:tcBorders>
                  <w:noWrap w:val="0"/>
                  <w:vAlign w:val="center"/>
                </w:tcPr>
                <w:p w14:paraId="382CEC72">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ascii="Times New Roman" w:hAnsi="Times New Roman" w:eastAsia="宋体"/>
                      <w:color w:val="auto"/>
                      <w:sz w:val="21"/>
                      <w:szCs w:val="21"/>
                    </w:rPr>
                  </w:pPr>
                </w:p>
              </w:tc>
              <w:tc>
                <w:tcPr>
                  <w:tcW w:w="3585" w:type="dxa"/>
                  <w:tcBorders>
                    <w:tl2br w:val="nil"/>
                    <w:tr2bl w:val="nil"/>
                  </w:tcBorders>
                  <w:noWrap w:val="0"/>
                  <w:vAlign w:val="center"/>
                </w:tcPr>
                <w:p w14:paraId="16F6CE0F">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auto"/>
                      <w:sz w:val="21"/>
                      <w:szCs w:val="21"/>
                    </w:rPr>
                  </w:pPr>
                  <w:r>
                    <w:rPr>
                      <w:rFonts w:ascii="Times New Roman" w:hAnsi="Times New Roman" w:eastAsia="宋体"/>
                      <w:color w:val="auto"/>
                      <w:sz w:val="21"/>
                      <w:szCs w:val="21"/>
                    </w:rPr>
                    <w:t>17.</w:t>
                  </w:r>
                  <w:r>
                    <w:rPr>
                      <w:rFonts w:hint="eastAsia" w:ascii="Times New Roman" w:hAnsi="Times New Roman" w:eastAsia="宋体"/>
                      <w:color w:val="auto"/>
                      <w:sz w:val="21"/>
                      <w:szCs w:val="21"/>
                    </w:rPr>
                    <w:t>加强区域污染天气监测预警体系建设，完善细颗粒物和臭氧污染天气预警应急启动、响应和解除机制。</w:t>
                  </w:r>
                </w:p>
              </w:tc>
              <w:tc>
                <w:tcPr>
                  <w:tcW w:w="2406" w:type="dxa"/>
                  <w:tcBorders>
                    <w:tl2br w:val="nil"/>
                    <w:tr2bl w:val="nil"/>
                  </w:tcBorders>
                  <w:noWrap w:val="0"/>
                  <w:vAlign w:val="center"/>
                </w:tcPr>
                <w:p w14:paraId="7B802063">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ascii="Times New Roman" w:hAnsi="Times New Roman" w:eastAsia="宋体"/>
                      <w:color w:val="auto"/>
                      <w:sz w:val="21"/>
                      <w:szCs w:val="21"/>
                      <w:highlight w:val="cyan"/>
                    </w:rPr>
                  </w:pPr>
                  <w:r>
                    <w:rPr>
                      <w:rFonts w:ascii="Times New Roman" w:hAnsi="Times New Roman" w:eastAsia="宋体"/>
                      <w:color w:val="auto"/>
                      <w:sz w:val="21"/>
                      <w:szCs w:val="21"/>
                    </w:rPr>
                    <w:t>/</w:t>
                  </w:r>
                </w:p>
              </w:tc>
              <w:tc>
                <w:tcPr>
                  <w:tcW w:w="655" w:type="dxa"/>
                  <w:tcBorders>
                    <w:tl2br w:val="nil"/>
                    <w:tr2bl w:val="nil"/>
                  </w:tcBorders>
                  <w:noWrap w:val="0"/>
                  <w:vAlign w:val="center"/>
                </w:tcPr>
                <w:p w14:paraId="05D7A5B0">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w:t>
                  </w:r>
                </w:p>
              </w:tc>
            </w:tr>
            <w:tr w14:paraId="1BB75C1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711" w:type="dxa"/>
                  <w:vMerge w:val="continue"/>
                  <w:tcBorders>
                    <w:tl2br w:val="nil"/>
                    <w:tr2bl w:val="nil"/>
                  </w:tcBorders>
                  <w:noWrap w:val="0"/>
                  <w:vAlign w:val="center"/>
                </w:tcPr>
                <w:p w14:paraId="1FE7781F">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color w:val="auto"/>
                      <w:sz w:val="21"/>
                      <w:szCs w:val="21"/>
                    </w:rPr>
                  </w:pPr>
                </w:p>
              </w:tc>
              <w:tc>
                <w:tcPr>
                  <w:tcW w:w="682" w:type="dxa"/>
                  <w:vMerge w:val="continue"/>
                  <w:tcBorders>
                    <w:tl2br w:val="nil"/>
                    <w:tr2bl w:val="nil"/>
                  </w:tcBorders>
                  <w:noWrap w:val="0"/>
                  <w:vAlign w:val="center"/>
                </w:tcPr>
                <w:p w14:paraId="7F5CDA16">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color w:val="auto"/>
                      <w:sz w:val="21"/>
                      <w:szCs w:val="21"/>
                    </w:rPr>
                  </w:pPr>
                </w:p>
              </w:tc>
              <w:tc>
                <w:tcPr>
                  <w:tcW w:w="3585" w:type="dxa"/>
                  <w:tcBorders>
                    <w:tl2br w:val="nil"/>
                    <w:tr2bl w:val="nil"/>
                  </w:tcBorders>
                  <w:noWrap w:val="0"/>
                  <w:vAlign w:val="center"/>
                </w:tcPr>
                <w:p w14:paraId="02CBB6AF">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1</w:t>
                  </w:r>
                  <w:r>
                    <w:rPr>
                      <w:rFonts w:ascii="Times New Roman" w:hAnsi="Times New Roman" w:eastAsia="宋体"/>
                      <w:color w:val="auto"/>
                      <w:sz w:val="21"/>
                      <w:szCs w:val="21"/>
                    </w:rPr>
                    <w:t>8.在居民集中区、医院和学校附近、重要水源涵养生态功能区等环境风险防控重点区域，禁止新建或扩建易引发环境风险的项目。</w:t>
                  </w:r>
                </w:p>
              </w:tc>
              <w:tc>
                <w:tcPr>
                  <w:tcW w:w="2406" w:type="dxa"/>
                  <w:tcBorders>
                    <w:tl2br w:val="nil"/>
                    <w:tr2bl w:val="nil"/>
                  </w:tcBorders>
                  <w:noWrap w:val="0"/>
                  <w:vAlign w:val="center"/>
                </w:tcPr>
                <w:p w14:paraId="49A4AC66">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rPr>
                    <w:t>本项目</w:t>
                  </w:r>
                  <w:r>
                    <w:rPr>
                      <w:rFonts w:hint="eastAsia" w:ascii="Times New Roman" w:hAnsi="Times New Roman" w:eastAsia="宋体"/>
                      <w:color w:val="auto"/>
                      <w:sz w:val="21"/>
                      <w:szCs w:val="21"/>
                      <w:lang w:val="en-US" w:eastAsia="zh-CN"/>
                    </w:rPr>
                    <w:t>不属于</w:t>
                  </w:r>
                  <w:r>
                    <w:rPr>
                      <w:rFonts w:hint="eastAsia" w:ascii="Times New Roman" w:hAnsi="Times New Roman" w:eastAsia="宋体"/>
                      <w:color w:val="auto"/>
                      <w:sz w:val="21"/>
                      <w:szCs w:val="21"/>
                    </w:rPr>
                    <w:t>易引发环境风险的项目</w:t>
                  </w:r>
                  <w:r>
                    <w:rPr>
                      <w:rFonts w:hint="eastAsia" w:ascii="Times New Roman" w:hAnsi="Times New Roman" w:eastAsia="宋体"/>
                      <w:color w:val="auto"/>
                      <w:sz w:val="21"/>
                      <w:szCs w:val="21"/>
                      <w:lang w:eastAsia="zh-CN"/>
                    </w:rPr>
                    <w:t>。</w:t>
                  </w:r>
                </w:p>
              </w:tc>
              <w:tc>
                <w:tcPr>
                  <w:tcW w:w="655" w:type="dxa"/>
                  <w:tcBorders>
                    <w:tl2br w:val="nil"/>
                    <w:tr2bl w:val="nil"/>
                  </w:tcBorders>
                  <w:noWrap w:val="0"/>
                  <w:vAlign w:val="center"/>
                </w:tcPr>
                <w:p w14:paraId="2E6645BF">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符合</w:t>
                  </w:r>
                </w:p>
              </w:tc>
            </w:tr>
            <w:tr w14:paraId="70BC62E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711" w:type="dxa"/>
                  <w:vMerge w:val="continue"/>
                  <w:tcBorders>
                    <w:tl2br w:val="nil"/>
                    <w:tr2bl w:val="nil"/>
                  </w:tcBorders>
                  <w:noWrap w:val="0"/>
                  <w:vAlign w:val="center"/>
                </w:tcPr>
                <w:p w14:paraId="140E3E3B">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ascii="Times New Roman" w:hAnsi="Times New Roman" w:eastAsia="宋体"/>
                      <w:color w:val="auto"/>
                      <w:sz w:val="21"/>
                      <w:szCs w:val="21"/>
                    </w:rPr>
                  </w:pPr>
                </w:p>
              </w:tc>
              <w:tc>
                <w:tcPr>
                  <w:tcW w:w="682" w:type="dxa"/>
                  <w:vMerge w:val="continue"/>
                  <w:tcBorders>
                    <w:tl2br w:val="nil"/>
                    <w:tr2bl w:val="nil"/>
                  </w:tcBorders>
                  <w:noWrap w:val="0"/>
                  <w:vAlign w:val="center"/>
                </w:tcPr>
                <w:p w14:paraId="7531B67E">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ascii="Times New Roman" w:hAnsi="Times New Roman" w:eastAsia="宋体"/>
                      <w:color w:val="auto"/>
                      <w:sz w:val="21"/>
                      <w:szCs w:val="21"/>
                    </w:rPr>
                  </w:pPr>
                </w:p>
              </w:tc>
              <w:tc>
                <w:tcPr>
                  <w:tcW w:w="3585" w:type="dxa"/>
                  <w:tcBorders>
                    <w:tl2br w:val="nil"/>
                    <w:tr2bl w:val="nil"/>
                  </w:tcBorders>
                  <w:noWrap w:val="0"/>
                  <w:vAlign w:val="center"/>
                </w:tcPr>
                <w:p w14:paraId="776A1549">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1</w:t>
                  </w:r>
                  <w:r>
                    <w:rPr>
                      <w:rFonts w:ascii="Times New Roman" w:hAnsi="Times New Roman" w:eastAsia="宋体"/>
                      <w:color w:val="auto"/>
                      <w:sz w:val="21"/>
                      <w:szCs w:val="21"/>
                    </w:rPr>
                    <w:t>9.</w:t>
                  </w:r>
                  <w:r>
                    <w:rPr>
                      <w:rFonts w:hint="eastAsia" w:ascii="Times New Roman" w:hAnsi="Times New Roman" w:eastAsia="宋体"/>
                      <w:color w:val="auto"/>
                      <w:sz w:val="21"/>
                      <w:szCs w:val="21"/>
                    </w:rPr>
                    <w:t>定期开展涉磷行业生态环境安全隐患排查，强化湖区环境安全风险防控，提升鄱阳湖滨湖地区联防联控突发水污染事件能力。</w:t>
                  </w:r>
                </w:p>
              </w:tc>
              <w:tc>
                <w:tcPr>
                  <w:tcW w:w="2406" w:type="dxa"/>
                  <w:tcBorders>
                    <w:tl2br w:val="nil"/>
                    <w:tr2bl w:val="nil"/>
                  </w:tcBorders>
                  <w:noWrap w:val="0"/>
                  <w:vAlign w:val="center"/>
                </w:tcPr>
                <w:p w14:paraId="3F07254A">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ascii="Times New Roman" w:hAnsi="Times New Roman" w:eastAsia="宋体"/>
                      <w:color w:val="auto"/>
                      <w:sz w:val="21"/>
                      <w:szCs w:val="21"/>
                    </w:rPr>
                  </w:pPr>
                  <w:r>
                    <w:rPr>
                      <w:rFonts w:ascii="Times New Roman" w:hAnsi="Times New Roman" w:eastAsia="宋体"/>
                      <w:color w:val="auto"/>
                      <w:sz w:val="21"/>
                      <w:szCs w:val="21"/>
                    </w:rPr>
                    <w:t>/</w:t>
                  </w:r>
                </w:p>
              </w:tc>
              <w:tc>
                <w:tcPr>
                  <w:tcW w:w="655" w:type="dxa"/>
                  <w:tcBorders>
                    <w:tl2br w:val="nil"/>
                    <w:tr2bl w:val="nil"/>
                  </w:tcBorders>
                  <w:noWrap w:val="0"/>
                  <w:vAlign w:val="center"/>
                </w:tcPr>
                <w:p w14:paraId="72157235">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ascii="Times New Roman" w:hAnsi="Times New Roman" w:eastAsia="宋体"/>
                      <w:color w:val="auto"/>
                      <w:sz w:val="21"/>
                      <w:szCs w:val="21"/>
                    </w:rPr>
                  </w:pPr>
                  <w:r>
                    <w:rPr>
                      <w:rFonts w:ascii="Times New Roman" w:hAnsi="Times New Roman" w:eastAsia="宋体"/>
                      <w:color w:val="auto"/>
                      <w:sz w:val="21"/>
                      <w:szCs w:val="21"/>
                    </w:rPr>
                    <w:t>/</w:t>
                  </w:r>
                </w:p>
              </w:tc>
            </w:tr>
            <w:tr w14:paraId="787C94F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711" w:type="dxa"/>
                  <w:vMerge w:val="continue"/>
                  <w:tcBorders>
                    <w:tl2br w:val="nil"/>
                    <w:tr2bl w:val="nil"/>
                  </w:tcBorders>
                  <w:noWrap w:val="0"/>
                  <w:vAlign w:val="center"/>
                </w:tcPr>
                <w:p w14:paraId="22AEABB6">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ascii="Times New Roman" w:hAnsi="Times New Roman" w:eastAsia="宋体"/>
                      <w:color w:val="auto"/>
                      <w:sz w:val="21"/>
                      <w:szCs w:val="21"/>
                    </w:rPr>
                  </w:pPr>
                </w:p>
              </w:tc>
              <w:tc>
                <w:tcPr>
                  <w:tcW w:w="682" w:type="dxa"/>
                  <w:vMerge w:val="continue"/>
                  <w:tcBorders>
                    <w:tl2br w:val="nil"/>
                    <w:tr2bl w:val="nil"/>
                  </w:tcBorders>
                  <w:noWrap w:val="0"/>
                  <w:vAlign w:val="center"/>
                </w:tcPr>
                <w:p w14:paraId="4B1C202A">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ascii="Times New Roman" w:hAnsi="Times New Roman" w:eastAsia="宋体"/>
                      <w:color w:val="auto"/>
                      <w:sz w:val="21"/>
                      <w:szCs w:val="21"/>
                    </w:rPr>
                  </w:pPr>
                </w:p>
              </w:tc>
              <w:tc>
                <w:tcPr>
                  <w:tcW w:w="3585" w:type="dxa"/>
                  <w:tcBorders>
                    <w:tl2br w:val="nil"/>
                    <w:tr2bl w:val="nil"/>
                  </w:tcBorders>
                  <w:noWrap w:val="0"/>
                  <w:vAlign w:val="center"/>
                </w:tcPr>
                <w:p w14:paraId="5A136433">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auto"/>
                      <w:sz w:val="21"/>
                      <w:szCs w:val="21"/>
                    </w:rPr>
                  </w:pPr>
                  <w:r>
                    <w:rPr>
                      <w:rFonts w:ascii="Times New Roman" w:hAnsi="Times New Roman" w:eastAsia="宋体"/>
                      <w:color w:val="auto"/>
                      <w:sz w:val="21"/>
                      <w:szCs w:val="21"/>
                    </w:rPr>
                    <w:t>20.</w:t>
                  </w:r>
                  <w:r>
                    <w:rPr>
                      <w:rFonts w:hint="eastAsia" w:ascii="Times New Roman" w:hAnsi="Times New Roman" w:eastAsia="宋体"/>
                      <w:color w:val="auto"/>
                      <w:sz w:val="21"/>
                      <w:szCs w:val="21"/>
                    </w:rPr>
                    <w:t>禁止在长江干流岸线三公里范围内和重要支流岸线一公里范围内新建、改建、扩建尾矿库、冶炼渣库和磷石膏库，以提升安全、生态环境保护水平为目的的改建除外。</w:t>
                  </w:r>
                </w:p>
              </w:tc>
              <w:tc>
                <w:tcPr>
                  <w:tcW w:w="2406" w:type="dxa"/>
                  <w:tcBorders>
                    <w:tl2br w:val="nil"/>
                    <w:tr2bl w:val="nil"/>
                  </w:tcBorders>
                  <w:noWrap w:val="0"/>
                  <w:vAlign w:val="center"/>
                </w:tcPr>
                <w:p w14:paraId="112F37B5">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本项目不属于尾矿库、冶炼渣库和磷石膏库项目。</w:t>
                  </w:r>
                </w:p>
              </w:tc>
              <w:tc>
                <w:tcPr>
                  <w:tcW w:w="655" w:type="dxa"/>
                  <w:tcBorders>
                    <w:tl2br w:val="nil"/>
                    <w:tr2bl w:val="nil"/>
                  </w:tcBorders>
                  <w:noWrap w:val="0"/>
                  <w:vAlign w:val="center"/>
                </w:tcPr>
                <w:p w14:paraId="7DDE6ADE">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符合</w:t>
                  </w:r>
                </w:p>
              </w:tc>
            </w:tr>
            <w:tr w14:paraId="16BE5F4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711" w:type="dxa"/>
                  <w:vMerge w:val="continue"/>
                  <w:tcBorders>
                    <w:tl2br w:val="nil"/>
                    <w:tr2bl w:val="nil"/>
                  </w:tcBorders>
                  <w:noWrap w:val="0"/>
                  <w:vAlign w:val="center"/>
                </w:tcPr>
                <w:p w14:paraId="61F560BA">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ascii="Times New Roman" w:hAnsi="Times New Roman" w:eastAsia="宋体"/>
                      <w:color w:val="auto"/>
                      <w:sz w:val="21"/>
                      <w:szCs w:val="21"/>
                    </w:rPr>
                  </w:pPr>
                </w:p>
              </w:tc>
              <w:tc>
                <w:tcPr>
                  <w:tcW w:w="682" w:type="dxa"/>
                  <w:vMerge w:val="restart"/>
                  <w:tcBorders>
                    <w:tl2br w:val="nil"/>
                    <w:tr2bl w:val="nil"/>
                  </w:tcBorders>
                  <w:noWrap w:val="0"/>
                  <w:vAlign w:val="center"/>
                </w:tcPr>
                <w:p w14:paraId="16A919DD">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ascii="Times New Roman" w:hAnsi="Times New Roman" w:eastAsia="宋体"/>
                      <w:color w:val="auto"/>
                      <w:sz w:val="21"/>
                      <w:szCs w:val="21"/>
                    </w:rPr>
                  </w:pPr>
                  <w:r>
                    <w:rPr>
                      <w:rFonts w:ascii="Times New Roman" w:hAnsi="Times New Roman" w:eastAsia="宋体"/>
                      <w:color w:val="auto"/>
                      <w:sz w:val="21"/>
                      <w:szCs w:val="21"/>
                    </w:rPr>
                    <w:t>资源利用</w:t>
                  </w:r>
                  <w:r>
                    <w:rPr>
                      <w:rFonts w:hint="eastAsia" w:ascii="Times New Roman" w:hAnsi="Times New Roman" w:eastAsia="宋体"/>
                      <w:color w:val="auto"/>
                      <w:sz w:val="21"/>
                      <w:szCs w:val="21"/>
                    </w:rPr>
                    <w:t>效</w:t>
                  </w:r>
                  <w:r>
                    <w:rPr>
                      <w:rFonts w:ascii="Times New Roman" w:hAnsi="Times New Roman" w:eastAsia="宋体"/>
                      <w:color w:val="auto"/>
                      <w:sz w:val="21"/>
                      <w:szCs w:val="21"/>
                    </w:rPr>
                    <w:t>率要求</w:t>
                  </w:r>
                </w:p>
              </w:tc>
              <w:tc>
                <w:tcPr>
                  <w:tcW w:w="3585" w:type="dxa"/>
                  <w:tcBorders>
                    <w:tl2br w:val="nil"/>
                    <w:tr2bl w:val="nil"/>
                  </w:tcBorders>
                  <w:noWrap w:val="0"/>
                  <w:vAlign w:val="center"/>
                </w:tcPr>
                <w:p w14:paraId="68C25961">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auto"/>
                      <w:sz w:val="21"/>
                      <w:szCs w:val="21"/>
                    </w:rPr>
                  </w:pPr>
                  <w:r>
                    <w:rPr>
                      <w:rFonts w:ascii="Times New Roman" w:hAnsi="Times New Roman" w:eastAsia="宋体"/>
                      <w:color w:val="auto"/>
                      <w:sz w:val="21"/>
                      <w:szCs w:val="21"/>
                    </w:rPr>
                    <w:t>21.2025</w:t>
                  </w:r>
                  <w:r>
                    <w:rPr>
                      <w:rFonts w:hint="eastAsia" w:ascii="Times New Roman" w:hAnsi="Times New Roman" w:eastAsia="宋体"/>
                      <w:color w:val="auto"/>
                      <w:sz w:val="21"/>
                      <w:szCs w:val="21"/>
                    </w:rPr>
                    <w:t>年九江市用水总量指标为</w:t>
                  </w:r>
                  <w:r>
                    <w:rPr>
                      <w:rFonts w:ascii="Times New Roman" w:hAnsi="Times New Roman" w:eastAsia="宋体"/>
                      <w:color w:val="auto"/>
                      <w:sz w:val="21"/>
                      <w:szCs w:val="21"/>
                    </w:rPr>
                    <w:t>23.41</w:t>
                  </w:r>
                  <w:r>
                    <w:rPr>
                      <w:rFonts w:hint="eastAsia" w:ascii="Times New Roman" w:hAnsi="Times New Roman" w:eastAsia="宋体"/>
                      <w:color w:val="auto"/>
                      <w:sz w:val="21"/>
                      <w:szCs w:val="21"/>
                    </w:rPr>
                    <w:t>亿立方米，万元国内生产总值用水量比</w:t>
                  </w:r>
                  <w:r>
                    <w:rPr>
                      <w:rFonts w:ascii="Times New Roman" w:hAnsi="Times New Roman" w:eastAsia="宋体"/>
                      <w:color w:val="auto"/>
                      <w:sz w:val="21"/>
                      <w:szCs w:val="21"/>
                    </w:rPr>
                    <w:t>2020</w:t>
                  </w:r>
                  <w:r>
                    <w:rPr>
                      <w:rFonts w:hint="eastAsia" w:ascii="Times New Roman" w:hAnsi="Times New Roman" w:eastAsia="宋体"/>
                      <w:color w:val="auto"/>
                      <w:sz w:val="21"/>
                      <w:szCs w:val="21"/>
                    </w:rPr>
                    <w:t>年下降</w:t>
                  </w:r>
                  <w:r>
                    <w:rPr>
                      <w:rFonts w:ascii="Times New Roman" w:hAnsi="Times New Roman" w:eastAsia="宋体"/>
                      <w:color w:val="auto"/>
                      <w:sz w:val="21"/>
                      <w:szCs w:val="21"/>
                    </w:rPr>
                    <w:t>17%</w:t>
                  </w:r>
                  <w:r>
                    <w:rPr>
                      <w:rFonts w:hint="eastAsia" w:ascii="Times New Roman" w:hAnsi="Times New Roman" w:eastAsia="宋体"/>
                      <w:color w:val="auto"/>
                      <w:sz w:val="21"/>
                      <w:szCs w:val="21"/>
                    </w:rPr>
                    <w:t>，万元工业增加值用水量比</w:t>
                  </w:r>
                  <w:r>
                    <w:rPr>
                      <w:rFonts w:ascii="Times New Roman" w:hAnsi="Times New Roman" w:eastAsia="宋体"/>
                      <w:color w:val="auto"/>
                      <w:sz w:val="21"/>
                      <w:szCs w:val="21"/>
                    </w:rPr>
                    <w:t>2020</w:t>
                  </w:r>
                  <w:r>
                    <w:rPr>
                      <w:rFonts w:hint="eastAsia" w:ascii="Times New Roman" w:hAnsi="Times New Roman" w:eastAsia="宋体"/>
                      <w:color w:val="auto"/>
                      <w:sz w:val="21"/>
                      <w:szCs w:val="21"/>
                    </w:rPr>
                    <w:t>年下降</w:t>
                  </w:r>
                  <w:r>
                    <w:rPr>
                      <w:rFonts w:ascii="Times New Roman" w:hAnsi="Times New Roman" w:eastAsia="宋体"/>
                      <w:color w:val="auto"/>
                      <w:sz w:val="21"/>
                      <w:szCs w:val="21"/>
                    </w:rPr>
                    <w:t>16%</w:t>
                  </w:r>
                  <w:r>
                    <w:rPr>
                      <w:rFonts w:hint="eastAsia" w:ascii="Times New Roman" w:hAnsi="Times New Roman" w:eastAsia="宋体"/>
                      <w:color w:val="auto"/>
                      <w:sz w:val="21"/>
                      <w:szCs w:val="21"/>
                    </w:rPr>
                    <w:t>；</w:t>
                  </w:r>
                  <w:r>
                    <w:rPr>
                      <w:rFonts w:ascii="Times New Roman" w:hAnsi="Times New Roman" w:eastAsia="宋体"/>
                      <w:color w:val="auto"/>
                      <w:sz w:val="21"/>
                      <w:szCs w:val="21"/>
                    </w:rPr>
                    <w:t>“</w:t>
                  </w:r>
                  <w:r>
                    <w:rPr>
                      <w:rFonts w:hint="eastAsia" w:ascii="Times New Roman" w:hAnsi="Times New Roman" w:eastAsia="宋体"/>
                      <w:color w:val="auto"/>
                      <w:sz w:val="21"/>
                      <w:szCs w:val="21"/>
                    </w:rPr>
                    <w:t>十四五</w:t>
                  </w:r>
                  <w:r>
                    <w:rPr>
                      <w:rFonts w:ascii="Times New Roman" w:hAnsi="Times New Roman" w:eastAsia="宋体"/>
                      <w:color w:val="auto"/>
                      <w:sz w:val="21"/>
                      <w:szCs w:val="21"/>
                    </w:rPr>
                    <w:t>”</w:t>
                  </w:r>
                  <w:r>
                    <w:rPr>
                      <w:rFonts w:hint="eastAsia" w:ascii="Times New Roman" w:hAnsi="Times New Roman" w:eastAsia="宋体"/>
                      <w:color w:val="auto"/>
                      <w:sz w:val="21"/>
                      <w:szCs w:val="21"/>
                    </w:rPr>
                    <w:t>时期，规模以上万元工业单位增加值用水量下降</w:t>
                  </w:r>
                  <w:r>
                    <w:rPr>
                      <w:rFonts w:ascii="Times New Roman" w:hAnsi="Times New Roman" w:eastAsia="宋体"/>
                      <w:color w:val="auto"/>
                      <w:sz w:val="21"/>
                      <w:szCs w:val="21"/>
                    </w:rPr>
                    <w:t>18%</w:t>
                  </w:r>
                  <w:r>
                    <w:rPr>
                      <w:rFonts w:hint="eastAsia" w:ascii="Times New Roman" w:hAnsi="Times New Roman" w:eastAsia="宋体"/>
                      <w:color w:val="auto"/>
                      <w:sz w:val="21"/>
                      <w:szCs w:val="21"/>
                    </w:rPr>
                    <w:t>。</w:t>
                  </w:r>
                </w:p>
              </w:tc>
              <w:tc>
                <w:tcPr>
                  <w:tcW w:w="2406" w:type="dxa"/>
                  <w:tcBorders>
                    <w:tl2br w:val="nil"/>
                    <w:tr2bl w:val="nil"/>
                  </w:tcBorders>
                  <w:noWrap w:val="0"/>
                  <w:vAlign w:val="center"/>
                </w:tcPr>
                <w:p w14:paraId="031631B5">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hint="eastAsia" w:ascii="Times New Roman" w:hAnsi="Times New Roman" w:eastAsia="宋体"/>
                      <w:color w:val="auto"/>
                      <w:sz w:val="21"/>
                      <w:szCs w:val="21"/>
                    </w:rPr>
                  </w:pPr>
                  <w:r>
                    <w:rPr>
                      <w:rFonts w:hint="eastAsia" w:ascii="Times New Roman" w:hAnsi="Times New Roman" w:eastAsia="宋体"/>
                      <w:color w:val="FF0000"/>
                      <w:sz w:val="21"/>
                      <w:szCs w:val="21"/>
                    </w:rPr>
                    <w:t>本项目用水由市政供水管网供给，</w:t>
                  </w:r>
                  <w:r>
                    <w:rPr>
                      <w:rFonts w:hint="eastAsia" w:ascii="Times New Roman" w:hAnsi="Times New Roman" w:eastAsia="宋体"/>
                      <w:color w:val="FF0000"/>
                      <w:sz w:val="21"/>
                      <w:szCs w:val="21"/>
                      <w:lang w:val="en-US" w:eastAsia="zh-CN"/>
                    </w:rPr>
                    <w:t>年用水量为560.606m</w:t>
                  </w:r>
                  <w:r>
                    <w:rPr>
                      <w:rFonts w:hint="eastAsia" w:ascii="Times New Roman" w:hAnsi="Times New Roman" w:eastAsia="宋体"/>
                      <w:color w:val="FF0000"/>
                      <w:sz w:val="21"/>
                      <w:szCs w:val="21"/>
                      <w:vertAlign w:val="superscript"/>
                      <w:lang w:val="en-US" w:eastAsia="zh-CN"/>
                    </w:rPr>
                    <w:t>3</w:t>
                  </w:r>
                  <w:r>
                    <w:rPr>
                      <w:rFonts w:hint="eastAsia" w:ascii="Times New Roman" w:hAnsi="Times New Roman" w:eastAsia="宋体"/>
                      <w:color w:val="FF0000"/>
                      <w:sz w:val="21"/>
                      <w:szCs w:val="21"/>
                    </w:rPr>
                    <w:t>，</w:t>
                  </w:r>
                  <w:r>
                    <w:rPr>
                      <w:rFonts w:hint="eastAsia" w:ascii="Times New Roman" w:hAnsi="Times New Roman" w:eastAsia="宋体"/>
                      <w:color w:val="FF0000"/>
                      <w:sz w:val="21"/>
                      <w:szCs w:val="21"/>
                      <w:lang w:val="en-US" w:eastAsia="zh-CN"/>
                    </w:rPr>
                    <w:t>用水量较少，</w:t>
                  </w:r>
                  <w:r>
                    <w:rPr>
                      <w:rFonts w:hint="eastAsia" w:ascii="Times New Roman" w:hAnsi="Times New Roman" w:eastAsia="宋体"/>
                      <w:color w:val="FF0000"/>
                      <w:sz w:val="21"/>
                      <w:szCs w:val="21"/>
                    </w:rPr>
                    <w:t>符合水资源利用总体要求。</w:t>
                  </w:r>
                </w:p>
              </w:tc>
              <w:tc>
                <w:tcPr>
                  <w:tcW w:w="655" w:type="dxa"/>
                  <w:tcBorders>
                    <w:tl2br w:val="nil"/>
                    <w:tr2bl w:val="nil"/>
                  </w:tcBorders>
                  <w:noWrap w:val="0"/>
                  <w:vAlign w:val="center"/>
                </w:tcPr>
                <w:p w14:paraId="7E3AB233">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ascii="Times New Roman" w:hAnsi="Times New Roman" w:eastAsia="宋体"/>
                      <w:color w:val="auto"/>
                      <w:sz w:val="21"/>
                      <w:szCs w:val="21"/>
                    </w:rPr>
                  </w:pPr>
                  <w:r>
                    <w:rPr>
                      <w:rFonts w:ascii="Times New Roman" w:hAnsi="Times New Roman" w:eastAsia="宋体"/>
                      <w:color w:val="auto"/>
                      <w:sz w:val="21"/>
                      <w:szCs w:val="21"/>
                    </w:rPr>
                    <w:t>符合</w:t>
                  </w:r>
                </w:p>
              </w:tc>
            </w:tr>
            <w:tr w14:paraId="6BE20B3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711" w:type="dxa"/>
                  <w:vMerge w:val="continue"/>
                  <w:tcBorders>
                    <w:tl2br w:val="nil"/>
                    <w:tr2bl w:val="nil"/>
                  </w:tcBorders>
                  <w:noWrap w:val="0"/>
                  <w:vAlign w:val="center"/>
                </w:tcPr>
                <w:p w14:paraId="533BDB17">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color w:val="auto"/>
                      <w:sz w:val="21"/>
                      <w:szCs w:val="21"/>
                    </w:rPr>
                  </w:pPr>
                </w:p>
              </w:tc>
              <w:tc>
                <w:tcPr>
                  <w:tcW w:w="682" w:type="dxa"/>
                  <w:vMerge w:val="continue"/>
                  <w:tcBorders>
                    <w:tl2br w:val="nil"/>
                    <w:tr2bl w:val="nil"/>
                  </w:tcBorders>
                  <w:noWrap w:val="0"/>
                  <w:vAlign w:val="center"/>
                </w:tcPr>
                <w:p w14:paraId="32C89BAD">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color w:val="auto"/>
                      <w:sz w:val="21"/>
                      <w:szCs w:val="21"/>
                    </w:rPr>
                  </w:pPr>
                </w:p>
              </w:tc>
              <w:tc>
                <w:tcPr>
                  <w:tcW w:w="3585" w:type="dxa"/>
                  <w:tcBorders>
                    <w:tl2br w:val="nil"/>
                    <w:tr2bl w:val="nil"/>
                  </w:tcBorders>
                  <w:noWrap w:val="0"/>
                  <w:vAlign w:val="center"/>
                </w:tcPr>
                <w:p w14:paraId="77932921">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auto"/>
                      <w:sz w:val="21"/>
                      <w:szCs w:val="21"/>
                    </w:rPr>
                  </w:pPr>
                  <w:r>
                    <w:rPr>
                      <w:rFonts w:ascii="Times New Roman" w:hAnsi="Times New Roman" w:eastAsia="宋体"/>
                      <w:color w:val="auto"/>
                      <w:sz w:val="21"/>
                      <w:szCs w:val="21"/>
                    </w:rPr>
                    <w:t>22.</w:t>
                  </w:r>
                  <w:r>
                    <w:rPr>
                      <w:rFonts w:hint="eastAsia" w:ascii="Times New Roman" w:hAnsi="Times New Roman" w:eastAsia="宋体"/>
                      <w:color w:val="auto"/>
                      <w:sz w:val="21"/>
                      <w:szCs w:val="21"/>
                    </w:rPr>
                    <w:t>在城市公共供水管网供水规模能满足用水需要的地区，不得新增开采地下水，原有的自备水井应当限期封闭，经依法批准开采的矿泉水、地热水除外。</w:t>
                  </w:r>
                </w:p>
              </w:tc>
              <w:tc>
                <w:tcPr>
                  <w:tcW w:w="2406" w:type="dxa"/>
                  <w:tcBorders>
                    <w:tl2br w:val="nil"/>
                    <w:tr2bl w:val="nil"/>
                  </w:tcBorders>
                  <w:noWrap w:val="0"/>
                  <w:vAlign w:val="center"/>
                </w:tcPr>
                <w:p w14:paraId="0BB9BBE3">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本项目</w:t>
                  </w:r>
                  <w:r>
                    <w:rPr>
                      <w:rFonts w:ascii="Times New Roman" w:hAnsi="Times New Roman" w:eastAsia="宋体"/>
                      <w:color w:val="auto"/>
                      <w:sz w:val="21"/>
                      <w:szCs w:val="21"/>
                    </w:rPr>
                    <w:t>不</w:t>
                  </w:r>
                  <w:r>
                    <w:rPr>
                      <w:rFonts w:hint="eastAsia" w:ascii="Times New Roman" w:hAnsi="Times New Roman" w:eastAsia="宋体"/>
                      <w:color w:val="auto"/>
                      <w:sz w:val="21"/>
                      <w:szCs w:val="21"/>
                    </w:rPr>
                    <w:t>开采</w:t>
                  </w:r>
                  <w:r>
                    <w:rPr>
                      <w:rFonts w:ascii="Times New Roman" w:hAnsi="Times New Roman" w:eastAsia="宋体"/>
                      <w:color w:val="auto"/>
                      <w:sz w:val="21"/>
                      <w:szCs w:val="21"/>
                    </w:rPr>
                    <w:t>地下水</w:t>
                  </w:r>
                  <w:r>
                    <w:rPr>
                      <w:rFonts w:hint="eastAsia" w:ascii="Times New Roman" w:hAnsi="Times New Roman" w:eastAsia="宋体"/>
                      <w:color w:val="auto"/>
                      <w:sz w:val="21"/>
                      <w:szCs w:val="21"/>
                    </w:rPr>
                    <w:t>。</w:t>
                  </w:r>
                </w:p>
              </w:tc>
              <w:tc>
                <w:tcPr>
                  <w:tcW w:w="655" w:type="dxa"/>
                  <w:tcBorders>
                    <w:tl2br w:val="nil"/>
                    <w:tr2bl w:val="nil"/>
                  </w:tcBorders>
                  <w:noWrap w:val="0"/>
                  <w:vAlign w:val="center"/>
                </w:tcPr>
                <w:p w14:paraId="073938FC">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ascii="Times New Roman" w:hAnsi="Times New Roman" w:eastAsia="宋体"/>
                      <w:color w:val="auto"/>
                      <w:sz w:val="21"/>
                      <w:szCs w:val="21"/>
                    </w:rPr>
                  </w:pPr>
                  <w:r>
                    <w:rPr>
                      <w:rFonts w:ascii="Times New Roman" w:hAnsi="Times New Roman" w:eastAsia="宋体"/>
                      <w:color w:val="auto"/>
                      <w:sz w:val="21"/>
                      <w:szCs w:val="21"/>
                    </w:rPr>
                    <w:t>符合</w:t>
                  </w:r>
                </w:p>
              </w:tc>
            </w:tr>
            <w:tr w14:paraId="4B988F2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711" w:type="dxa"/>
                  <w:vMerge w:val="continue"/>
                  <w:tcBorders>
                    <w:tl2br w:val="nil"/>
                    <w:tr2bl w:val="nil"/>
                  </w:tcBorders>
                  <w:noWrap w:val="0"/>
                  <w:vAlign w:val="center"/>
                </w:tcPr>
                <w:p w14:paraId="632D858C">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ascii="Times New Roman" w:hAnsi="Times New Roman" w:eastAsia="宋体"/>
                      <w:color w:val="auto"/>
                      <w:sz w:val="21"/>
                      <w:szCs w:val="21"/>
                    </w:rPr>
                  </w:pPr>
                </w:p>
              </w:tc>
              <w:tc>
                <w:tcPr>
                  <w:tcW w:w="682" w:type="dxa"/>
                  <w:vMerge w:val="continue"/>
                  <w:tcBorders>
                    <w:tl2br w:val="nil"/>
                    <w:tr2bl w:val="nil"/>
                  </w:tcBorders>
                  <w:noWrap w:val="0"/>
                  <w:vAlign w:val="center"/>
                </w:tcPr>
                <w:p w14:paraId="13834AFD">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ascii="Times New Roman" w:hAnsi="Times New Roman" w:eastAsia="宋体"/>
                      <w:color w:val="auto"/>
                      <w:sz w:val="21"/>
                      <w:szCs w:val="21"/>
                    </w:rPr>
                  </w:pPr>
                </w:p>
              </w:tc>
              <w:tc>
                <w:tcPr>
                  <w:tcW w:w="3585" w:type="dxa"/>
                  <w:tcBorders>
                    <w:tl2br w:val="nil"/>
                    <w:tr2bl w:val="nil"/>
                  </w:tcBorders>
                  <w:noWrap w:val="0"/>
                  <w:vAlign w:val="center"/>
                </w:tcPr>
                <w:p w14:paraId="616A463D">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auto"/>
                      <w:sz w:val="21"/>
                      <w:szCs w:val="21"/>
                    </w:rPr>
                  </w:pPr>
                  <w:r>
                    <w:rPr>
                      <w:rFonts w:ascii="Times New Roman" w:hAnsi="Times New Roman" w:eastAsia="宋体"/>
                      <w:color w:val="auto"/>
                      <w:sz w:val="21"/>
                      <w:szCs w:val="21"/>
                    </w:rPr>
                    <w:t>23.到</w:t>
                  </w:r>
                  <w:r>
                    <w:rPr>
                      <w:rFonts w:hint="eastAsia" w:ascii="Times New Roman" w:hAnsi="Times New Roman" w:eastAsia="宋体"/>
                      <w:color w:val="auto"/>
                      <w:sz w:val="21"/>
                      <w:szCs w:val="21"/>
                    </w:rPr>
                    <w:t>2</w:t>
                  </w:r>
                  <w:r>
                    <w:rPr>
                      <w:rFonts w:ascii="Times New Roman" w:hAnsi="Times New Roman" w:eastAsia="宋体"/>
                      <w:color w:val="auto"/>
                      <w:sz w:val="21"/>
                      <w:szCs w:val="21"/>
                    </w:rPr>
                    <w:t>025年，全市单位生产总值能耗消耗比</w:t>
                  </w:r>
                  <w:r>
                    <w:rPr>
                      <w:rFonts w:hint="eastAsia" w:ascii="Times New Roman" w:hAnsi="Times New Roman" w:eastAsia="宋体"/>
                      <w:color w:val="auto"/>
                      <w:sz w:val="21"/>
                      <w:szCs w:val="21"/>
                    </w:rPr>
                    <w:t>2</w:t>
                  </w:r>
                  <w:r>
                    <w:rPr>
                      <w:rFonts w:ascii="Times New Roman" w:hAnsi="Times New Roman" w:eastAsia="宋体"/>
                      <w:color w:val="auto"/>
                      <w:sz w:val="21"/>
                      <w:szCs w:val="21"/>
                    </w:rPr>
                    <w:t>020年下降</w:t>
                  </w:r>
                  <w:r>
                    <w:rPr>
                      <w:rFonts w:hint="eastAsia" w:ascii="Times New Roman" w:hAnsi="Times New Roman" w:eastAsia="宋体"/>
                      <w:color w:val="auto"/>
                      <w:sz w:val="21"/>
                      <w:szCs w:val="21"/>
                    </w:rPr>
                    <w:t>1</w:t>
                  </w:r>
                  <w:r>
                    <w:rPr>
                      <w:rFonts w:ascii="Times New Roman" w:hAnsi="Times New Roman" w:eastAsia="宋体"/>
                      <w:color w:val="auto"/>
                      <w:sz w:val="21"/>
                      <w:szCs w:val="21"/>
                    </w:rPr>
                    <w:t>5%。</w:t>
                  </w:r>
                </w:p>
              </w:tc>
              <w:tc>
                <w:tcPr>
                  <w:tcW w:w="2406" w:type="dxa"/>
                  <w:tcBorders>
                    <w:tl2br w:val="nil"/>
                    <w:tr2bl w:val="nil"/>
                  </w:tcBorders>
                  <w:noWrap w:val="0"/>
                  <w:vAlign w:val="center"/>
                </w:tcPr>
                <w:p w14:paraId="311A6718">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auto"/>
                      <w:sz w:val="21"/>
                      <w:szCs w:val="21"/>
                    </w:rPr>
                  </w:pPr>
                  <w:r>
                    <w:rPr>
                      <w:rFonts w:hint="eastAsia" w:ascii="Times New Roman" w:hAnsi="Times New Roman" w:eastAsia="宋体"/>
                      <w:color w:val="FF0000"/>
                      <w:sz w:val="21"/>
                      <w:szCs w:val="21"/>
                    </w:rPr>
                    <w:t>本项目使用能源</w:t>
                  </w:r>
                  <w:r>
                    <w:rPr>
                      <w:rFonts w:hint="eastAsia" w:ascii="Times New Roman" w:hAnsi="Times New Roman" w:eastAsia="宋体"/>
                      <w:color w:val="FF0000"/>
                      <w:sz w:val="21"/>
                      <w:szCs w:val="21"/>
                      <w:lang w:val="en-US" w:eastAsia="zh-CN"/>
                    </w:rPr>
                    <w:t>主要</w:t>
                  </w:r>
                  <w:r>
                    <w:rPr>
                      <w:rFonts w:hint="eastAsia" w:ascii="Times New Roman" w:hAnsi="Times New Roman" w:eastAsia="宋体"/>
                      <w:color w:val="FF0000"/>
                      <w:sz w:val="21"/>
                      <w:szCs w:val="21"/>
                    </w:rPr>
                    <w:t>为电能，单位生产总值能耗消耗</w:t>
                  </w:r>
                  <w:r>
                    <w:rPr>
                      <w:rFonts w:hint="eastAsia" w:ascii="Times New Roman" w:hAnsi="Times New Roman" w:eastAsia="宋体"/>
                      <w:color w:val="FF0000"/>
                      <w:sz w:val="21"/>
                      <w:szCs w:val="21"/>
                      <w:lang w:val="en-US" w:eastAsia="zh-CN"/>
                    </w:rPr>
                    <w:t>为0.1吨标准煤/万元，</w:t>
                  </w:r>
                  <w:r>
                    <w:rPr>
                      <w:rFonts w:hint="eastAsia" w:ascii="Times New Roman" w:hAnsi="Times New Roman" w:eastAsia="宋体"/>
                      <w:color w:val="FF0000"/>
                      <w:sz w:val="21"/>
                      <w:szCs w:val="21"/>
                    </w:rPr>
                    <w:t>能耗消耗较低。</w:t>
                  </w:r>
                </w:p>
              </w:tc>
              <w:tc>
                <w:tcPr>
                  <w:tcW w:w="655" w:type="dxa"/>
                  <w:tcBorders>
                    <w:tl2br w:val="nil"/>
                    <w:tr2bl w:val="nil"/>
                  </w:tcBorders>
                  <w:noWrap w:val="0"/>
                  <w:vAlign w:val="center"/>
                </w:tcPr>
                <w:p w14:paraId="257B82B0">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ascii="Times New Roman" w:hAnsi="Times New Roman" w:eastAsia="宋体"/>
                      <w:color w:val="auto"/>
                      <w:sz w:val="21"/>
                      <w:szCs w:val="21"/>
                    </w:rPr>
                  </w:pPr>
                  <w:r>
                    <w:rPr>
                      <w:rFonts w:ascii="Times New Roman" w:hAnsi="Times New Roman" w:eastAsia="宋体"/>
                      <w:color w:val="auto"/>
                      <w:sz w:val="21"/>
                      <w:szCs w:val="21"/>
                    </w:rPr>
                    <w:t>符合</w:t>
                  </w:r>
                </w:p>
              </w:tc>
            </w:tr>
            <w:tr w14:paraId="7EFA4D8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711" w:type="dxa"/>
                  <w:vMerge w:val="continue"/>
                  <w:tcBorders>
                    <w:tl2br w:val="nil"/>
                    <w:tr2bl w:val="nil"/>
                  </w:tcBorders>
                  <w:noWrap w:val="0"/>
                  <w:vAlign w:val="center"/>
                </w:tcPr>
                <w:p w14:paraId="68CB1618">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color w:val="auto"/>
                      <w:sz w:val="21"/>
                      <w:szCs w:val="21"/>
                    </w:rPr>
                  </w:pPr>
                </w:p>
              </w:tc>
              <w:tc>
                <w:tcPr>
                  <w:tcW w:w="682" w:type="dxa"/>
                  <w:vMerge w:val="continue"/>
                  <w:tcBorders>
                    <w:tl2br w:val="nil"/>
                    <w:tr2bl w:val="nil"/>
                  </w:tcBorders>
                  <w:noWrap w:val="0"/>
                  <w:vAlign w:val="center"/>
                </w:tcPr>
                <w:p w14:paraId="55012189">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color w:val="auto"/>
                      <w:sz w:val="21"/>
                      <w:szCs w:val="21"/>
                    </w:rPr>
                  </w:pPr>
                </w:p>
              </w:tc>
              <w:tc>
                <w:tcPr>
                  <w:tcW w:w="3585" w:type="dxa"/>
                  <w:tcBorders>
                    <w:tl2br w:val="nil"/>
                    <w:tr2bl w:val="nil"/>
                  </w:tcBorders>
                  <w:noWrap w:val="0"/>
                  <w:vAlign w:val="center"/>
                </w:tcPr>
                <w:p w14:paraId="50454D51">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auto"/>
                      <w:sz w:val="21"/>
                      <w:szCs w:val="21"/>
                    </w:rPr>
                  </w:pPr>
                  <w:r>
                    <w:rPr>
                      <w:rFonts w:ascii="Times New Roman" w:hAnsi="Times New Roman" w:eastAsia="宋体"/>
                      <w:color w:val="auto"/>
                      <w:sz w:val="21"/>
                      <w:szCs w:val="21"/>
                    </w:rPr>
                    <w:t>24.</w:t>
                  </w:r>
                  <w:r>
                    <w:rPr>
                      <w:rFonts w:hint="eastAsia" w:ascii="Times New Roman" w:hAnsi="Times New Roman" w:eastAsia="宋体"/>
                      <w:color w:val="auto"/>
                      <w:sz w:val="21"/>
                      <w:szCs w:val="21"/>
                    </w:rPr>
                    <w:t>禁止在禁燃区内新建、扩建、改建使用高污染燃料的项目，禁燃区的所有锅炉要按照使用规定全部淘汰或改造到位。</w:t>
                  </w:r>
                </w:p>
              </w:tc>
              <w:tc>
                <w:tcPr>
                  <w:tcW w:w="2406" w:type="dxa"/>
                  <w:tcBorders>
                    <w:tl2br w:val="nil"/>
                    <w:tr2bl w:val="nil"/>
                  </w:tcBorders>
                  <w:noWrap w:val="0"/>
                  <w:vAlign w:val="center"/>
                </w:tcPr>
                <w:p w14:paraId="0F5CB40D">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本项目不属于使用高污染燃料项目</w:t>
                  </w:r>
                  <w:r>
                    <w:rPr>
                      <w:rFonts w:hint="eastAsia" w:ascii="Times New Roman" w:hAnsi="Times New Roman" w:eastAsia="宋体"/>
                      <w:color w:val="auto"/>
                      <w:sz w:val="21"/>
                      <w:szCs w:val="21"/>
                      <w:lang w:eastAsia="zh-CN"/>
                    </w:rPr>
                    <w:t>，</w:t>
                  </w:r>
                  <w:r>
                    <w:rPr>
                      <w:rFonts w:hint="eastAsia" w:ascii="Times New Roman" w:hAnsi="Times New Roman" w:eastAsia="宋体"/>
                      <w:color w:val="auto"/>
                      <w:sz w:val="21"/>
                      <w:szCs w:val="21"/>
                      <w:lang w:val="en-US" w:eastAsia="zh-CN"/>
                    </w:rPr>
                    <w:t>项目不涉及锅炉</w:t>
                  </w:r>
                  <w:r>
                    <w:rPr>
                      <w:rFonts w:hint="eastAsia" w:ascii="Times New Roman" w:hAnsi="Times New Roman" w:eastAsia="宋体"/>
                      <w:color w:val="auto"/>
                      <w:sz w:val="21"/>
                      <w:szCs w:val="21"/>
                    </w:rPr>
                    <w:t>。</w:t>
                  </w:r>
                </w:p>
              </w:tc>
              <w:tc>
                <w:tcPr>
                  <w:tcW w:w="655" w:type="dxa"/>
                  <w:tcBorders>
                    <w:tl2br w:val="nil"/>
                    <w:tr2bl w:val="nil"/>
                  </w:tcBorders>
                  <w:noWrap w:val="0"/>
                  <w:vAlign w:val="center"/>
                </w:tcPr>
                <w:p w14:paraId="264BCE0B">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符合</w:t>
                  </w:r>
                </w:p>
              </w:tc>
            </w:tr>
          </w:tbl>
          <w:p w14:paraId="01720C94">
            <w:pPr>
              <w:pStyle w:val="2"/>
              <w:keepNext w:val="0"/>
              <w:keepLines w:val="0"/>
              <w:pageBreakBefore w:val="0"/>
              <w:widowControl w:val="0"/>
              <w:kinsoku/>
              <w:wordWrap/>
              <w:overflowPunct/>
              <w:topLinePunct w:val="0"/>
              <w:bidi w:val="0"/>
              <w:adjustRightInd/>
              <w:snapToGrid/>
              <w:spacing w:before="0" w:after="0" w:line="360" w:lineRule="auto"/>
              <w:ind w:firstLine="496" w:firstLineChars="200"/>
              <w:textAlignment w:val="auto"/>
              <w:rPr>
                <w:color w:val="auto"/>
                <w:sz w:val="24"/>
              </w:rPr>
            </w:pPr>
            <w:r>
              <w:rPr>
                <w:rFonts w:hint="eastAsia"/>
                <w:color w:val="auto"/>
                <w:spacing w:val="4"/>
                <w:kern w:val="0"/>
                <w:sz w:val="24"/>
              </w:rPr>
              <w:t>综上所述，本项目建设</w:t>
            </w:r>
            <w:r>
              <w:rPr>
                <w:color w:val="auto"/>
                <w:spacing w:val="4"/>
                <w:kern w:val="0"/>
                <w:sz w:val="24"/>
              </w:rPr>
              <w:t>与</w:t>
            </w:r>
            <w:r>
              <w:rPr>
                <w:rFonts w:hint="eastAsia"/>
                <w:color w:val="auto"/>
                <w:spacing w:val="4"/>
                <w:kern w:val="0"/>
                <w:sz w:val="24"/>
              </w:rPr>
              <w:t>《</w:t>
            </w:r>
            <w:r>
              <w:rPr>
                <w:color w:val="auto"/>
                <w:sz w:val="24"/>
              </w:rPr>
              <w:t>九江市生态环境总体准入清单</w:t>
            </w:r>
            <w:r>
              <w:rPr>
                <w:rFonts w:hint="eastAsia"/>
                <w:color w:val="auto"/>
                <w:spacing w:val="4"/>
                <w:kern w:val="0"/>
                <w:sz w:val="24"/>
              </w:rPr>
              <w:t>》</w:t>
            </w:r>
            <w:r>
              <w:rPr>
                <w:color w:val="auto"/>
                <w:sz w:val="24"/>
              </w:rPr>
              <w:t>相符。</w:t>
            </w:r>
          </w:p>
          <w:p w14:paraId="76C84F19">
            <w:pPr>
              <w:pStyle w:val="92"/>
              <w:keepNext w:val="0"/>
              <w:keepLines w:val="0"/>
              <w:pageBreakBefore w:val="0"/>
              <w:widowControl w:val="0"/>
              <w:kinsoku/>
              <w:wordWrap/>
              <w:overflowPunct/>
              <w:topLinePunct w:val="0"/>
              <w:autoSpaceDE/>
              <w:autoSpaceDN/>
              <w:bidi w:val="0"/>
              <w:adjustRightInd/>
              <w:snapToGrid/>
              <w:spacing w:line="360" w:lineRule="auto"/>
              <w:ind w:firstLine="498" w:firstLineChars="200"/>
              <w:jc w:val="left"/>
              <w:textAlignment w:val="auto"/>
              <w:rPr>
                <w:rFonts w:hint="default" w:ascii="Times New Roman" w:hAnsi="Times New Roman" w:eastAsia="宋体" w:cs="Times New Roman"/>
                <w:b/>
                <w:bCs/>
                <w:color w:val="auto"/>
              </w:rPr>
            </w:pPr>
            <w:r>
              <w:rPr>
                <w:rFonts w:hint="eastAsia" w:ascii="Times New Roman" w:hAnsi="Times New Roman" w:eastAsia="宋体" w:cs="Times New Roman"/>
                <w:b/>
                <w:bCs/>
                <w:color w:val="auto"/>
                <w:lang w:val="en-US" w:eastAsia="zh-CN"/>
              </w:rPr>
              <w:t>3</w:t>
            </w:r>
            <w:r>
              <w:rPr>
                <w:rFonts w:hint="default" w:ascii="Times New Roman" w:hAnsi="Times New Roman" w:eastAsia="宋体" w:cs="Times New Roman"/>
                <w:b/>
                <w:bCs/>
                <w:color w:val="auto"/>
                <w:lang w:val="en-US" w:eastAsia="zh-CN"/>
              </w:rPr>
              <w:t>、</w:t>
            </w:r>
            <w:r>
              <w:rPr>
                <w:rFonts w:hint="eastAsia" w:ascii="Times New Roman" w:hAnsi="Times New Roman" w:eastAsia="宋体" w:cs="Times New Roman"/>
                <w:b/>
                <w:bCs/>
                <w:color w:val="auto"/>
                <w:lang w:val="en-US" w:eastAsia="zh-CN"/>
              </w:rPr>
              <w:t>项目与</w:t>
            </w:r>
            <w:r>
              <w:rPr>
                <w:rFonts w:hint="eastAsia" w:ascii="宋体" w:hAnsi="宋体" w:eastAsia="宋体" w:cs="宋体"/>
                <w:b/>
                <w:bCs/>
                <w:color w:val="auto"/>
              </w:rPr>
              <w:t>“三线一单”</w:t>
            </w:r>
            <w:r>
              <w:rPr>
                <w:rFonts w:hint="eastAsia" w:ascii="Times New Roman" w:hAnsi="Times New Roman" w:eastAsia="宋体" w:cs="Times New Roman"/>
                <w:b/>
                <w:bCs/>
                <w:color w:val="auto"/>
                <w:lang w:val="en-US" w:eastAsia="zh-CN"/>
              </w:rPr>
              <w:t>相符</w:t>
            </w:r>
            <w:r>
              <w:rPr>
                <w:rFonts w:hint="default" w:ascii="Times New Roman" w:hAnsi="Times New Roman" w:eastAsia="宋体" w:cs="Times New Roman"/>
                <w:b/>
                <w:bCs/>
                <w:color w:val="auto"/>
              </w:rPr>
              <w:t>性分析</w:t>
            </w:r>
          </w:p>
          <w:p w14:paraId="7B102CE1">
            <w:pPr>
              <w:pStyle w:val="140"/>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cs="Times New Roman"/>
                <w:b/>
                <w:color w:val="auto"/>
                <w:sz w:val="21"/>
              </w:rPr>
            </w:pPr>
            <w:r>
              <w:rPr>
                <w:rFonts w:cs="Times New Roman"/>
                <w:b/>
                <w:color w:val="auto"/>
                <w:sz w:val="21"/>
              </w:rPr>
              <w:t>表1-</w:t>
            </w:r>
            <w:r>
              <w:rPr>
                <w:rFonts w:hint="eastAsia" w:cs="Times New Roman"/>
                <w:b/>
                <w:color w:val="auto"/>
                <w:sz w:val="21"/>
                <w:lang w:val="en-US" w:eastAsia="zh-CN"/>
              </w:rPr>
              <w:t>4</w:t>
            </w:r>
            <w:r>
              <w:rPr>
                <w:rFonts w:cs="Times New Roman"/>
                <w:b/>
                <w:color w:val="auto"/>
                <w:sz w:val="21"/>
              </w:rPr>
              <w:t xml:space="preserve">  </w:t>
            </w:r>
            <w:r>
              <w:rPr>
                <w:rFonts w:hint="eastAsia" w:cs="Times New Roman"/>
                <w:b/>
                <w:color w:val="auto"/>
                <w:sz w:val="21"/>
              </w:rPr>
              <w:t xml:space="preserve"> </w:t>
            </w:r>
            <w:r>
              <w:rPr>
                <w:rFonts w:cs="Times New Roman"/>
                <w:b/>
                <w:color w:val="auto"/>
                <w:sz w:val="21"/>
              </w:rPr>
              <w:t>项目</w:t>
            </w:r>
            <w:r>
              <w:rPr>
                <w:rFonts w:hint="eastAsia" w:cs="Times New Roman"/>
                <w:b/>
                <w:color w:val="auto"/>
                <w:sz w:val="21"/>
              </w:rPr>
              <w:t>与</w:t>
            </w:r>
            <w:r>
              <w:rPr>
                <w:rFonts w:cs="Times New Roman"/>
                <w:b/>
                <w:color w:val="auto"/>
                <w:sz w:val="21"/>
              </w:rPr>
              <w:t>“三线一单”相符性分析</w:t>
            </w:r>
          </w:p>
          <w:tbl>
            <w:tblPr>
              <w:tblStyle w:val="35"/>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03"/>
              <w:gridCol w:w="6536"/>
            </w:tblGrid>
            <w:tr w14:paraId="3D2A2C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13" w:type="dxa"/>
                  <w:noWrap w:val="0"/>
                  <w:vAlign w:val="center"/>
                </w:tcPr>
                <w:p w14:paraId="75CE3387">
                  <w:pPr>
                    <w:pStyle w:val="140"/>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cs="Times New Roman"/>
                      <w:b/>
                      <w:color w:val="auto"/>
                      <w:sz w:val="21"/>
                      <w:szCs w:val="21"/>
                    </w:rPr>
                  </w:pPr>
                  <w:r>
                    <w:rPr>
                      <w:b/>
                      <w:color w:val="auto"/>
                      <w:sz w:val="21"/>
                      <w:szCs w:val="21"/>
                    </w:rPr>
                    <w:t>内容</w:t>
                  </w:r>
                </w:p>
              </w:tc>
              <w:tc>
                <w:tcPr>
                  <w:tcW w:w="6583" w:type="dxa"/>
                  <w:noWrap w:val="0"/>
                  <w:vAlign w:val="center"/>
                </w:tcPr>
                <w:p w14:paraId="11DF0AD9">
                  <w:pPr>
                    <w:pStyle w:val="140"/>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cs="Times New Roman"/>
                      <w:b/>
                      <w:color w:val="auto"/>
                      <w:sz w:val="21"/>
                      <w:szCs w:val="21"/>
                    </w:rPr>
                  </w:pPr>
                  <w:r>
                    <w:rPr>
                      <w:b/>
                      <w:color w:val="auto"/>
                      <w:sz w:val="21"/>
                      <w:szCs w:val="21"/>
                    </w:rPr>
                    <w:t>相符性分析</w:t>
                  </w:r>
                </w:p>
              </w:tc>
            </w:tr>
            <w:tr w14:paraId="244E25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13" w:type="dxa"/>
                  <w:noWrap w:val="0"/>
                  <w:vAlign w:val="center"/>
                </w:tcPr>
                <w:p w14:paraId="1B3DE837">
                  <w:pPr>
                    <w:pStyle w:val="140"/>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cs="Times New Roman"/>
                      <w:b/>
                      <w:color w:val="auto"/>
                      <w:sz w:val="21"/>
                      <w:szCs w:val="21"/>
                    </w:rPr>
                  </w:pPr>
                  <w:r>
                    <w:rPr>
                      <w:rFonts w:cs="Times New Roman"/>
                      <w:color w:val="auto"/>
                      <w:sz w:val="21"/>
                      <w:szCs w:val="21"/>
                    </w:rPr>
                    <w:t>生态保护红线</w:t>
                  </w:r>
                </w:p>
              </w:tc>
              <w:tc>
                <w:tcPr>
                  <w:tcW w:w="6583" w:type="dxa"/>
                  <w:noWrap w:val="0"/>
                  <w:vAlign w:val="center"/>
                </w:tcPr>
                <w:p w14:paraId="5EB119D6">
                  <w:pPr>
                    <w:pStyle w:val="140"/>
                    <w:keepNext w:val="0"/>
                    <w:keepLines w:val="0"/>
                    <w:pageBreakBefore w:val="0"/>
                    <w:widowControl w:val="0"/>
                    <w:kinsoku/>
                    <w:wordWrap/>
                    <w:overflowPunct/>
                    <w:topLinePunct w:val="0"/>
                    <w:bidi w:val="0"/>
                    <w:adjustRightInd/>
                    <w:snapToGrid w:val="0"/>
                    <w:spacing w:line="240" w:lineRule="auto"/>
                    <w:ind w:firstLine="420" w:firstLineChars="200"/>
                    <w:textAlignment w:val="auto"/>
                    <w:rPr>
                      <w:rFonts w:hint="eastAsia" w:cs="Times New Roman"/>
                      <w:b/>
                      <w:color w:val="auto"/>
                      <w:sz w:val="21"/>
                      <w:szCs w:val="21"/>
                    </w:rPr>
                  </w:pPr>
                  <w:r>
                    <w:rPr>
                      <w:rFonts w:hint="eastAsia" w:cs="Times New Roman"/>
                      <w:color w:val="auto"/>
                      <w:sz w:val="21"/>
                      <w:szCs w:val="21"/>
                    </w:rPr>
                    <w:t>本项目</w:t>
                  </w:r>
                  <w:r>
                    <w:rPr>
                      <w:rFonts w:cs="Times New Roman"/>
                      <w:color w:val="auto"/>
                      <w:sz w:val="21"/>
                      <w:szCs w:val="21"/>
                    </w:rPr>
                    <w:t>位于</w:t>
                  </w:r>
                  <w:r>
                    <w:rPr>
                      <w:rFonts w:hint="eastAsia" w:cs="Times New Roman"/>
                      <w:color w:val="auto"/>
                      <w:sz w:val="21"/>
                      <w:szCs w:val="21"/>
                      <w:lang w:val="en-US" w:eastAsia="zh-CN"/>
                    </w:rPr>
                    <w:t>江西省九江市</w:t>
                  </w:r>
                  <w:r>
                    <w:rPr>
                      <w:rFonts w:hint="eastAsia" w:cs="Times New Roman"/>
                      <w:color w:val="auto"/>
                      <w:sz w:val="21"/>
                      <w:szCs w:val="21"/>
                      <w:lang w:eastAsia="zh-CN"/>
                    </w:rPr>
                    <w:t>柴桑区</w:t>
                  </w:r>
                  <w:r>
                    <w:rPr>
                      <w:rFonts w:hint="eastAsia" w:cs="Times New Roman"/>
                      <w:color w:val="auto"/>
                      <w:sz w:val="21"/>
                      <w:szCs w:val="21"/>
                    </w:rPr>
                    <w:t>通江大道西侧、城门街道南垅新村南侧</w:t>
                  </w:r>
                  <w:r>
                    <w:rPr>
                      <w:rFonts w:cs="Times New Roman"/>
                      <w:color w:val="auto"/>
                      <w:sz w:val="21"/>
                      <w:szCs w:val="21"/>
                    </w:rPr>
                    <w:t>，评价范围内无名胜古迹、风景区、自然保护区、饮用水源保护区等生态保护目标，地下水评价范围内无地下饮用水源取水口</w:t>
                  </w:r>
                  <w:r>
                    <w:rPr>
                      <w:rFonts w:hint="eastAsia" w:cs="Times New Roman"/>
                      <w:color w:val="auto"/>
                      <w:sz w:val="21"/>
                      <w:szCs w:val="21"/>
                    </w:rPr>
                    <w:t>，</w:t>
                  </w:r>
                  <w:r>
                    <w:rPr>
                      <w:rFonts w:cs="Times New Roman"/>
                      <w:color w:val="auto"/>
                      <w:sz w:val="21"/>
                      <w:szCs w:val="21"/>
                    </w:rPr>
                    <w:t>符合生态保护红线要求</w:t>
                  </w:r>
                  <w:r>
                    <w:rPr>
                      <w:rFonts w:hint="eastAsia" w:cs="Times New Roman"/>
                      <w:color w:val="auto"/>
                      <w:sz w:val="21"/>
                      <w:szCs w:val="21"/>
                    </w:rPr>
                    <w:t>。</w:t>
                  </w:r>
                </w:p>
              </w:tc>
            </w:tr>
            <w:tr w14:paraId="4F2D38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13" w:type="dxa"/>
                  <w:noWrap w:val="0"/>
                  <w:vAlign w:val="center"/>
                </w:tcPr>
                <w:p w14:paraId="08E92F1B">
                  <w:pPr>
                    <w:pStyle w:val="140"/>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hint="eastAsia" w:eastAsia="宋体" w:cs="Times New Roman"/>
                      <w:b/>
                      <w:color w:val="auto"/>
                      <w:sz w:val="21"/>
                      <w:szCs w:val="21"/>
                      <w:lang w:eastAsia="zh-CN"/>
                    </w:rPr>
                  </w:pPr>
                  <w:r>
                    <w:rPr>
                      <w:rFonts w:cs="Times New Roman"/>
                      <w:color w:val="auto"/>
                      <w:sz w:val="21"/>
                      <w:szCs w:val="21"/>
                    </w:rPr>
                    <w:t>资源利用上</w:t>
                  </w:r>
                  <w:r>
                    <w:rPr>
                      <w:rFonts w:hint="eastAsia" w:cs="Times New Roman"/>
                      <w:color w:val="auto"/>
                      <w:sz w:val="21"/>
                      <w:szCs w:val="21"/>
                      <w:lang w:val="en-US" w:eastAsia="zh-CN"/>
                    </w:rPr>
                    <w:t>线</w:t>
                  </w:r>
                </w:p>
              </w:tc>
              <w:tc>
                <w:tcPr>
                  <w:tcW w:w="6583" w:type="dxa"/>
                  <w:noWrap w:val="0"/>
                  <w:vAlign w:val="center"/>
                </w:tcPr>
                <w:p w14:paraId="60F5279D">
                  <w:pPr>
                    <w:pStyle w:val="140"/>
                    <w:keepNext w:val="0"/>
                    <w:keepLines w:val="0"/>
                    <w:pageBreakBefore w:val="0"/>
                    <w:widowControl w:val="0"/>
                    <w:kinsoku/>
                    <w:wordWrap/>
                    <w:overflowPunct/>
                    <w:topLinePunct w:val="0"/>
                    <w:bidi w:val="0"/>
                    <w:adjustRightInd/>
                    <w:snapToGrid w:val="0"/>
                    <w:spacing w:line="240" w:lineRule="auto"/>
                    <w:ind w:firstLine="420" w:firstLineChars="200"/>
                    <w:textAlignment w:val="auto"/>
                    <w:rPr>
                      <w:rFonts w:hint="eastAsia" w:cs="Times New Roman"/>
                      <w:b/>
                      <w:color w:val="auto"/>
                      <w:sz w:val="21"/>
                      <w:szCs w:val="21"/>
                    </w:rPr>
                  </w:pPr>
                  <w:r>
                    <w:rPr>
                      <w:rFonts w:hint="eastAsia" w:cs="Times New Roman"/>
                      <w:color w:val="auto"/>
                      <w:sz w:val="21"/>
                      <w:szCs w:val="21"/>
                    </w:rPr>
                    <w:t>本项目</w:t>
                  </w:r>
                  <w:r>
                    <w:rPr>
                      <w:rFonts w:cs="Times New Roman"/>
                      <w:color w:val="auto"/>
                      <w:sz w:val="21"/>
                      <w:szCs w:val="21"/>
                    </w:rPr>
                    <w:t>运营过程中消耗一定量的电能、水等资源，项目资源消耗量相对区域环境利用总量较少，符合</w:t>
                  </w:r>
                  <w:r>
                    <w:rPr>
                      <w:rFonts w:hint="eastAsia" w:cs="Times New Roman"/>
                      <w:color w:val="auto"/>
                      <w:sz w:val="21"/>
                      <w:szCs w:val="21"/>
                    </w:rPr>
                    <w:t>资源</w:t>
                  </w:r>
                  <w:r>
                    <w:rPr>
                      <w:rFonts w:cs="Times New Roman"/>
                      <w:color w:val="auto"/>
                      <w:sz w:val="21"/>
                      <w:szCs w:val="21"/>
                    </w:rPr>
                    <w:t>利用上</w:t>
                  </w:r>
                  <w:r>
                    <w:rPr>
                      <w:rFonts w:hint="eastAsia" w:cs="Times New Roman"/>
                      <w:color w:val="auto"/>
                      <w:sz w:val="21"/>
                      <w:szCs w:val="21"/>
                      <w:lang w:val="en-US" w:eastAsia="zh-CN"/>
                    </w:rPr>
                    <w:t>线</w:t>
                  </w:r>
                  <w:r>
                    <w:rPr>
                      <w:rFonts w:cs="Times New Roman"/>
                      <w:color w:val="auto"/>
                      <w:sz w:val="21"/>
                      <w:szCs w:val="21"/>
                    </w:rPr>
                    <w:t>要求</w:t>
                  </w:r>
                  <w:r>
                    <w:rPr>
                      <w:rFonts w:hint="eastAsia" w:cs="Times New Roman"/>
                      <w:color w:val="auto"/>
                      <w:sz w:val="21"/>
                      <w:szCs w:val="21"/>
                    </w:rPr>
                    <w:t>。</w:t>
                  </w:r>
                </w:p>
              </w:tc>
            </w:tr>
            <w:tr w14:paraId="597CCB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13" w:type="dxa"/>
                  <w:noWrap w:val="0"/>
                  <w:vAlign w:val="center"/>
                </w:tcPr>
                <w:p w14:paraId="377A66DC">
                  <w:pPr>
                    <w:pStyle w:val="140"/>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cs="Times New Roman"/>
                      <w:b/>
                      <w:color w:val="auto"/>
                      <w:sz w:val="21"/>
                      <w:szCs w:val="21"/>
                    </w:rPr>
                  </w:pPr>
                  <w:r>
                    <w:rPr>
                      <w:rFonts w:cs="Times New Roman"/>
                      <w:color w:val="auto"/>
                      <w:sz w:val="21"/>
                      <w:szCs w:val="21"/>
                    </w:rPr>
                    <w:t>环境质量底线</w:t>
                  </w:r>
                </w:p>
              </w:tc>
              <w:tc>
                <w:tcPr>
                  <w:tcW w:w="6583" w:type="dxa"/>
                  <w:noWrap w:val="0"/>
                  <w:vAlign w:val="center"/>
                </w:tcPr>
                <w:p w14:paraId="3A3ABEF3">
                  <w:pPr>
                    <w:keepNext w:val="0"/>
                    <w:keepLines w:val="0"/>
                    <w:pageBreakBefore w:val="0"/>
                    <w:widowControl w:val="0"/>
                    <w:kinsoku/>
                    <w:wordWrap/>
                    <w:overflowPunct/>
                    <w:topLinePunct w:val="0"/>
                    <w:bidi w:val="0"/>
                    <w:adjustRightInd/>
                    <w:snapToGrid w:val="0"/>
                    <w:spacing w:line="240" w:lineRule="auto"/>
                    <w:ind w:firstLine="428" w:firstLineChars="200"/>
                    <w:textAlignment w:val="auto"/>
                    <w:rPr>
                      <w:rFonts w:hint="eastAsia"/>
                      <w:color w:val="auto"/>
                      <w:spacing w:val="2"/>
                      <w:sz w:val="21"/>
                      <w:szCs w:val="21"/>
                    </w:rPr>
                  </w:pPr>
                  <w:r>
                    <w:rPr>
                      <w:rFonts w:hint="eastAsia"/>
                      <w:color w:val="auto"/>
                      <w:spacing w:val="2"/>
                      <w:sz w:val="21"/>
                      <w:szCs w:val="21"/>
                    </w:rPr>
                    <w:t>本项目</w:t>
                  </w:r>
                  <w:r>
                    <w:rPr>
                      <w:color w:val="auto"/>
                      <w:spacing w:val="2"/>
                      <w:sz w:val="21"/>
                      <w:szCs w:val="21"/>
                    </w:rPr>
                    <w:t>所在区域环境质量底线为：评价</w:t>
                  </w:r>
                  <w:r>
                    <w:rPr>
                      <w:rFonts w:hint="eastAsia"/>
                      <w:color w:val="auto"/>
                      <w:spacing w:val="2"/>
                      <w:sz w:val="21"/>
                      <w:szCs w:val="21"/>
                    </w:rPr>
                    <w:t>范围</w:t>
                  </w:r>
                  <w:r>
                    <w:rPr>
                      <w:color w:val="auto"/>
                      <w:spacing w:val="2"/>
                      <w:sz w:val="21"/>
                      <w:szCs w:val="21"/>
                    </w:rPr>
                    <w:t>内</w:t>
                  </w:r>
                  <w:r>
                    <w:rPr>
                      <w:rFonts w:hint="eastAsia"/>
                      <w:color w:val="auto"/>
                      <w:spacing w:val="2"/>
                      <w:sz w:val="21"/>
                      <w:szCs w:val="21"/>
                    </w:rPr>
                    <w:t>地表</w:t>
                  </w:r>
                  <w:r>
                    <w:rPr>
                      <w:color w:val="auto"/>
                      <w:spacing w:val="2"/>
                      <w:sz w:val="21"/>
                      <w:szCs w:val="21"/>
                    </w:rPr>
                    <w:t>水环境质量目标为《地表水环境质量标准》（GB3838-2002）Ⅲ类标准要求；评价</w:t>
                  </w:r>
                  <w:r>
                    <w:rPr>
                      <w:rFonts w:hint="eastAsia"/>
                      <w:color w:val="auto"/>
                      <w:spacing w:val="2"/>
                      <w:sz w:val="21"/>
                      <w:szCs w:val="21"/>
                    </w:rPr>
                    <w:t>范围</w:t>
                  </w:r>
                  <w:r>
                    <w:rPr>
                      <w:color w:val="auto"/>
                      <w:spacing w:val="2"/>
                      <w:sz w:val="21"/>
                      <w:szCs w:val="21"/>
                    </w:rPr>
                    <w:t>内环境空气质量目标为《环境空气质量标准》（GB3095-2012）及其修改单中二级标准要求及其它标准要求；厂界</w:t>
                  </w:r>
                  <w:r>
                    <w:rPr>
                      <w:rFonts w:hint="eastAsia"/>
                      <w:color w:val="auto"/>
                      <w:spacing w:val="2"/>
                      <w:sz w:val="21"/>
                      <w:szCs w:val="21"/>
                      <w:lang w:val="en-US" w:eastAsia="zh-CN"/>
                    </w:rPr>
                    <w:t>四周</w:t>
                  </w:r>
                  <w:r>
                    <w:rPr>
                      <w:color w:val="auto"/>
                      <w:spacing w:val="2"/>
                      <w:sz w:val="21"/>
                      <w:szCs w:val="21"/>
                    </w:rPr>
                    <w:t>昼间和夜间声环境质量目标为《声环境质量标准》（GB3096-2008）</w:t>
                  </w:r>
                  <w:r>
                    <w:rPr>
                      <w:rFonts w:hint="eastAsia"/>
                      <w:color w:val="auto"/>
                      <w:spacing w:val="2"/>
                      <w:sz w:val="21"/>
                      <w:szCs w:val="21"/>
                    </w:rPr>
                    <w:t>中</w:t>
                  </w:r>
                  <w:r>
                    <w:rPr>
                      <w:rFonts w:hint="eastAsia"/>
                      <w:color w:val="auto"/>
                      <w:spacing w:val="2"/>
                      <w:sz w:val="21"/>
                      <w:szCs w:val="21"/>
                      <w:lang w:val="en-US" w:eastAsia="zh-CN"/>
                    </w:rPr>
                    <w:t>2</w:t>
                  </w:r>
                  <w:r>
                    <w:rPr>
                      <w:color w:val="auto"/>
                      <w:spacing w:val="2"/>
                      <w:sz w:val="21"/>
                      <w:szCs w:val="21"/>
                    </w:rPr>
                    <w:t>类</w:t>
                  </w:r>
                  <w:r>
                    <w:rPr>
                      <w:rFonts w:hint="eastAsia"/>
                      <w:color w:val="auto"/>
                      <w:spacing w:val="2"/>
                      <w:sz w:val="21"/>
                      <w:szCs w:val="21"/>
                      <w:lang w:eastAsia="zh-CN"/>
                    </w:rPr>
                    <w:t>、</w:t>
                  </w:r>
                  <w:r>
                    <w:rPr>
                      <w:rFonts w:hint="eastAsia"/>
                      <w:color w:val="auto"/>
                      <w:spacing w:val="2"/>
                      <w:sz w:val="21"/>
                      <w:szCs w:val="21"/>
                      <w:lang w:val="en-US" w:eastAsia="zh-CN"/>
                    </w:rPr>
                    <w:t>4类</w:t>
                  </w:r>
                  <w:r>
                    <w:rPr>
                      <w:color w:val="auto"/>
                      <w:spacing w:val="2"/>
                      <w:sz w:val="21"/>
                      <w:szCs w:val="21"/>
                    </w:rPr>
                    <w:t>标准</w:t>
                  </w:r>
                  <w:r>
                    <w:rPr>
                      <w:rFonts w:hint="eastAsia"/>
                      <w:color w:val="auto"/>
                      <w:spacing w:val="2"/>
                      <w:sz w:val="21"/>
                      <w:szCs w:val="21"/>
                      <w:lang w:val="en-US" w:eastAsia="zh-CN"/>
                    </w:rPr>
                    <w:t>要求</w:t>
                  </w:r>
                  <w:r>
                    <w:rPr>
                      <w:color w:val="auto"/>
                      <w:spacing w:val="2"/>
                      <w:sz w:val="21"/>
                      <w:szCs w:val="21"/>
                    </w:rPr>
                    <w:t>；评价范围</w:t>
                  </w:r>
                  <w:r>
                    <w:rPr>
                      <w:rFonts w:hint="eastAsia"/>
                      <w:color w:val="auto"/>
                      <w:spacing w:val="2"/>
                      <w:sz w:val="21"/>
                      <w:szCs w:val="21"/>
                    </w:rPr>
                    <w:t>内</w:t>
                  </w:r>
                  <w:r>
                    <w:rPr>
                      <w:color w:val="auto"/>
                      <w:spacing w:val="2"/>
                      <w:sz w:val="21"/>
                      <w:szCs w:val="21"/>
                    </w:rPr>
                    <w:t>环境空气中基本污染物</w:t>
                  </w:r>
                  <w:r>
                    <w:rPr>
                      <w:rFonts w:hint="eastAsia"/>
                      <w:color w:val="auto"/>
                      <w:spacing w:val="2"/>
                      <w:sz w:val="21"/>
                      <w:szCs w:val="21"/>
                    </w:rPr>
                    <w:t>均</w:t>
                  </w:r>
                  <w:r>
                    <w:rPr>
                      <w:color w:val="auto"/>
                      <w:spacing w:val="2"/>
                      <w:sz w:val="21"/>
                      <w:szCs w:val="21"/>
                    </w:rPr>
                    <w:t>不超标，表明评价区域环境空气属于达标区域</w:t>
                  </w:r>
                  <w:r>
                    <w:rPr>
                      <w:rFonts w:hint="eastAsia"/>
                      <w:color w:val="auto"/>
                      <w:spacing w:val="2"/>
                      <w:sz w:val="21"/>
                      <w:szCs w:val="21"/>
                    </w:rPr>
                    <w:t>。</w:t>
                  </w:r>
                </w:p>
                <w:p w14:paraId="7482DBB1">
                  <w:pPr>
                    <w:keepNext w:val="0"/>
                    <w:keepLines w:val="0"/>
                    <w:pageBreakBefore w:val="0"/>
                    <w:widowControl w:val="0"/>
                    <w:kinsoku/>
                    <w:wordWrap/>
                    <w:overflowPunct/>
                    <w:topLinePunct w:val="0"/>
                    <w:bidi w:val="0"/>
                    <w:adjustRightInd/>
                    <w:snapToGrid w:val="0"/>
                    <w:spacing w:line="240" w:lineRule="auto"/>
                    <w:ind w:firstLine="428" w:firstLineChars="200"/>
                    <w:textAlignment w:val="auto"/>
                    <w:rPr>
                      <w:rFonts w:hint="eastAsia"/>
                      <w:b/>
                      <w:color w:val="auto"/>
                      <w:sz w:val="21"/>
                      <w:szCs w:val="21"/>
                    </w:rPr>
                  </w:pPr>
                  <w:r>
                    <w:rPr>
                      <w:color w:val="auto"/>
                      <w:spacing w:val="2"/>
                      <w:sz w:val="21"/>
                      <w:szCs w:val="21"/>
                    </w:rPr>
                    <w:t>对产生的废气、废水均采取相应的治理措施后达标排放，固废做到无害化处置，采取本</w:t>
                  </w:r>
                  <w:r>
                    <w:rPr>
                      <w:rFonts w:hint="eastAsia"/>
                      <w:color w:val="auto"/>
                      <w:spacing w:val="2"/>
                      <w:sz w:val="21"/>
                      <w:szCs w:val="21"/>
                    </w:rPr>
                    <w:t>次</w:t>
                  </w:r>
                  <w:r>
                    <w:rPr>
                      <w:color w:val="auto"/>
                      <w:spacing w:val="2"/>
                      <w:sz w:val="21"/>
                      <w:szCs w:val="21"/>
                    </w:rPr>
                    <w:t>环评提出的相关防治措施后，</w:t>
                  </w:r>
                  <w:r>
                    <w:rPr>
                      <w:rFonts w:hint="eastAsia"/>
                      <w:color w:val="auto"/>
                      <w:spacing w:val="2"/>
                      <w:sz w:val="21"/>
                      <w:szCs w:val="21"/>
                      <w:lang w:val="en-US" w:eastAsia="zh-CN"/>
                    </w:rPr>
                    <w:t>本</w:t>
                  </w:r>
                  <w:r>
                    <w:rPr>
                      <w:color w:val="auto"/>
                      <w:spacing w:val="2"/>
                      <w:sz w:val="21"/>
                      <w:szCs w:val="21"/>
                    </w:rPr>
                    <w:t>项目排放污染物不会突破区域环境质量底线要求</w:t>
                  </w:r>
                  <w:r>
                    <w:rPr>
                      <w:rFonts w:hint="eastAsia"/>
                      <w:color w:val="auto"/>
                      <w:spacing w:val="2"/>
                      <w:sz w:val="21"/>
                      <w:szCs w:val="21"/>
                    </w:rPr>
                    <w:t>。</w:t>
                  </w:r>
                </w:p>
              </w:tc>
            </w:tr>
            <w:tr w14:paraId="782E24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13" w:type="dxa"/>
                  <w:noWrap w:val="0"/>
                  <w:vAlign w:val="center"/>
                </w:tcPr>
                <w:p w14:paraId="1CDA8648">
                  <w:pPr>
                    <w:pStyle w:val="140"/>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cs="Times New Roman"/>
                      <w:b/>
                      <w:color w:val="auto"/>
                      <w:sz w:val="21"/>
                      <w:szCs w:val="21"/>
                    </w:rPr>
                  </w:pPr>
                  <w:r>
                    <w:rPr>
                      <w:rFonts w:cs="Times New Roman"/>
                      <w:color w:val="auto"/>
                      <w:sz w:val="21"/>
                      <w:szCs w:val="21"/>
                    </w:rPr>
                    <w:t>环境准入负面清单</w:t>
                  </w:r>
                </w:p>
              </w:tc>
              <w:tc>
                <w:tcPr>
                  <w:tcW w:w="6583" w:type="dxa"/>
                  <w:noWrap w:val="0"/>
                  <w:vAlign w:val="center"/>
                </w:tcPr>
                <w:p w14:paraId="7BC9F042">
                  <w:pPr>
                    <w:pStyle w:val="140"/>
                    <w:keepNext w:val="0"/>
                    <w:keepLines w:val="0"/>
                    <w:pageBreakBefore w:val="0"/>
                    <w:widowControl w:val="0"/>
                    <w:kinsoku/>
                    <w:wordWrap/>
                    <w:overflowPunct/>
                    <w:topLinePunct w:val="0"/>
                    <w:bidi w:val="0"/>
                    <w:adjustRightInd/>
                    <w:snapToGrid w:val="0"/>
                    <w:spacing w:line="240" w:lineRule="auto"/>
                    <w:ind w:firstLine="420" w:firstLineChars="200"/>
                    <w:textAlignment w:val="auto"/>
                    <w:rPr>
                      <w:rFonts w:hint="eastAsia" w:cs="Times New Roman"/>
                      <w:b/>
                      <w:color w:val="auto"/>
                      <w:sz w:val="21"/>
                      <w:szCs w:val="21"/>
                    </w:rPr>
                  </w:pPr>
                  <w:r>
                    <w:rPr>
                      <w:rFonts w:hint="eastAsia" w:cs="Times New Roman"/>
                      <w:color w:val="auto"/>
                      <w:sz w:val="21"/>
                      <w:szCs w:val="21"/>
                    </w:rPr>
                    <w:t>本项目</w:t>
                  </w:r>
                  <w:r>
                    <w:rPr>
                      <w:rFonts w:cs="Times New Roman"/>
                      <w:color w:val="auto"/>
                      <w:sz w:val="21"/>
                      <w:szCs w:val="21"/>
                    </w:rPr>
                    <w:t>位于</w:t>
                  </w:r>
                  <w:r>
                    <w:rPr>
                      <w:rFonts w:hint="eastAsia" w:cs="Times New Roman"/>
                      <w:color w:val="auto"/>
                      <w:sz w:val="21"/>
                      <w:szCs w:val="21"/>
                      <w:lang w:val="en-US" w:eastAsia="zh-CN"/>
                    </w:rPr>
                    <w:t>江西省九江市</w:t>
                  </w:r>
                  <w:r>
                    <w:rPr>
                      <w:rFonts w:hint="eastAsia" w:cs="Times New Roman"/>
                      <w:color w:val="auto"/>
                      <w:sz w:val="21"/>
                      <w:szCs w:val="21"/>
                      <w:lang w:eastAsia="zh-CN"/>
                    </w:rPr>
                    <w:t>柴桑区</w:t>
                  </w:r>
                  <w:r>
                    <w:rPr>
                      <w:rFonts w:hint="eastAsia" w:cs="Times New Roman"/>
                      <w:color w:val="auto"/>
                      <w:sz w:val="21"/>
                      <w:szCs w:val="21"/>
                    </w:rPr>
                    <w:t>通江大道西侧、城门街道南垅新村南侧</w:t>
                  </w:r>
                  <w:r>
                    <w:rPr>
                      <w:rFonts w:cs="Times New Roman"/>
                      <w:color w:val="auto"/>
                      <w:sz w:val="21"/>
                      <w:szCs w:val="21"/>
                    </w:rPr>
                    <w:t>，</w:t>
                  </w:r>
                  <w:r>
                    <w:rPr>
                      <w:rFonts w:hint="eastAsia" w:cs="Times New Roman"/>
                      <w:color w:val="auto"/>
                      <w:sz w:val="21"/>
                      <w:szCs w:val="21"/>
                    </w:rPr>
                    <w:t>不</w:t>
                  </w:r>
                  <w:r>
                    <w:rPr>
                      <w:rFonts w:cs="Times New Roman"/>
                      <w:color w:val="auto"/>
                      <w:sz w:val="21"/>
                      <w:szCs w:val="21"/>
                    </w:rPr>
                    <w:t>属于化工项目，不属于长江经济带负面清单内容（详见下文）</w:t>
                  </w:r>
                  <w:r>
                    <w:rPr>
                      <w:rFonts w:hint="eastAsia" w:cs="Times New Roman"/>
                      <w:color w:val="auto"/>
                      <w:sz w:val="21"/>
                      <w:szCs w:val="21"/>
                    </w:rPr>
                    <w:t>。</w:t>
                  </w:r>
                </w:p>
              </w:tc>
            </w:tr>
          </w:tbl>
          <w:p w14:paraId="0BC7990C">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color w:val="auto"/>
                <w:kern w:val="21"/>
              </w:rPr>
            </w:pPr>
            <w:r>
              <w:rPr>
                <w:rFonts w:hint="eastAsia" w:ascii="宋体" w:hAnsi="宋体" w:eastAsia="宋体" w:cs="宋体"/>
                <w:color w:val="auto"/>
                <w:kern w:val="21"/>
              </w:rPr>
              <w:t>综上所述，本项目建设与“三线一单”相符。</w:t>
            </w:r>
          </w:p>
          <w:p w14:paraId="6A4DAB5E">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color w:val="auto"/>
                <w:kern w:val="21"/>
              </w:rPr>
            </w:pPr>
            <w:r>
              <w:rPr>
                <w:rFonts w:hint="eastAsia" w:ascii="Times New Roman" w:hAnsi="Times New Roman" w:eastAsia="宋体" w:cs="Times New Roman"/>
                <w:b/>
                <w:bCs/>
                <w:color w:val="auto"/>
                <w:lang w:val="en-US" w:eastAsia="zh-CN"/>
              </w:rPr>
              <w:t>4、项目与《长江经济带发展负面清单指南（试行，2022年版）的通知》（长江办〔2022〕7号）相符性分析</w:t>
            </w:r>
          </w:p>
          <w:p w14:paraId="6131E285">
            <w:pPr>
              <w:pStyle w:val="111"/>
              <w:keepNext w:val="0"/>
              <w:keepLines w:val="0"/>
              <w:pageBreakBefore w:val="0"/>
              <w:widowControl w:val="0"/>
              <w:kinsoku/>
              <w:wordWrap/>
              <w:overflowPunct w:val="0"/>
              <w:topLinePunct w:val="0"/>
              <w:autoSpaceDE w:val="0"/>
              <w:autoSpaceDN w:val="0"/>
              <w:bidi w:val="0"/>
              <w:adjustRightInd/>
              <w:snapToGrid/>
              <w:spacing w:before="0" w:after="0"/>
              <w:ind w:right="0"/>
              <w:textAlignment w:val="auto"/>
              <w:rPr>
                <w:rFonts w:ascii="Times New Roman" w:eastAsia="宋体"/>
                <w:color w:val="auto"/>
              </w:rPr>
            </w:pPr>
            <w:r>
              <w:rPr>
                <w:rFonts w:ascii="Times New Roman" w:eastAsia="宋体"/>
                <w:color w:val="auto"/>
              </w:rPr>
              <w:t>表1-</w:t>
            </w:r>
            <w:r>
              <w:rPr>
                <w:rFonts w:hint="eastAsia" w:ascii="Times New Roman" w:eastAsia="宋体"/>
                <w:color w:val="auto"/>
                <w:lang w:val="en-US" w:eastAsia="zh-CN"/>
              </w:rPr>
              <w:t>5</w:t>
            </w:r>
            <w:r>
              <w:rPr>
                <w:rFonts w:ascii="Times New Roman" w:eastAsia="宋体"/>
                <w:color w:val="auto"/>
              </w:rPr>
              <w:t xml:space="preserve">   项目与《长江经济带发展负面清单指南（试行，2022年版）的通知》</w:t>
            </w:r>
            <w:r>
              <w:rPr>
                <w:rFonts w:hint="eastAsia" w:ascii="Times New Roman" w:eastAsia="宋体"/>
                <w:color w:val="auto"/>
                <w:lang w:val="en-US" w:eastAsia="zh-CN"/>
              </w:rPr>
              <w:t>（长江办〔2022〕7号）</w:t>
            </w:r>
            <w:r>
              <w:rPr>
                <w:rFonts w:ascii="Times New Roman" w:eastAsia="宋体"/>
                <w:color w:val="auto"/>
              </w:rPr>
              <w:t>相符性分析</w:t>
            </w:r>
          </w:p>
          <w:tbl>
            <w:tblPr>
              <w:tblStyle w:val="35"/>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43"/>
              <w:gridCol w:w="4200"/>
              <w:gridCol w:w="2517"/>
              <w:gridCol w:w="679"/>
            </w:tblGrid>
            <w:tr w14:paraId="445412D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43" w:type="dxa"/>
                  <w:noWrap w:val="0"/>
                  <w:vAlign w:val="center"/>
                </w:tcPr>
                <w:p w14:paraId="7F9BB1BE">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b/>
                      <w:color w:val="auto"/>
                      <w:sz w:val="21"/>
                      <w:szCs w:val="21"/>
                    </w:rPr>
                  </w:pPr>
                  <w:r>
                    <w:rPr>
                      <w:rFonts w:hint="eastAsia"/>
                      <w:b/>
                      <w:color w:val="auto"/>
                      <w:sz w:val="21"/>
                      <w:szCs w:val="21"/>
                    </w:rPr>
                    <w:t>序号</w:t>
                  </w:r>
                </w:p>
              </w:tc>
              <w:tc>
                <w:tcPr>
                  <w:tcW w:w="4200" w:type="dxa"/>
                  <w:noWrap w:val="0"/>
                  <w:vAlign w:val="center"/>
                </w:tcPr>
                <w:p w14:paraId="188F50FB">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b/>
                      <w:color w:val="auto"/>
                      <w:sz w:val="21"/>
                      <w:szCs w:val="21"/>
                    </w:rPr>
                  </w:pPr>
                  <w:r>
                    <w:rPr>
                      <w:b/>
                      <w:color w:val="auto"/>
                      <w:sz w:val="21"/>
                      <w:szCs w:val="21"/>
                    </w:rPr>
                    <w:t>内容</w:t>
                  </w:r>
                </w:p>
              </w:tc>
              <w:tc>
                <w:tcPr>
                  <w:tcW w:w="2517" w:type="dxa"/>
                  <w:noWrap w:val="0"/>
                  <w:vAlign w:val="center"/>
                </w:tcPr>
                <w:p w14:paraId="0A62480F">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b/>
                      <w:color w:val="auto"/>
                      <w:sz w:val="21"/>
                      <w:szCs w:val="21"/>
                    </w:rPr>
                  </w:pPr>
                  <w:r>
                    <w:rPr>
                      <w:rFonts w:hint="eastAsia"/>
                      <w:b/>
                      <w:color w:val="auto"/>
                      <w:sz w:val="21"/>
                      <w:szCs w:val="21"/>
                      <w:lang w:val="en-US" w:eastAsia="zh-CN"/>
                    </w:rPr>
                    <w:t>相符</w:t>
                  </w:r>
                  <w:r>
                    <w:rPr>
                      <w:b/>
                      <w:color w:val="auto"/>
                      <w:sz w:val="21"/>
                      <w:szCs w:val="21"/>
                    </w:rPr>
                    <w:t>性分析</w:t>
                  </w:r>
                </w:p>
              </w:tc>
              <w:tc>
                <w:tcPr>
                  <w:tcW w:w="679" w:type="dxa"/>
                  <w:noWrap w:val="0"/>
                  <w:vAlign w:val="center"/>
                </w:tcPr>
                <w:p w14:paraId="4BD56C95">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b/>
                      <w:color w:val="auto"/>
                      <w:sz w:val="21"/>
                      <w:szCs w:val="21"/>
                    </w:rPr>
                  </w:pPr>
                  <w:r>
                    <w:rPr>
                      <w:rFonts w:hint="eastAsia"/>
                      <w:b/>
                      <w:color w:val="auto"/>
                      <w:sz w:val="21"/>
                      <w:szCs w:val="21"/>
                    </w:rPr>
                    <w:t>结论</w:t>
                  </w:r>
                </w:p>
              </w:tc>
            </w:tr>
            <w:tr w14:paraId="770B4DE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43" w:type="dxa"/>
                  <w:noWrap w:val="0"/>
                  <w:vAlign w:val="center"/>
                </w:tcPr>
                <w:p w14:paraId="292041D4">
                  <w:pPr>
                    <w:pStyle w:val="61"/>
                    <w:adjustRightInd w:val="0"/>
                    <w:snapToGrid w:val="0"/>
                    <w:rPr>
                      <w:rFonts w:hint="eastAsia" w:ascii="Times New Roman" w:hAnsi="Times New Roman" w:eastAsia="宋体"/>
                      <w:color w:val="auto"/>
                      <w:sz w:val="21"/>
                      <w:szCs w:val="21"/>
                    </w:rPr>
                  </w:pPr>
                  <w:r>
                    <w:rPr>
                      <w:rFonts w:hint="eastAsia" w:ascii="Times New Roman" w:hAnsi="Times New Roman" w:eastAsia="宋体"/>
                      <w:color w:val="auto"/>
                      <w:sz w:val="21"/>
                      <w:szCs w:val="21"/>
                    </w:rPr>
                    <w:t>1</w:t>
                  </w:r>
                </w:p>
              </w:tc>
              <w:tc>
                <w:tcPr>
                  <w:tcW w:w="4200" w:type="dxa"/>
                  <w:noWrap w:val="0"/>
                  <w:vAlign w:val="center"/>
                </w:tcPr>
                <w:p w14:paraId="50BF5564">
                  <w:pPr>
                    <w:pStyle w:val="61"/>
                    <w:keepNext w:val="0"/>
                    <w:keepLines w:val="0"/>
                    <w:pageBreakBefore w:val="0"/>
                    <w:widowControl w:val="0"/>
                    <w:kinsoku/>
                    <w:wordWrap/>
                    <w:overflowPunct/>
                    <w:topLinePunct w:val="0"/>
                    <w:autoSpaceDE/>
                    <w:autoSpaceDN/>
                    <w:bidi w:val="0"/>
                    <w:adjustRightInd/>
                    <w:snapToGrid w:val="0"/>
                    <w:ind w:firstLine="428" w:firstLineChars="200"/>
                    <w:jc w:val="both"/>
                    <w:textAlignment w:val="auto"/>
                    <w:rPr>
                      <w:rFonts w:ascii="Times New Roman" w:hAnsi="Times New Roman" w:eastAsia="宋体"/>
                      <w:color w:val="auto"/>
                      <w:sz w:val="21"/>
                      <w:szCs w:val="21"/>
                    </w:rPr>
                  </w:pPr>
                  <w:r>
                    <w:rPr>
                      <w:rFonts w:ascii="Times New Roman" w:hAnsi="Times New Roman" w:eastAsia="宋体"/>
                      <w:color w:val="auto"/>
                      <w:sz w:val="21"/>
                      <w:szCs w:val="21"/>
                    </w:rPr>
                    <w:t>禁止建设不符合全国和省级港口布局规划以及港口总体规划的码头项目，禁止建设不符合《长江干线过江通道布局规划》的过长江通道项目。</w:t>
                  </w:r>
                </w:p>
              </w:tc>
              <w:tc>
                <w:tcPr>
                  <w:tcW w:w="2517" w:type="dxa"/>
                  <w:noWrap w:val="0"/>
                  <w:vAlign w:val="center"/>
                </w:tcPr>
                <w:p w14:paraId="1B725416">
                  <w:pPr>
                    <w:keepNext w:val="0"/>
                    <w:keepLines w:val="0"/>
                    <w:pageBreakBefore w:val="0"/>
                    <w:widowControl w:val="0"/>
                    <w:kinsoku/>
                    <w:wordWrap/>
                    <w:overflowPunct/>
                    <w:topLinePunct w:val="0"/>
                    <w:autoSpaceDE/>
                    <w:autoSpaceDN/>
                    <w:bidi w:val="0"/>
                    <w:adjustRightInd/>
                    <w:snapToGrid w:val="0"/>
                    <w:spacing w:line="240" w:lineRule="auto"/>
                    <w:ind w:left="0" w:leftChars="0" w:firstLine="428" w:firstLineChars="200"/>
                    <w:textAlignment w:val="auto"/>
                    <w:rPr>
                      <w:rFonts w:hint="eastAsia" w:eastAsia="宋体"/>
                      <w:b/>
                      <w:color w:val="auto"/>
                      <w:szCs w:val="21"/>
                      <w:lang w:eastAsia="zh-CN"/>
                    </w:rPr>
                  </w:pPr>
                  <w:r>
                    <w:rPr>
                      <w:rFonts w:hint="eastAsia" w:ascii="Times New Roman" w:hAnsi="Times New Roman" w:eastAsia="宋体" w:cs="Times New Roman"/>
                      <w:color w:val="auto"/>
                      <w:spacing w:val="2"/>
                      <w:kern w:val="2"/>
                      <w:sz w:val="21"/>
                      <w:szCs w:val="21"/>
                      <w:lang w:val="en-US" w:eastAsia="zh-CN" w:bidi="ar-SA"/>
                    </w:rPr>
                    <w:t>本项目为机动车燃油零售</w:t>
                  </w:r>
                  <w:r>
                    <w:rPr>
                      <w:rFonts w:hint="eastAsia" w:cs="Times New Roman"/>
                      <w:color w:val="auto"/>
                      <w:spacing w:val="2"/>
                      <w:kern w:val="2"/>
                      <w:sz w:val="21"/>
                      <w:szCs w:val="21"/>
                      <w:lang w:val="en-US" w:eastAsia="zh-CN" w:bidi="ar-SA"/>
                    </w:rPr>
                    <w:t>项目</w:t>
                  </w:r>
                  <w:r>
                    <w:rPr>
                      <w:rFonts w:ascii="Times New Roman" w:hAnsi="Times New Roman" w:eastAsia="宋体" w:cs="Times New Roman"/>
                      <w:color w:val="auto"/>
                      <w:spacing w:val="2"/>
                      <w:kern w:val="2"/>
                      <w:sz w:val="21"/>
                      <w:szCs w:val="21"/>
                      <w:lang w:val="en-US" w:eastAsia="zh-CN" w:bidi="ar-SA"/>
                    </w:rPr>
                    <w:t>，</w:t>
                  </w:r>
                  <w:r>
                    <w:rPr>
                      <w:rFonts w:hint="eastAsia" w:ascii="Times New Roman" w:hAnsi="Times New Roman" w:eastAsia="宋体"/>
                      <w:color w:val="auto"/>
                      <w:sz w:val="21"/>
                      <w:szCs w:val="21"/>
                    </w:rPr>
                    <w:t>不属于码头和过</w:t>
                  </w:r>
                  <w:r>
                    <w:rPr>
                      <w:rFonts w:ascii="Times New Roman" w:hAnsi="Times New Roman" w:eastAsia="宋体"/>
                      <w:color w:val="auto"/>
                      <w:sz w:val="21"/>
                      <w:szCs w:val="21"/>
                    </w:rPr>
                    <w:t>长江</w:t>
                  </w:r>
                  <w:r>
                    <w:rPr>
                      <w:rFonts w:hint="eastAsia" w:ascii="Times New Roman" w:hAnsi="Times New Roman" w:eastAsia="宋体"/>
                      <w:color w:val="auto"/>
                      <w:sz w:val="21"/>
                      <w:szCs w:val="21"/>
                    </w:rPr>
                    <w:t>通道项目</w:t>
                  </w:r>
                  <w:r>
                    <w:rPr>
                      <w:rFonts w:hint="eastAsia" w:eastAsia="宋体"/>
                      <w:color w:val="auto"/>
                      <w:sz w:val="21"/>
                      <w:szCs w:val="21"/>
                      <w:lang w:eastAsia="zh-CN"/>
                    </w:rPr>
                    <w:t>。</w:t>
                  </w:r>
                </w:p>
              </w:tc>
              <w:tc>
                <w:tcPr>
                  <w:tcW w:w="679" w:type="dxa"/>
                  <w:noWrap w:val="0"/>
                  <w:vAlign w:val="center"/>
                </w:tcPr>
                <w:p w14:paraId="064474F1">
                  <w:pPr>
                    <w:snapToGrid w:val="0"/>
                    <w:ind w:left="0" w:leftChars="0" w:firstLine="0" w:firstLineChars="0"/>
                    <w:jc w:val="center"/>
                    <w:rPr>
                      <w:rFonts w:hint="eastAsia"/>
                      <w:color w:val="auto"/>
                      <w:sz w:val="21"/>
                      <w:szCs w:val="21"/>
                    </w:rPr>
                  </w:pPr>
                  <w:r>
                    <w:rPr>
                      <w:rFonts w:hint="eastAsia"/>
                      <w:color w:val="auto"/>
                      <w:sz w:val="21"/>
                      <w:szCs w:val="21"/>
                    </w:rPr>
                    <w:t>符合</w:t>
                  </w:r>
                </w:p>
              </w:tc>
            </w:tr>
            <w:tr w14:paraId="4AD0BDB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43" w:type="dxa"/>
                  <w:noWrap w:val="0"/>
                  <w:vAlign w:val="center"/>
                </w:tcPr>
                <w:p w14:paraId="2B20E7A8">
                  <w:pPr>
                    <w:pStyle w:val="61"/>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2</w:t>
                  </w:r>
                </w:p>
              </w:tc>
              <w:tc>
                <w:tcPr>
                  <w:tcW w:w="4200" w:type="dxa"/>
                  <w:noWrap w:val="0"/>
                  <w:vAlign w:val="center"/>
                </w:tcPr>
                <w:p w14:paraId="0B7F28BB">
                  <w:pPr>
                    <w:pStyle w:val="61"/>
                    <w:keepNext w:val="0"/>
                    <w:keepLines w:val="0"/>
                    <w:pageBreakBefore w:val="0"/>
                    <w:widowControl w:val="0"/>
                    <w:kinsoku/>
                    <w:wordWrap/>
                    <w:overflowPunct/>
                    <w:topLinePunct w:val="0"/>
                    <w:autoSpaceDE/>
                    <w:autoSpaceDN/>
                    <w:bidi w:val="0"/>
                    <w:adjustRightInd/>
                    <w:snapToGrid w:val="0"/>
                    <w:ind w:firstLine="428" w:firstLineChars="200"/>
                    <w:jc w:val="both"/>
                    <w:textAlignment w:val="auto"/>
                    <w:rPr>
                      <w:rFonts w:ascii="Times New Roman" w:hAnsi="Times New Roman" w:eastAsia="宋体"/>
                      <w:color w:val="auto"/>
                      <w:sz w:val="21"/>
                      <w:szCs w:val="21"/>
                    </w:rPr>
                  </w:pPr>
                  <w:r>
                    <w:rPr>
                      <w:rFonts w:ascii="Times New Roman" w:hAnsi="Times New Roman" w:eastAsia="宋体"/>
                      <w:color w:val="auto"/>
                      <w:sz w:val="21"/>
                      <w:szCs w:val="21"/>
                    </w:rPr>
                    <w:t>禁止在自然保护区核心区、缓冲区的岸线和河段范围内投资建设旅游和生产经营项目。禁止在风景名胜区核心景区的岸线和河段范围内投资建设与风景名胜资源保护无关的项目。</w:t>
                  </w:r>
                </w:p>
              </w:tc>
              <w:tc>
                <w:tcPr>
                  <w:tcW w:w="2517" w:type="dxa"/>
                  <w:noWrap w:val="0"/>
                  <w:vAlign w:val="center"/>
                </w:tcPr>
                <w:p w14:paraId="16661116">
                  <w:pPr>
                    <w:keepNext w:val="0"/>
                    <w:keepLines w:val="0"/>
                    <w:pageBreakBefore w:val="0"/>
                    <w:widowControl w:val="0"/>
                    <w:kinsoku/>
                    <w:wordWrap/>
                    <w:overflowPunct/>
                    <w:topLinePunct w:val="0"/>
                    <w:autoSpaceDE/>
                    <w:autoSpaceDN/>
                    <w:bidi w:val="0"/>
                    <w:adjustRightInd/>
                    <w:snapToGrid w:val="0"/>
                    <w:spacing w:line="240" w:lineRule="auto"/>
                    <w:ind w:left="0" w:leftChars="0" w:firstLine="428" w:firstLineChars="200"/>
                    <w:textAlignment w:val="auto"/>
                    <w:rPr>
                      <w:rFonts w:hint="eastAsia"/>
                      <w:b/>
                      <w:color w:val="auto"/>
                      <w:szCs w:val="21"/>
                    </w:rPr>
                  </w:pPr>
                  <w:r>
                    <w:rPr>
                      <w:rFonts w:hint="eastAsia" w:ascii="Times New Roman" w:hAnsi="Times New Roman" w:eastAsia="宋体" w:cs="Times New Roman"/>
                      <w:color w:val="auto"/>
                      <w:spacing w:val="2"/>
                      <w:kern w:val="2"/>
                      <w:sz w:val="21"/>
                      <w:szCs w:val="21"/>
                      <w:lang w:val="en-US" w:eastAsia="zh-CN" w:bidi="ar-SA"/>
                    </w:rPr>
                    <w:t>本项目不在自然保护区核心区、缓冲区的岸线和河段范围内</w:t>
                  </w:r>
                  <w:r>
                    <w:rPr>
                      <w:rFonts w:hint="eastAsia" w:cs="Times New Roman"/>
                      <w:color w:val="auto"/>
                      <w:spacing w:val="2"/>
                      <w:kern w:val="2"/>
                      <w:sz w:val="21"/>
                      <w:szCs w:val="21"/>
                      <w:lang w:val="en-US" w:eastAsia="zh-CN" w:bidi="ar-SA"/>
                    </w:rPr>
                    <w:t>，</w:t>
                  </w:r>
                  <w:r>
                    <w:rPr>
                      <w:rFonts w:hint="eastAsia" w:ascii="Times New Roman" w:hAnsi="Times New Roman" w:eastAsia="宋体"/>
                      <w:color w:val="auto"/>
                      <w:sz w:val="21"/>
                      <w:szCs w:val="21"/>
                      <w:lang w:val="en-US" w:eastAsia="zh-CN"/>
                    </w:rPr>
                    <w:t>不在</w:t>
                  </w:r>
                  <w:r>
                    <w:rPr>
                      <w:rFonts w:ascii="Times New Roman" w:hAnsi="Times New Roman" w:eastAsia="宋体"/>
                      <w:color w:val="auto"/>
                      <w:sz w:val="21"/>
                      <w:szCs w:val="21"/>
                    </w:rPr>
                    <w:t>风景名胜区核心景区的岸线和河段范围内</w:t>
                  </w:r>
                  <w:r>
                    <w:rPr>
                      <w:rFonts w:hint="eastAsia" w:ascii="Times New Roman" w:hAnsi="Times New Roman" w:eastAsia="宋体" w:cs="Times New Roman"/>
                      <w:color w:val="auto"/>
                      <w:spacing w:val="2"/>
                      <w:kern w:val="2"/>
                      <w:sz w:val="21"/>
                      <w:szCs w:val="21"/>
                      <w:lang w:val="en-US" w:eastAsia="zh-CN" w:bidi="ar-SA"/>
                    </w:rPr>
                    <w:t>。</w:t>
                  </w:r>
                </w:p>
              </w:tc>
              <w:tc>
                <w:tcPr>
                  <w:tcW w:w="679" w:type="dxa"/>
                  <w:noWrap w:val="0"/>
                  <w:vAlign w:val="center"/>
                </w:tcPr>
                <w:p w14:paraId="59E38506">
                  <w:pPr>
                    <w:snapToGrid w:val="0"/>
                    <w:ind w:left="0" w:leftChars="0" w:firstLine="0" w:firstLineChars="0"/>
                    <w:jc w:val="center"/>
                    <w:rPr>
                      <w:rFonts w:hint="eastAsia"/>
                      <w:color w:val="auto"/>
                      <w:sz w:val="21"/>
                      <w:szCs w:val="21"/>
                    </w:rPr>
                  </w:pPr>
                  <w:r>
                    <w:rPr>
                      <w:rFonts w:hint="eastAsia"/>
                      <w:color w:val="auto"/>
                      <w:sz w:val="21"/>
                      <w:szCs w:val="21"/>
                    </w:rPr>
                    <w:t>符合</w:t>
                  </w:r>
                </w:p>
              </w:tc>
            </w:tr>
            <w:tr w14:paraId="6A5A5F9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43" w:type="dxa"/>
                  <w:noWrap w:val="0"/>
                  <w:vAlign w:val="center"/>
                </w:tcPr>
                <w:p w14:paraId="5BDFE859">
                  <w:pPr>
                    <w:pStyle w:val="61"/>
                    <w:adjustRightInd w:val="0"/>
                    <w:snapToGrid w:val="0"/>
                    <w:rPr>
                      <w:rFonts w:hint="eastAsia" w:ascii="Times New Roman" w:hAnsi="Times New Roman" w:eastAsia="宋体"/>
                      <w:color w:val="auto"/>
                      <w:sz w:val="21"/>
                      <w:szCs w:val="21"/>
                    </w:rPr>
                  </w:pPr>
                  <w:r>
                    <w:rPr>
                      <w:rFonts w:hint="eastAsia" w:ascii="Times New Roman" w:hAnsi="Times New Roman" w:eastAsia="宋体"/>
                      <w:color w:val="auto"/>
                      <w:sz w:val="21"/>
                      <w:szCs w:val="21"/>
                    </w:rPr>
                    <w:t>3</w:t>
                  </w:r>
                </w:p>
              </w:tc>
              <w:tc>
                <w:tcPr>
                  <w:tcW w:w="4200" w:type="dxa"/>
                  <w:noWrap w:val="0"/>
                  <w:vAlign w:val="center"/>
                </w:tcPr>
                <w:p w14:paraId="4B8E3D37">
                  <w:pPr>
                    <w:pStyle w:val="61"/>
                    <w:keepNext w:val="0"/>
                    <w:keepLines w:val="0"/>
                    <w:pageBreakBefore w:val="0"/>
                    <w:widowControl w:val="0"/>
                    <w:kinsoku/>
                    <w:wordWrap/>
                    <w:overflowPunct/>
                    <w:topLinePunct w:val="0"/>
                    <w:autoSpaceDE/>
                    <w:autoSpaceDN/>
                    <w:bidi w:val="0"/>
                    <w:adjustRightInd/>
                    <w:snapToGrid w:val="0"/>
                    <w:ind w:firstLine="428" w:firstLineChars="200"/>
                    <w:jc w:val="both"/>
                    <w:textAlignment w:val="auto"/>
                    <w:rPr>
                      <w:rFonts w:ascii="Times New Roman" w:hAnsi="Times New Roman" w:eastAsia="宋体"/>
                      <w:color w:val="auto"/>
                      <w:sz w:val="21"/>
                      <w:szCs w:val="21"/>
                    </w:rPr>
                  </w:pPr>
                  <w:r>
                    <w:rPr>
                      <w:rFonts w:ascii="Times New Roman" w:hAnsi="Times New Roman" w:eastAsia="宋体"/>
                      <w:color w:val="auto"/>
                      <w:sz w:val="21"/>
                      <w:szCs w:val="21"/>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2517" w:type="dxa"/>
                  <w:noWrap w:val="0"/>
                  <w:vAlign w:val="center"/>
                </w:tcPr>
                <w:p w14:paraId="2ABF80DE">
                  <w:pPr>
                    <w:keepNext w:val="0"/>
                    <w:keepLines w:val="0"/>
                    <w:pageBreakBefore w:val="0"/>
                    <w:widowControl w:val="0"/>
                    <w:kinsoku/>
                    <w:wordWrap/>
                    <w:overflowPunct/>
                    <w:topLinePunct w:val="0"/>
                    <w:autoSpaceDE/>
                    <w:autoSpaceDN/>
                    <w:bidi w:val="0"/>
                    <w:adjustRightInd/>
                    <w:snapToGrid w:val="0"/>
                    <w:spacing w:line="240" w:lineRule="auto"/>
                    <w:ind w:left="0" w:leftChars="0" w:firstLine="428" w:firstLineChars="200"/>
                    <w:textAlignment w:val="auto"/>
                    <w:rPr>
                      <w:rFonts w:hint="eastAsia"/>
                      <w:color w:val="auto"/>
                      <w:szCs w:val="21"/>
                    </w:rPr>
                  </w:pPr>
                  <w:r>
                    <w:rPr>
                      <w:rFonts w:hint="eastAsia" w:ascii="Times New Roman" w:hAnsi="Times New Roman" w:eastAsia="宋体" w:cs="Times New Roman"/>
                      <w:color w:val="auto"/>
                      <w:spacing w:val="2"/>
                      <w:kern w:val="2"/>
                      <w:sz w:val="21"/>
                      <w:szCs w:val="21"/>
                      <w:lang w:val="en-US" w:eastAsia="zh-CN" w:bidi="ar-SA"/>
                    </w:rPr>
                    <w:t>本项目不在饮用水水源一级保护区的岸线和河段范围内，不在饮用水水源二级保护区的岸线和河段范围内。</w:t>
                  </w:r>
                </w:p>
              </w:tc>
              <w:tc>
                <w:tcPr>
                  <w:tcW w:w="679" w:type="dxa"/>
                  <w:noWrap w:val="0"/>
                  <w:vAlign w:val="center"/>
                </w:tcPr>
                <w:p w14:paraId="2365885B">
                  <w:pPr>
                    <w:snapToGrid w:val="0"/>
                    <w:ind w:left="0" w:leftChars="0" w:firstLine="0" w:firstLineChars="0"/>
                    <w:jc w:val="center"/>
                    <w:rPr>
                      <w:rFonts w:hint="eastAsia"/>
                      <w:color w:val="auto"/>
                      <w:sz w:val="21"/>
                      <w:szCs w:val="21"/>
                    </w:rPr>
                  </w:pPr>
                  <w:r>
                    <w:rPr>
                      <w:rFonts w:hint="eastAsia"/>
                      <w:color w:val="auto"/>
                      <w:sz w:val="21"/>
                      <w:szCs w:val="21"/>
                    </w:rPr>
                    <w:t>符合</w:t>
                  </w:r>
                </w:p>
              </w:tc>
            </w:tr>
            <w:tr w14:paraId="3011F28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43" w:type="dxa"/>
                  <w:noWrap w:val="0"/>
                  <w:vAlign w:val="center"/>
                </w:tcPr>
                <w:p w14:paraId="5B8C26F5">
                  <w:pPr>
                    <w:pStyle w:val="61"/>
                    <w:adjustRightInd w:val="0"/>
                    <w:snapToGrid w:val="0"/>
                    <w:rPr>
                      <w:rFonts w:hint="eastAsia" w:ascii="Times New Roman" w:hAnsi="Times New Roman" w:eastAsia="宋体"/>
                      <w:color w:val="auto"/>
                      <w:sz w:val="21"/>
                      <w:szCs w:val="21"/>
                    </w:rPr>
                  </w:pPr>
                  <w:r>
                    <w:rPr>
                      <w:rFonts w:hint="eastAsia" w:ascii="Times New Roman" w:hAnsi="Times New Roman" w:eastAsia="宋体"/>
                      <w:color w:val="auto"/>
                      <w:sz w:val="21"/>
                      <w:szCs w:val="21"/>
                    </w:rPr>
                    <w:t>4</w:t>
                  </w:r>
                </w:p>
              </w:tc>
              <w:tc>
                <w:tcPr>
                  <w:tcW w:w="4200" w:type="dxa"/>
                  <w:noWrap w:val="0"/>
                  <w:vAlign w:val="center"/>
                </w:tcPr>
                <w:p w14:paraId="2297F07E">
                  <w:pPr>
                    <w:pStyle w:val="61"/>
                    <w:keepNext w:val="0"/>
                    <w:keepLines w:val="0"/>
                    <w:pageBreakBefore w:val="0"/>
                    <w:widowControl w:val="0"/>
                    <w:kinsoku/>
                    <w:wordWrap/>
                    <w:overflowPunct/>
                    <w:topLinePunct w:val="0"/>
                    <w:autoSpaceDE/>
                    <w:autoSpaceDN/>
                    <w:bidi w:val="0"/>
                    <w:adjustRightInd/>
                    <w:snapToGrid w:val="0"/>
                    <w:ind w:firstLine="428" w:firstLineChars="200"/>
                    <w:jc w:val="both"/>
                    <w:textAlignment w:val="auto"/>
                    <w:rPr>
                      <w:rFonts w:ascii="Times New Roman" w:hAnsi="Times New Roman" w:eastAsia="宋体"/>
                      <w:color w:val="auto"/>
                      <w:sz w:val="21"/>
                      <w:szCs w:val="21"/>
                    </w:rPr>
                  </w:pPr>
                  <w:r>
                    <w:rPr>
                      <w:rFonts w:ascii="Times New Roman" w:hAnsi="Times New Roman" w:eastAsia="宋体"/>
                      <w:color w:val="auto"/>
                      <w:sz w:val="21"/>
                      <w:szCs w:val="21"/>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2517" w:type="dxa"/>
                  <w:noWrap w:val="0"/>
                  <w:vAlign w:val="center"/>
                </w:tcPr>
                <w:p w14:paraId="3548CED0">
                  <w:pPr>
                    <w:keepNext w:val="0"/>
                    <w:keepLines w:val="0"/>
                    <w:pageBreakBefore w:val="0"/>
                    <w:widowControl w:val="0"/>
                    <w:kinsoku/>
                    <w:wordWrap/>
                    <w:overflowPunct/>
                    <w:topLinePunct w:val="0"/>
                    <w:autoSpaceDE/>
                    <w:autoSpaceDN/>
                    <w:bidi w:val="0"/>
                    <w:adjustRightInd/>
                    <w:snapToGrid w:val="0"/>
                    <w:spacing w:line="240" w:lineRule="auto"/>
                    <w:ind w:left="0" w:leftChars="0" w:firstLine="428" w:firstLineChars="200"/>
                    <w:textAlignment w:val="auto"/>
                    <w:rPr>
                      <w:rFonts w:hint="eastAsia"/>
                      <w:color w:val="auto"/>
                      <w:szCs w:val="21"/>
                    </w:rPr>
                  </w:pPr>
                  <w:r>
                    <w:rPr>
                      <w:rFonts w:hint="eastAsia" w:ascii="Times New Roman" w:hAnsi="Times New Roman" w:eastAsia="宋体" w:cs="Times New Roman"/>
                      <w:color w:val="auto"/>
                      <w:spacing w:val="2"/>
                      <w:kern w:val="2"/>
                      <w:sz w:val="21"/>
                      <w:szCs w:val="21"/>
                      <w:lang w:val="en-US" w:eastAsia="zh-CN" w:bidi="ar-SA"/>
                    </w:rPr>
                    <w:t>本项目不在水产种质资源保护区的岸线和河段范围内，不在国家湿地公园的岸线和河段范围内。</w:t>
                  </w:r>
                </w:p>
              </w:tc>
              <w:tc>
                <w:tcPr>
                  <w:tcW w:w="679" w:type="dxa"/>
                  <w:noWrap w:val="0"/>
                  <w:vAlign w:val="center"/>
                </w:tcPr>
                <w:p w14:paraId="3469B99D">
                  <w:pPr>
                    <w:snapToGrid w:val="0"/>
                    <w:ind w:left="0" w:leftChars="0" w:firstLine="0" w:firstLineChars="0"/>
                    <w:jc w:val="center"/>
                    <w:rPr>
                      <w:rFonts w:hint="eastAsia"/>
                      <w:color w:val="auto"/>
                      <w:sz w:val="21"/>
                      <w:szCs w:val="21"/>
                    </w:rPr>
                  </w:pPr>
                  <w:r>
                    <w:rPr>
                      <w:rFonts w:hint="eastAsia"/>
                      <w:color w:val="auto"/>
                      <w:sz w:val="21"/>
                      <w:szCs w:val="21"/>
                    </w:rPr>
                    <w:t>符合</w:t>
                  </w:r>
                </w:p>
              </w:tc>
            </w:tr>
            <w:tr w14:paraId="759744A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43" w:type="dxa"/>
                  <w:noWrap w:val="0"/>
                  <w:vAlign w:val="center"/>
                </w:tcPr>
                <w:p w14:paraId="494AE7B4">
                  <w:pPr>
                    <w:pStyle w:val="61"/>
                    <w:adjustRightInd w:val="0"/>
                    <w:snapToGrid w:val="0"/>
                    <w:rPr>
                      <w:rFonts w:hint="eastAsia" w:ascii="Times New Roman" w:hAnsi="Times New Roman" w:eastAsia="宋体"/>
                      <w:color w:val="auto"/>
                      <w:sz w:val="21"/>
                      <w:szCs w:val="21"/>
                    </w:rPr>
                  </w:pPr>
                  <w:r>
                    <w:rPr>
                      <w:rFonts w:hint="eastAsia" w:ascii="Times New Roman" w:hAnsi="Times New Roman" w:eastAsia="宋体"/>
                      <w:color w:val="auto"/>
                      <w:sz w:val="21"/>
                      <w:szCs w:val="21"/>
                    </w:rPr>
                    <w:t>5</w:t>
                  </w:r>
                </w:p>
              </w:tc>
              <w:tc>
                <w:tcPr>
                  <w:tcW w:w="4200" w:type="dxa"/>
                  <w:noWrap w:val="0"/>
                  <w:vAlign w:val="center"/>
                </w:tcPr>
                <w:p w14:paraId="5D17343F">
                  <w:pPr>
                    <w:pStyle w:val="61"/>
                    <w:keepNext w:val="0"/>
                    <w:keepLines w:val="0"/>
                    <w:pageBreakBefore w:val="0"/>
                    <w:widowControl w:val="0"/>
                    <w:kinsoku/>
                    <w:wordWrap/>
                    <w:overflowPunct/>
                    <w:topLinePunct w:val="0"/>
                    <w:autoSpaceDE/>
                    <w:autoSpaceDN/>
                    <w:bidi w:val="0"/>
                    <w:adjustRightInd/>
                    <w:snapToGrid w:val="0"/>
                    <w:ind w:firstLine="428" w:firstLineChars="200"/>
                    <w:jc w:val="both"/>
                    <w:textAlignment w:val="auto"/>
                    <w:rPr>
                      <w:rFonts w:ascii="Times New Roman" w:hAnsi="Times New Roman" w:eastAsia="宋体"/>
                      <w:color w:val="auto"/>
                      <w:sz w:val="21"/>
                      <w:szCs w:val="21"/>
                    </w:rPr>
                  </w:pPr>
                  <w:r>
                    <w:rPr>
                      <w:rFonts w:ascii="Times New Roman" w:hAnsi="Times New Roman" w:eastAsia="宋体"/>
                      <w:color w:val="auto"/>
                      <w:sz w:val="21"/>
                      <w:szCs w:val="21"/>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2517" w:type="dxa"/>
                  <w:noWrap w:val="0"/>
                  <w:vAlign w:val="center"/>
                </w:tcPr>
                <w:p w14:paraId="33FD5646">
                  <w:pPr>
                    <w:keepNext w:val="0"/>
                    <w:keepLines w:val="0"/>
                    <w:pageBreakBefore w:val="0"/>
                    <w:widowControl w:val="0"/>
                    <w:kinsoku/>
                    <w:wordWrap/>
                    <w:overflowPunct/>
                    <w:topLinePunct w:val="0"/>
                    <w:autoSpaceDE/>
                    <w:autoSpaceDN/>
                    <w:bidi w:val="0"/>
                    <w:adjustRightInd/>
                    <w:snapToGrid w:val="0"/>
                    <w:spacing w:line="240" w:lineRule="auto"/>
                    <w:ind w:left="0" w:leftChars="0" w:firstLine="428" w:firstLineChars="200"/>
                    <w:textAlignment w:val="auto"/>
                    <w:rPr>
                      <w:rFonts w:hint="eastAsia"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s="Times New Roman"/>
                      <w:color w:val="auto"/>
                      <w:spacing w:val="2"/>
                      <w:kern w:val="2"/>
                      <w:sz w:val="21"/>
                      <w:szCs w:val="21"/>
                      <w:lang w:val="en-US" w:eastAsia="zh-CN" w:bidi="ar-SA"/>
                    </w:rPr>
                    <w:t>本项目不在《长江岸线保护和开发利用总体规划》划定的岸线保护区和保留区内，不在《全国重要江河湖泊水功能区划》划定的河段及湖泊保护区、保留区内。</w:t>
                  </w:r>
                </w:p>
              </w:tc>
              <w:tc>
                <w:tcPr>
                  <w:tcW w:w="679" w:type="dxa"/>
                  <w:noWrap w:val="0"/>
                  <w:vAlign w:val="center"/>
                </w:tcPr>
                <w:p w14:paraId="20F436B8">
                  <w:pPr>
                    <w:snapToGrid w:val="0"/>
                    <w:ind w:left="0" w:leftChars="0" w:firstLine="0" w:firstLineChars="0"/>
                    <w:jc w:val="center"/>
                    <w:rPr>
                      <w:rFonts w:hint="eastAsia"/>
                      <w:color w:val="auto"/>
                      <w:sz w:val="21"/>
                      <w:szCs w:val="21"/>
                    </w:rPr>
                  </w:pPr>
                  <w:r>
                    <w:rPr>
                      <w:rFonts w:hint="eastAsia"/>
                      <w:color w:val="auto"/>
                      <w:sz w:val="21"/>
                      <w:szCs w:val="21"/>
                    </w:rPr>
                    <w:t>符合</w:t>
                  </w:r>
                </w:p>
              </w:tc>
            </w:tr>
            <w:tr w14:paraId="2DDC992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43" w:type="dxa"/>
                  <w:noWrap w:val="0"/>
                  <w:vAlign w:val="center"/>
                </w:tcPr>
                <w:p w14:paraId="3B75DCA9">
                  <w:pPr>
                    <w:pStyle w:val="61"/>
                    <w:adjustRightInd w:val="0"/>
                    <w:snapToGrid w:val="0"/>
                    <w:rPr>
                      <w:rFonts w:hint="eastAsia" w:ascii="Times New Roman" w:hAnsi="Times New Roman" w:eastAsia="宋体"/>
                      <w:color w:val="auto"/>
                      <w:sz w:val="21"/>
                      <w:szCs w:val="21"/>
                    </w:rPr>
                  </w:pPr>
                  <w:r>
                    <w:rPr>
                      <w:rFonts w:hint="eastAsia" w:ascii="Times New Roman" w:hAnsi="Times New Roman" w:eastAsia="宋体"/>
                      <w:color w:val="auto"/>
                      <w:sz w:val="21"/>
                      <w:szCs w:val="21"/>
                    </w:rPr>
                    <w:t>6</w:t>
                  </w:r>
                </w:p>
              </w:tc>
              <w:tc>
                <w:tcPr>
                  <w:tcW w:w="4200" w:type="dxa"/>
                  <w:noWrap w:val="0"/>
                  <w:vAlign w:val="center"/>
                </w:tcPr>
                <w:p w14:paraId="20E7760D">
                  <w:pPr>
                    <w:pStyle w:val="61"/>
                    <w:keepNext w:val="0"/>
                    <w:keepLines w:val="0"/>
                    <w:pageBreakBefore w:val="0"/>
                    <w:widowControl w:val="0"/>
                    <w:kinsoku/>
                    <w:wordWrap/>
                    <w:overflowPunct/>
                    <w:topLinePunct w:val="0"/>
                    <w:autoSpaceDE/>
                    <w:autoSpaceDN/>
                    <w:bidi w:val="0"/>
                    <w:adjustRightInd/>
                    <w:snapToGrid w:val="0"/>
                    <w:ind w:firstLine="428" w:firstLineChars="200"/>
                    <w:jc w:val="both"/>
                    <w:textAlignment w:val="auto"/>
                    <w:rPr>
                      <w:rFonts w:ascii="Times New Roman" w:hAnsi="Times New Roman" w:eastAsia="宋体"/>
                      <w:color w:val="auto"/>
                      <w:sz w:val="21"/>
                      <w:szCs w:val="21"/>
                    </w:rPr>
                  </w:pPr>
                  <w:r>
                    <w:rPr>
                      <w:rFonts w:ascii="Times New Roman" w:hAnsi="Times New Roman" w:eastAsia="宋体"/>
                      <w:color w:val="auto"/>
                      <w:sz w:val="21"/>
                      <w:szCs w:val="21"/>
                    </w:rPr>
                    <w:t>禁止未经许可在长江干支流及湖泊新设、改设或扩大排污口</w:t>
                  </w:r>
                  <w:r>
                    <w:rPr>
                      <w:rFonts w:hint="eastAsia" w:ascii="Times New Roman" w:hAnsi="Times New Roman" w:eastAsia="宋体"/>
                      <w:color w:val="auto"/>
                      <w:sz w:val="21"/>
                      <w:szCs w:val="21"/>
                    </w:rPr>
                    <w:t>。</w:t>
                  </w:r>
                </w:p>
              </w:tc>
              <w:tc>
                <w:tcPr>
                  <w:tcW w:w="2517" w:type="dxa"/>
                  <w:noWrap w:val="0"/>
                  <w:vAlign w:val="center"/>
                </w:tcPr>
                <w:p w14:paraId="1A175A21">
                  <w:pPr>
                    <w:keepNext w:val="0"/>
                    <w:keepLines w:val="0"/>
                    <w:pageBreakBefore w:val="0"/>
                    <w:widowControl w:val="0"/>
                    <w:kinsoku/>
                    <w:wordWrap/>
                    <w:overflowPunct/>
                    <w:topLinePunct w:val="0"/>
                    <w:autoSpaceDE/>
                    <w:autoSpaceDN/>
                    <w:bidi w:val="0"/>
                    <w:adjustRightInd/>
                    <w:snapToGrid w:val="0"/>
                    <w:spacing w:line="240" w:lineRule="auto"/>
                    <w:ind w:left="0" w:leftChars="0" w:firstLine="428" w:firstLineChars="200"/>
                    <w:textAlignment w:val="auto"/>
                    <w:rPr>
                      <w:rFonts w:hint="eastAsia"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s="Times New Roman"/>
                      <w:color w:val="auto"/>
                      <w:spacing w:val="2"/>
                      <w:kern w:val="2"/>
                      <w:sz w:val="21"/>
                      <w:szCs w:val="21"/>
                      <w:lang w:val="en-US" w:eastAsia="zh-CN" w:bidi="ar-SA"/>
                    </w:rPr>
                    <w:t>本项目不涉及新设、改设或扩大排污口。</w:t>
                  </w:r>
                </w:p>
              </w:tc>
              <w:tc>
                <w:tcPr>
                  <w:tcW w:w="679" w:type="dxa"/>
                  <w:noWrap w:val="0"/>
                  <w:vAlign w:val="center"/>
                </w:tcPr>
                <w:p w14:paraId="12D88ED1">
                  <w:pPr>
                    <w:snapToGrid w:val="0"/>
                    <w:ind w:left="0" w:leftChars="0" w:firstLine="0" w:firstLineChars="0"/>
                    <w:jc w:val="center"/>
                    <w:rPr>
                      <w:rFonts w:hint="eastAsia"/>
                      <w:color w:val="auto"/>
                      <w:sz w:val="21"/>
                      <w:szCs w:val="21"/>
                    </w:rPr>
                  </w:pPr>
                  <w:r>
                    <w:rPr>
                      <w:rFonts w:hint="eastAsia"/>
                      <w:color w:val="auto"/>
                      <w:sz w:val="21"/>
                      <w:szCs w:val="21"/>
                    </w:rPr>
                    <w:t>符合</w:t>
                  </w:r>
                </w:p>
              </w:tc>
            </w:tr>
            <w:tr w14:paraId="3A73879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43" w:type="dxa"/>
                  <w:noWrap w:val="0"/>
                  <w:vAlign w:val="center"/>
                </w:tcPr>
                <w:p w14:paraId="146EE5D3">
                  <w:pPr>
                    <w:pStyle w:val="61"/>
                    <w:adjustRightInd w:val="0"/>
                    <w:snapToGrid w:val="0"/>
                    <w:rPr>
                      <w:rFonts w:hint="eastAsia" w:ascii="Times New Roman" w:hAnsi="Times New Roman" w:eastAsia="宋体"/>
                      <w:color w:val="auto"/>
                      <w:sz w:val="21"/>
                      <w:szCs w:val="21"/>
                    </w:rPr>
                  </w:pPr>
                  <w:r>
                    <w:rPr>
                      <w:rFonts w:hint="eastAsia" w:ascii="Times New Roman" w:hAnsi="Times New Roman" w:eastAsia="宋体"/>
                      <w:color w:val="auto"/>
                      <w:sz w:val="21"/>
                      <w:szCs w:val="21"/>
                    </w:rPr>
                    <w:t>7</w:t>
                  </w:r>
                </w:p>
              </w:tc>
              <w:tc>
                <w:tcPr>
                  <w:tcW w:w="4200" w:type="dxa"/>
                  <w:noWrap w:val="0"/>
                  <w:vAlign w:val="center"/>
                </w:tcPr>
                <w:p w14:paraId="6BC8A74C">
                  <w:pPr>
                    <w:pStyle w:val="61"/>
                    <w:keepNext w:val="0"/>
                    <w:keepLines w:val="0"/>
                    <w:pageBreakBefore w:val="0"/>
                    <w:widowControl w:val="0"/>
                    <w:kinsoku/>
                    <w:wordWrap/>
                    <w:overflowPunct/>
                    <w:topLinePunct w:val="0"/>
                    <w:autoSpaceDE/>
                    <w:autoSpaceDN/>
                    <w:bidi w:val="0"/>
                    <w:adjustRightInd/>
                    <w:snapToGrid w:val="0"/>
                    <w:ind w:firstLine="428" w:firstLineChars="200"/>
                    <w:jc w:val="both"/>
                    <w:textAlignment w:val="auto"/>
                    <w:rPr>
                      <w:rFonts w:ascii="Times New Roman" w:hAnsi="Times New Roman" w:eastAsia="宋体"/>
                      <w:color w:val="auto"/>
                      <w:sz w:val="21"/>
                      <w:szCs w:val="21"/>
                    </w:rPr>
                  </w:pPr>
                  <w:r>
                    <w:rPr>
                      <w:rFonts w:ascii="Times New Roman" w:hAnsi="Times New Roman" w:eastAsia="宋体"/>
                      <w:color w:val="auto"/>
                      <w:sz w:val="21"/>
                      <w:szCs w:val="21"/>
                    </w:rPr>
                    <w:t>禁止在“一江一口两湖七河”和332个水生生物保护区开展生产性捕捞。</w:t>
                  </w:r>
                </w:p>
              </w:tc>
              <w:tc>
                <w:tcPr>
                  <w:tcW w:w="2517" w:type="dxa"/>
                  <w:noWrap w:val="0"/>
                  <w:vAlign w:val="center"/>
                </w:tcPr>
                <w:p w14:paraId="043F21DE">
                  <w:pPr>
                    <w:keepNext w:val="0"/>
                    <w:keepLines w:val="0"/>
                    <w:pageBreakBefore w:val="0"/>
                    <w:widowControl w:val="0"/>
                    <w:kinsoku/>
                    <w:wordWrap/>
                    <w:overflowPunct/>
                    <w:topLinePunct w:val="0"/>
                    <w:autoSpaceDE/>
                    <w:autoSpaceDN/>
                    <w:bidi w:val="0"/>
                    <w:adjustRightInd/>
                    <w:snapToGrid w:val="0"/>
                    <w:spacing w:line="240" w:lineRule="auto"/>
                    <w:ind w:left="0" w:leftChars="0" w:firstLine="428" w:firstLineChars="200"/>
                    <w:textAlignment w:val="auto"/>
                    <w:rPr>
                      <w:rFonts w:hint="eastAsia"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s="Times New Roman"/>
                      <w:color w:val="auto"/>
                      <w:spacing w:val="2"/>
                      <w:kern w:val="2"/>
                      <w:sz w:val="21"/>
                      <w:szCs w:val="21"/>
                      <w:lang w:val="en-US" w:eastAsia="zh-CN" w:bidi="ar-SA"/>
                    </w:rPr>
                    <w:t>本项目不开展生产性捕捞。</w:t>
                  </w:r>
                </w:p>
              </w:tc>
              <w:tc>
                <w:tcPr>
                  <w:tcW w:w="679" w:type="dxa"/>
                  <w:noWrap w:val="0"/>
                  <w:vAlign w:val="center"/>
                </w:tcPr>
                <w:p w14:paraId="660A44CC">
                  <w:pPr>
                    <w:snapToGrid w:val="0"/>
                    <w:ind w:left="0" w:leftChars="0" w:firstLine="0" w:firstLineChars="0"/>
                    <w:jc w:val="center"/>
                    <w:rPr>
                      <w:rFonts w:hint="eastAsia"/>
                      <w:color w:val="auto"/>
                      <w:sz w:val="21"/>
                      <w:szCs w:val="21"/>
                    </w:rPr>
                  </w:pPr>
                  <w:r>
                    <w:rPr>
                      <w:rFonts w:hint="eastAsia"/>
                      <w:color w:val="auto"/>
                      <w:sz w:val="21"/>
                      <w:szCs w:val="21"/>
                    </w:rPr>
                    <w:t>符合</w:t>
                  </w:r>
                </w:p>
              </w:tc>
            </w:tr>
            <w:tr w14:paraId="63DB5D2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43" w:type="dxa"/>
                  <w:noWrap w:val="0"/>
                  <w:vAlign w:val="center"/>
                </w:tcPr>
                <w:p w14:paraId="16B97E6F">
                  <w:pPr>
                    <w:pStyle w:val="61"/>
                    <w:adjustRightInd w:val="0"/>
                    <w:snapToGrid w:val="0"/>
                    <w:rPr>
                      <w:rFonts w:hint="eastAsia" w:ascii="Times New Roman" w:hAnsi="Times New Roman" w:eastAsia="宋体"/>
                      <w:color w:val="auto"/>
                      <w:sz w:val="21"/>
                      <w:szCs w:val="21"/>
                    </w:rPr>
                  </w:pPr>
                  <w:r>
                    <w:rPr>
                      <w:rFonts w:hint="eastAsia" w:ascii="Times New Roman" w:hAnsi="Times New Roman" w:eastAsia="宋体"/>
                      <w:color w:val="auto"/>
                      <w:sz w:val="21"/>
                      <w:szCs w:val="21"/>
                    </w:rPr>
                    <w:t>8</w:t>
                  </w:r>
                </w:p>
              </w:tc>
              <w:tc>
                <w:tcPr>
                  <w:tcW w:w="4200" w:type="dxa"/>
                  <w:noWrap w:val="0"/>
                  <w:vAlign w:val="center"/>
                </w:tcPr>
                <w:p w14:paraId="1B65A20C">
                  <w:pPr>
                    <w:pStyle w:val="61"/>
                    <w:keepNext w:val="0"/>
                    <w:keepLines w:val="0"/>
                    <w:pageBreakBefore w:val="0"/>
                    <w:widowControl w:val="0"/>
                    <w:kinsoku/>
                    <w:wordWrap/>
                    <w:overflowPunct/>
                    <w:topLinePunct w:val="0"/>
                    <w:autoSpaceDE/>
                    <w:autoSpaceDN/>
                    <w:bidi w:val="0"/>
                    <w:adjustRightInd/>
                    <w:snapToGrid w:val="0"/>
                    <w:ind w:firstLine="428" w:firstLineChars="200"/>
                    <w:jc w:val="both"/>
                    <w:textAlignment w:val="auto"/>
                    <w:rPr>
                      <w:rFonts w:ascii="Times New Roman" w:hAnsi="Times New Roman" w:eastAsia="宋体"/>
                      <w:color w:val="auto"/>
                      <w:sz w:val="21"/>
                      <w:szCs w:val="21"/>
                    </w:rPr>
                  </w:pPr>
                  <w:r>
                    <w:rPr>
                      <w:rFonts w:ascii="Times New Roman" w:hAnsi="Times New Roman" w:eastAsia="宋体"/>
                      <w:color w:val="auto"/>
                      <w:sz w:val="21"/>
                      <w:szCs w:val="21"/>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2517" w:type="dxa"/>
                  <w:noWrap w:val="0"/>
                  <w:vAlign w:val="center"/>
                </w:tcPr>
                <w:p w14:paraId="7BF8D7C4">
                  <w:pPr>
                    <w:keepNext w:val="0"/>
                    <w:keepLines w:val="0"/>
                    <w:pageBreakBefore w:val="0"/>
                    <w:widowControl w:val="0"/>
                    <w:kinsoku/>
                    <w:wordWrap/>
                    <w:overflowPunct/>
                    <w:topLinePunct w:val="0"/>
                    <w:autoSpaceDE/>
                    <w:autoSpaceDN/>
                    <w:bidi w:val="0"/>
                    <w:adjustRightInd/>
                    <w:snapToGrid w:val="0"/>
                    <w:spacing w:line="240" w:lineRule="auto"/>
                    <w:ind w:left="0" w:leftChars="0" w:firstLine="428" w:firstLineChars="200"/>
                    <w:textAlignment w:val="auto"/>
                    <w:rPr>
                      <w:rFonts w:hint="eastAsia"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s="Times New Roman"/>
                      <w:color w:val="auto"/>
                      <w:spacing w:val="2"/>
                      <w:kern w:val="2"/>
                      <w:sz w:val="21"/>
                      <w:szCs w:val="21"/>
                      <w:lang w:val="en-US" w:eastAsia="zh-CN" w:bidi="ar-SA"/>
                    </w:rPr>
                    <w:t>本项目不属于新建、扩建化工园区和化工项目，且不属于新建、改建、扩建尾矿库、冶炼渣库和磷石膏库项目。</w:t>
                  </w:r>
                </w:p>
              </w:tc>
              <w:tc>
                <w:tcPr>
                  <w:tcW w:w="679" w:type="dxa"/>
                  <w:noWrap w:val="0"/>
                  <w:vAlign w:val="center"/>
                </w:tcPr>
                <w:p w14:paraId="20A04A7A">
                  <w:pPr>
                    <w:snapToGrid w:val="0"/>
                    <w:ind w:left="0" w:leftChars="0" w:firstLine="0" w:firstLineChars="0"/>
                    <w:jc w:val="center"/>
                    <w:rPr>
                      <w:rFonts w:hint="eastAsia"/>
                      <w:color w:val="auto"/>
                      <w:sz w:val="21"/>
                      <w:szCs w:val="21"/>
                    </w:rPr>
                  </w:pPr>
                  <w:r>
                    <w:rPr>
                      <w:rFonts w:hint="eastAsia"/>
                      <w:color w:val="auto"/>
                      <w:sz w:val="21"/>
                      <w:szCs w:val="21"/>
                    </w:rPr>
                    <w:t>符合</w:t>
                  </w:r>
                </w:p>
              </w:tc>
            </w:tr>
            <w:tr w14:paraId="510BB65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43" w:type="dxa"/>
                  <w:noWrap w:val="0"/>
                  <w:vAlign w:val="center"/>
                </w:tcPr>
                <w:p w14:paraId="15ADA1FF">
                  <w:pPr>
                    <w:pStyle w:val="61"/>
                    <w:adjustRightInd w:val="0"/>
                    <w:snapToGrid w:val="0"/>
                    <w:rPr>
                      <w:rFonts w:hint="eastAsia" w:ascii="Times New Roman" w:hAnsi="Times New Roman" w:eastAsia="宋体"/>
                      <w:color w:val="auto"/>
                      <w:sz w:val="21"/>
                      <w:szCs w:val="21"/>
                    </w:rPr>
                  </w:pPr>
                  <w:r>
                    <w:rPr>
                      <w:rFonts w:hint="eastAsia" w:ascii="Times New Roman" w:hAnsi="Times New Roman" w:eastAsia="宋体"/>
                      <w:color w:val="auto"/>
                      <w:sz w:val="21"/>
                      <w:szCs w:val="21"/>
                    </w:rPr>
                    <w:t>9</w:t>
                  </w:r>
                </w:p>
              </w:tc>
              <w:tc>
                <w:tcPr>
                  <w:tcW w:w="4200" w:type="dxa"/>
                  <w:noWrap w:val="0"/>
                  <w:vAlign w:val="center"/>
                </w:tcPr>
                <w:p w14:paraId="1F6C591F">
                  <w:pPr>
                    <w:pStyle w:val="61"/>
                    <w:keepNext w:val="0"/>
                    <w:keepLines w:val="0"/>
                    <w:pageBreakBefore w:val="0"/>
                    <w:widowControl w:val="0"/>
                    <w:kinsoku/>
                    <w:wordWrap/>
                    <w:overflowPunct/>
                    <w:topLinePunct w:val="0"/>
                    <w:autoSpaceDE/>
                    <w:autoSpaceDN/>
                    <w:bidi w:val="0"/>
                    <w:adjustRightInd/>
                    <w:snapToGrid w:val="0"/>
                    <w:ind w:firstLine="428" w:firstLineChars="200"/>
                    <w:jc w:val="both"/>
                    <w:textAlignment w:val="auto"/>
                    <w:rPr>
                      <w:rFonts w:ascii="Times New Roman" w:hAnsi="Times New Roman" w:eastAsia="宋体"/>
                      <w:color w:val="auto"/>
                      <w:sz w:val="21"/>
                      <w:szCs w:val="21"/>
                    </w:rPr>
                  </w:pPr>
                  <w:r>
                    <w:rPr>
                      <w:rFonts w:ascii="Times New Roman" w:hAnsi="Times New Roman" w:eastAsia="宋体"/>
                      <w:color w:val="auto"/>
                      <w:sz w:val="21"/>
                      <w:szCs w:val="21"/>
                    </w:rPr>
                    <w:t>禁止在合规园区外新建、扩建钢铁、石化、化工、焦化、建材、有色、制浆造纸等高污染项目。</w:t>
                  </w:r>
                </w:p>
              </w:tc>
              <w:tc>
                <w:tcPr>
                  <w:tcW w:w="2517" w:type="dxa"/>
                  <w:noWrap w:val="0"/>
                  <w:vAlign w:val="center"/>
                </w:tcPr>
                <w:p w14:paraId="608F7C76">
                  <w:pPr>
                    <w:keepNext w:val="0"/>
                    <w:keepLines w:val="0"/>
                    <w:pageBreakBefore w:val="0"/>
                    <w:widowControl w:val="0"/>
                    <w:kinsoku/>
                    <w:wordWrap/>
                    <w:overflowPunct/>
                    <w:topLinePunct w:val="0"/>
                    <w:autoSpaceDE/>
                    <w:autoSpaceDN/>
                    <w:bidi w:val="0"/>
                    <w:adjustRightInd/>
                    <w:snapToGrid w:val="0"/>
                    <w:spacing w:line="240" w:lineRule="auto"/>
                    <w:ind w:left="0" w:leftChars="0" w:firstLine="428" w:firstLineChars="200"/>
                    <w:textAlignment w:val="auto"/>
                    <w:rPr>
                      <w:rFonts w:hint="eastAsia"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s="Times New Roman"/>
                      <w:color w:val="auto"/>
                      <w:spacing w:val="2"/>
                      <w:kern w:val="2"/>
                      <w:sz w:val="21"/>
                      <w:szCs w:val="21"/>
                      <w:lang w:val="en-US" w:eastAsia="zh-CN" w:bidi="ar-SA"/>
                    </w:rPr>
                    <w:t>本项目不属于</w:t>
                  </w:r>
                  <w:r>
                    <w:rPr>
                      <w:rFonts w:ascii="Times New Roman" w:hAnsi="Times New Roman" w:eastAsia="宋体"/>
                      <w:color w:val="auto"/>
                      <w:sz w:val="21"/>
                      <w:szCs w:val="21"/>
                    </w:rPr>
                    <w:t>新建、扩建钢铁、石化、化工、焦化、建材、有色、制浆造纸等高污染项目。</w:t>
                  </w:r>
                </w:p>
              </w:tc>
              <w:tc>
                <w:tcPr>
                  <w:tcW w:w="679" w:type="dxa"/>
                  <w:noWrap w:val="0"/>
                  <w:vAlign w:val="center"/>
                </w:tcPr>
                <w:p w14:paraId="3B5A2230">
                  <w:pPr>
                    <w:snapToGrid w:val="0"/>
                    <w:ind w:left="0" w:leftChars="0" w:firstLine="0" w:firstLineChars="0"/>
                    <w:jc w:val="center"/>
                    <w:rPr>
                      <w:rFonts w:hint="eastAsia"/>
                      <w:color w:val="auto"/>
                      <w:sz w:val="21"/>
                      <w:szCs w:val="21"/>
                    </w:rPr>
                  </w:pPr>
                  <w:r>
                    <w:rPr>
                      <w:rFonts w:hint="eastAsia"/>
                      <w:color w:val="auto"/>
                      <w:sz w:val="21"/>
                      <w:szCs w:val="21"/>
                    </w:rPr>
                    <w:t>符合</w:t>
                  </w:r>
                </w:p>
              </w:tc>
            </w:tr>
            <w:tr w14:paraId="1AE4BB7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43" w:type="dxa"/>
                  <w:noWrap w:val="0"/>
                  <w:vAlign w:val="center"/>
                </w:tcPr>
                <w:p w14:paraId="39528748">
                  <w:pPr>
                    <w:pStyle w:val="61"/>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10</w:t>
                  </w:r>
                </w:p>
              </w:tc>
              <w:tc>
                <w:tcPr>
                  <w:tcW w:w="4200" w:type="dxa"/>
                  <w:noWrap w:val="0"/>
                  <w:vAlign w:val="center"/>
                </w:tcPr>
                <w:p w14:paraId="0F37DA04">
                  <w:pPr>
                    <w:pStyle w:val="61"/>
                    <w:keepNext w:val="0"/>
                    <w:keepLines w:val="0"/>
                    <w:pageBreakBefore w:val="0"/>
                    <w:widowControl w:val="0"/>
                    <w:kinsoku/>
                    <w:wordWrap/>
                    <w:overflowPunct/>
                    <w:topLinePunct w:val="0"/>
                    <w:autoSpaceDE/>
                    <w:autoSpaceDN/>
                    <w:bidi w:val="0"/>
                    <w:adjustRightInd/>
                    <w:snapToGrid w:val="0"/>
                    <w:ind w:firstLine="428" w:firstLineChars="200"/>
                    <w:jc w:val="both"/>
                    <w:textAlignment w:val="auto"/>
                    <w:rPr>
                      <w:rFonts w:hint="eastAsia" w:ascii="Times New Roman" w:hAnsi="Times New Roman" w:eastAsia="宋体"/>
                      <w:color w:val="auto"/>
                      <w:sz w:val="21"/>
                      <w:szCs w:val="21"/>
                    </w:rPr>
                  </w:pPr>
                  <w:r>
                    <w:rPr>
                      <w:rFonts w:ascii="Times New Roman" w:hAnsi="Times New Roman" w:eastAsia="宋体"/>
                      <w:color w:val="auto"/>
                      <w:sz w:val="21"/>
                      <w:szCs w:val="21"/>
                    </w:rPr>
                    <w:t>禁止新建、扩建不符合国家石化、现代煤化工等产业布局规划的项目</w:t>
                  </w:r>
                  <w:r>
                    <w:rPr>
                      <w:rFonts w:hint="eastAsia" w:ascii="Times New Roman" w:hAnsi="Times New Roman" w:eastAsia="宋体"/>
                      <w:color w:val="auto"/>
                      <w:sz w:val="21"/>
                      <w:szCs w:val="21"/>
                    </w:rPr>
                    <w:t>。</w:t>
                  </w:r>
                </w:p>
              </w:tc>
              <w:tc>
                <w:tcPr>
                  <w:tcW w:w="2517" w:type="dxa"/>
                  <w:noWrap w:val="0"/>
                  <w:vAlign w:val="center"/>
                </w:tcPr>
                <w:p w14:paraId="70524DC7">
                  <w:pPr>
                    <w:keepNext w:val="0"/>
                    <w:keepLines w:val="0"/>
                    <w:pageBreakBefore w:val="0"/>
                    <w:widowControl w:val="0"/>
                    <w:kinsoku/>
                    <w:wordWrap/>
                    <w:overflowPunct/>
                    <w:topLinePunct w:val="0"/>
                    <w:autoSpaceDE/>
                    <w:autoSpaceDN/>
                    <w:bidi w:val="0"/>
                    <w:adjustRightInd/>
                    <w:snapToGrid w:val="0"/>
                    <w:spacing w:line="240" w:lineRule="auto"/>
                    <w:ind w:left="0" w:leftChars="0" w:firstLine="428" w:firstLineChars="200"/>
                    <w:textAlignment w:val="auto"/>
                    <w:rPr>
                      <w:rFonts w:hint="eastAsia"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s="Times New Roman"/>
                      <w:color w:val="auto"/>
                      <w:spacing w:val="2"/>
                      <w:kern w:val="2"/>
                      <w:sz w:val="21"/>
                      <w:szCs w:val="21"/>
                      <w:lang w:val="en-US" w:eastAsia="zh-CN" w:bidi="ar-SA"/>
                    </w:rPr>
                    <w:t>本项目不属于</w:t>
                  </w:r>
                  <w:r>
                    <w:rPr>
                      <w:rFonts w:ascii="Times New Roman" w:hAnsi="Times New Roman" w:eastAsia="宋体"/>
                      <w:color w:val="auto"/>
                      <w:sz w:val="21"/>
                      <w:szCs w:val="21"/>
                    </w:rPr>
                    <w:t>石化、现代煤化工</w:t>
                  </w:r>
                  <w:r>
                    <w:rPr>
                      <w:rFonts w:hint="eastAsia" w:ascii="Times New Roman" w:hAnsi="Times New Roman" w:eastAsia="宋体" w:cs="Times New Roman"/>
                      <w:color w:val="auto"/>
                      <w:spacing w:val="2"/>
                      <w:kern w:val="2"/>
                      <w:sz w:val="21"/>
                      <w:szCs w:val="21"/>
                      <w:lang w:val="en-US" w:eastAsia="zh-CN" w:bidi="ar-SA"/>
                    </w:rPr>
                    <w:t>项目。</w:t>
                  </w:r>
                </w:p>
              </w:tc>
              <w:tc>
                <w:tcPr>
                  <w:tcW w:w="679" w:type="dxa"/>
                  <w:noWrap w:val="0"/>
                  <w:vAlign w:val="center"/>
                </w:tcPr>
                <w:p w14:paraId="1BB6EF5C">
                  <w:pPr>
                    <w:snapToGrid w:val="0"/>
                    <w:ind w:left="0" w:leftChars="0" w:firstLine="0" w:firstLineChars="0"/>
                    <w:jc w:val="center"/>
                    <w:rPr>
                      <w:rFonts w:hint="eastAsia"/>
                      <w:color w:val="auto"/>
                      <w:sz w:val="21"/>
                      <w:szCs w:val="21"/>
                    </w:rPr>
                  </w:pPr>
                  <w:r>
                    <w:rPr>
                      <w:rFonts w:hint="eastAsia"/>
                      <w:color w:val="auto"/>
                      <w:sz w:val="21"/>
                      <w:szCs w:val="21"/>
                    </w:rPr>
                    <w:t>符合</w:t>
                  </w:r>
                </w:p>
              </w:tc>
            </w:tr>
            <w:tr w14:paraId="3DF8996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43" w:type="dxa"/>
                  <w:noWrap w:val="0"/>
                  <w:vAlign w:val="center"/>
                </w:tcPr>
                <w:p w14:paraId="1030381E">
                  <w:pPr>
                    <w:pStyle w:val="61"/>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11</w:t>
                  </w:r>
                </w:p>
              </w:tc>
              <w:tc>
                <w:tcPr>
                  <w:tcW w:w="4200" w:type="dxa"/>
                  <w:noWrap w:val="0"/>
                  <w:vAlign w:val="center"/>
                </w:tcPr>
                <w:p w14:paraId="3B101FB4">
                  <w:pPr>
                    <w:pStyle w:val="61"/>
                    <w:keepNext w:val="0"/>
                    <w:keepLines w:val="0"/>
                    <w:pageBreakBefore w:val="0"/>
                    <w:widowControl w:val="0"/>
                    <w:kinsoku/>
                    <w:wordWrap/>
                    <w:overflowPunct/>
                    <w:topLinePunct w:val="0"/>
                    <w:autoSpaceDE/>
                    <w:autoSpaceDN/>
                    <w:bidi w:val="0"/>
                    <w:adjustRightInd/>
                    <w:snapToGrid w:val="0"/>
                    <w:ind w:firstLine="428" w:firstLineChars="200"/>
                    <w:jc w:val="both"/>
                    <w:textAlignment w:val="auto"/>
                    <w:rPr>
                      <w:rFonts w:ascii="Times New Roman" w:hAnsi="Times New Roman" w:eastAsia="宋体"/>
                      <w:color w:val="auto"/>
                      <w:sz w:val="21"/>
                      <w:szCs w:val="21"/>
                    </w:rPr>
                  </w:pPr>
                  <w:r>
                    <w:rPr>
                      <w:rFonts w:ascii="Times New Roman" w:hAnsi="Times New Roman" w:eastAsia="宋体"/>
                      <w:color w:val="auto"/>
                      <w:sz w:val="21"/>
                      <w:szCs w:val="21"/>
                    </w:rPr>
                    <w:t>禁止新建、扩建法律法规和相关政策明令禁止的落后产能项目。禁止新建、扩建不符合国家产能置换要求的严重过剩产能行业的项目。禁止新建、扩建不符合要求的高耗能高排放项目。</w:t>
                  </w:r>
                </w:p>
              </w:tc>
              <w:tc>
                <w:tcPr>
                  <w:tcW w:w="2517" w:type="dxa"/>
                  <w:noWrap w:val="0"/>
                  <w:vAlign w:val="center"/>
                </w:tcPr>
                <w:p w14:paraId="7F8925A8">
                  <w:pPr>
                    <w:keepNext w:val="0"/>
                    <w:keepLines w:val="0"/>
                    <w:pageBreakBefore w:val="0"/>
                    <w:widowControl w:val="0"/>
                    <w:kinsoku/>
                    <w:wordWrap/>
                    <w:overflowPunct/>
                    <w:topLinePunct w:val="0"/>
                    <w:autoSpaceDE/>
                    <w:autoSpaceDN/>
                    <w:bidi w:val="0"/>
                    <w:adjustRightInd/>
                    <w:snapToGrid w:val="0"/>
                    <w:spacing w:line="240" w:lineRule="auto"/>
                    <w:ind w:left="0" w:leftChars="0" w:firstLine="428" w:firstLineChars="200"/>
                    <w:textAlignment w:val="auto"/>
                    <w:rPr>
                      <w:rFonts w:hint="eastAsia"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s="Times New Roman"/>
                      <w:color w:val="auto"/>
                      <w:spacing w:val="2"/>
                      <w:kern w:val="2"/>
                      <w:sz w:val="21"/>
                      <w:szCs w:val="21"/>
                      <w:lang w:val="en-US" w:eastAsia="zh-CN" w:bidi="ar-SA"/>
                    </w:rPr>
                    <w:t>本项目不属于落后产能项目，且不属于严重过剩产能项目。</w:t>
                  </w:r>
                </w:p>
              </w:tc>
              <w:tc>
                <w:tcPr>
                  <w:tcW w:w="679" w:type="dxa"/>
                  <w:noWrap w:val="0"/>
                  <w:vAlign w:val="center"/>
                </w:tcPr>
                <w:p w14:paraId="321E682A">
                  <w:pPr>
                    <w:snapToGrid w:val="0"/>
                    <w:ind w:left="0" w:leftChars="0" w:firstLine="0" w:firstLineChars="0"/>
                    <w:jc w:val="center"/>
                    <w:rPr>
                      <w:rFonts w:hint="eastAsia"/>
                      <w:color w:val="auto"/>
                      <w:sz w:val="21"/>
                      <w:szCs w:val="21"/>
                    </w:rPr>
                  </w:pPr>
                  <w:r>
                    <w:rPr>
                      <w:rFonts w:hint="eastAsia"/>
                      <w:color w:val="auto"/>
                      <w:sz w:val="21"/>
                      <w:szCs w:val="21"/>
                    </w:rPr>
                    <w:t>符合</w:t>
                  </w:r>
                </w:p>
              </w:tc>
            </w:tr>
            <w:tr w14:paraId="671092F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43" w:type="dxa"/>
                  <w:noWrap w:val="0"/>
                  <w:vAlign w:val="center"/>
                </w:tcPr>
                <w:p w14:paraId="0514FECC">
                  <w:pPr>
                    <w:pStyle w:val="61"/>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12</w:t>
                  </w:r>
                </w:p>
              </w:tc>
              <w:tc>
                <w:tcPr>
                  <w:tcW w:w="4200" w:type="dxa"/>
                  <w:noWrap w:val="0"/>
                  <w:vAlign w:val="center"/>
                </w:tcPr>
                <w:p w14:paraId="2B3DA387">
                  <w:pPr>
                    <w:pStyle w:val="61"/>
                    <w:keepNext w:val="0"/>
                    <w:keepLines w:val="0"/>
                    <w:pageBreakBefore w:val="0"/>
                    <w:widowControl w:val="0"/>
                    <w:kinsoku/>
                    <w:wordWrap/>
                    <w:overflowPunct/>
                    <w:topLinePunct w:val="0"/>
                    <w:autoSpaceDE/>
                    <w:autoSpaceDN/>
                    <w:bidi w:val="0"/>
                    <w:adjustRightInd/>
                    <w:snapToGrid w:val="0"/>
                    <w:ind w:firstLine="428" w:firstLineChars="200"/>
                    <w:jc w:val="both"/>
                    <w:textAlignment w:val="auto"/>
                    <w:rPr>
                      <w:rFonts w:ascii="Times New Roman" w:hAnsi="Times New Roman" w:eastAsia="宋体"/>
                      <w:color w:val="auto"/>
                      <w:sz w:val="21"/>
                      <w:szCs w:val="21"/>
                    </w:rPr>
                  </w:pPr>
                  <w:r>
                    <w:rPr>
                      <w:rFonts w:ascii="Times New Roman" w:hAnsi="Times New Roman" w:eastAsia="宋体"/>
                      <w:color w:val="auto"/>
                      <w:sz w:val="21"/>
                      <w:szCs w:val="21"/>
                    </w:rPr>
                    <w:t>法律法规及相关政策文件有更加严格规定的从其规定。</w:t>
                  </w:r>
                </w:p>
              </w:tc>
              <w:tc>
                <w:tcPr>
                  <w:tcW w:w="2517" w:type="dxa"/>
                  <w:noWrap w:val="0"/>
                  <w:vAlign w:val="center"/>
                </w:tcPr>
                <w:p w14:paraId="4C10B211">
                  <w:pPr>
                    <w:keepNext w:val="0"/>
                    <w:keepLines w:val="0"/>
                    <w:pageBreakBefore w:val="0"/>
                    <w:widowControl w:val="0"/>
                    <w:kinsoku/>
                    <w:wordWrap/>
                    <w:overflowPunct/>
                    <w:topLinePunct w:val="0"/>
                    <w:autoSpaceDE/>
                    <w:autoSpaceDN/>
                    <w:bidi w:val="0"/>
                    <w:adjustRightInd/>
                    <w:snapToGrid w:val="0"/>
                    <w:spacing w:line="240" w:lineRule="auto"/>
                    <w:ind w:left="0" w:leftChars="0" w:firstLine="428" w:firstLineChars="200"/>
                    <w:textAlignment w:val="auto"/>
                    <w:rPr>
                      <w:rFonts w:hint="eastAsia"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s="Times New Roman"/>
                      <w:color w:val="auto"/>
                      <w:spacing w:val="2"/>
                      <w:kern w:val="2"/>
                      <w:sz w:val="21"/>
                      <w:szCs w:val="21"/>
                      <w:lang w:val="en-US" w:eastAsia="zh-CN" w:bidi="ar-SA"/>
                    </w:rPr>
                    <w:t>本项目符合法律法规及相关政策文件规定。</w:t>
                  </w:r>
                </w:p>
              </w:tc>
              <w:tc>
                <w:tcPr>
                  <w:tcW w:w="679" w:type="dxa"/>
                  <w:noWrap w:val="0"/>
                  <w:vAlign w:val="center"/>
                </w:tcPr>
                <w:p w14:paraId="0C34D981">
                  <w:pPr>
                    <w:snapToGrid w:val="0"/>
                    <w:ind w:left="0" w:leftChars="0" w:firstLine="0" w:firstLineChars="0"/>
                    <w:jc w:val="center"/>
                    <w:rPr>
                      <w:rFonts w:hint="eastAsia"/>
                      <w:color w:val="auto"/>
                      <w:sz w:val="21"/>
                      <w:szCs w:val="21"/>
                    </w:rPr>
                  </w:pPr>
                  <w:r>
                    <w:rPr>
                      <w:rFonts w:hint="eastAsia"/>
                      <w:color w:val="auto"/>
                      <w:sz w:val="21"/>
                      <w:szCs w:val="21"/>
                    </w:rPr>
                    <w:t>符合</w:t>
                  </w:r>
                </w:p>
              </w:tc>
            </w:tr>
          </w:tbl>
          <w:p w14:paraId="36631A8E">
            <w:pPr>
              <w:pStyle w:val="2"/>
              <w:keepNext w:val="0"/>
              <w:keepLines w:val="0"/>
              <w:pageBreakBefore w:val="0"/>
              <w:widowControl w:val="0"/>
              <w:kinsoku/>
              <w:wordWrap/>
              <w:overflowPunct/>
              <w:topLinePunct w:val="0"/>
              <w:autoSpaceDE w:val="0"/>
              <w:autoSpaceDN w:val="0"/>
              <w:bidi w:val="0"/>
              <w:adjustRightInd/>
              <w:snapToGrid/>
              <w:spacing w:before="0" w:after="0" w:line="360" w:lineRule="auto"/>
              <w:ind w:firstLine="496" w:firstLineChars="200"/>
              <w:textAlignment w:val="auto"/>
              <w:rPr>
                <w:rFonts w:ascii="Times New Roman" w:hAnsi="Times New Roman" w:cs="Times New Roman"/>
                <w:color w:val="FF0000"/>
                <w:spacing w:val="4"/>
              </w:rPr>
            </w:pPr>
            <w:r>
              <w:rPr>
                <w:rFonts w:hint="eastAsia" w:ascii="Times New Roman" w:hAnsi="Times New Roman" w:cs="Times New Roman"/>
                <w:color w:val="auto"/>
                <w:spacing w:val="4"/>
                <w:lang w:val="en-US" w:eastAsia="zh-CN"/>
              </w:rPr>
              <w:t>综上所述，本项目建设与《长江经济带发展负面清单指南（试行，2022年版）的通知》（长江办〔2022〕7号）相符</w:t>
            </w:r>
            <w:r>
              <w:rPr>
                <w:rFonts w:ascii="Times New Roman" w:hAnsi="Times New Roman" w:cs="Times New Roman"/>
                <w:color w:val="auto"/>
                <w:spacing w:val="4"/>
              </w:rPr>
              <w:t>。</w:t>
            </w:r>
          </w:p>
          <w:p w14:paraId="289D45DF">
            <w:pPr>
              <w:pStyle w:val="2"/>
              <w:keepNext w:val="0"/>
              <w:keepLines w:val="0"/>
              <w:pageBreakBefore w:val="0"/>
              <w:widowControl w:val="0"/>
              <w:kinsoku/>
              <w:wordWrap/>
              <w:overflowPunct/>
              <w:topLinePunct w:val="0"/>
              <w:autoSpaceDE w:val="0"/>
              <w:autoSpaceDN w:val="0"/>
              <w:bidi w:val="0"/>
              <w:adjustRightInd/>
              <w:snapToGrid/>
              <w:spacing w:before="0" w:after="0" w:line="360" w:lineRule="auto"/>
              <w:ind w:firstLine="482" w:firstLineChars="200"/>
              <w:textAlignment w:val="auto"/>
              <w:rPr>
                <w:rFonts w:ascii="Times New Roman" w:hAnsi="Times New Roman" w:cs="Times New Roman"/>
                <w:color w:val="FF0000"/>
                <w:spacing w:val="4"/>
              </w:rPr>
            </w:pPr>
            <w:r>
              <w:rPr>
                <w:rFonts w:hint="eastAsia" w:ascii="Times New Roman" w:hAnsi="Times New Roman" w:eastAsia="宋体" w:cs="Times New Roman"/>
                <w:b/>
                <w:bCs/>
                <w:color w:val="auto"/>
                <w:sz w:val="24"/>
                <w:szCs w:val="24"/>
                <w:lang w:val="en-US" w:eastAsia="zh-CN"/>
              </w:rPr>
              <w:t>5、项目与《江西省长江经济带发展负面清单实施细则（试行，2022年版）》（赣长江办〔2022〕7号）相符性分析</w:t>
            </w:r>
          </w:p>
          <w:p w14:paraId="21F56E75">
            <w:pPr>
              <w:pStyle w:val="111"/>
              <w:keepNext w:val="0"/>
              <w:keepLines w:val="0"/>
              <w:pageBreakBefore w:val="0"/>
              <w:widowControl/>
              <w:kinsoku/>
              <w:wordWrap/>
              <w:overflowPunct w:val="0"/>
              <w:topLinePunct w:val="0"/>
              <w:autoSpaceDE w:val="0"/>
              <w:autoSpaceDN w:val="0"/>
              <w:bidi w:val="0"/>
              <w:adjustRightInd/>
              <w:snapToGrid/>
              <w:spacing w:before="0" w:after="0"/>
              <w:ind w:right="0"/>
              <w:textAlignment w:val="auto"/>
              <w:rPr>
                <w:rFonts w:ascii="Times New Roman" w:eastAsia="宋体"/>
                <w:color w:val="auto"/>
              </w:rPr>
            </w:pPr>
            <w:r>
              <w:rPr>
                <w:rFonts w:ascii="Times New Roman" w:eastAsia="宋体"/>
                <w:color w:val="auto"/>
              </w:rPr>
              <w:t>表1-</w:t>
            </w:r>
            <w:r>
              <w:rPr>
                <w:rFonts w:hint="eastAsia" w:ascii="Times New Roman" w:eastAsia="宋体"/>
                <w:color w:val="auto"/>
                <w:lang w:val="en-US" w:eastAsia="zh-CN"/>
              </w:rPr>
              <w:t>6</w:t>
            </w:r>
            <w:r>
              <w:rPr>
                <w:rFonts w:ascii="Times New Roman" w:eastAsia="宋体"/>
                <w:color w:val="auto"/>
              </w:rPr>
              <w:t xml:space="preserve">   项目与《江西省长江经济带发展负面清单实施细则（试行，2022年版）》</w:t>
            </w:r>
            <w:r>
              <w:rPr>
                <w:rFonts w:hint="eastAsia" w:ascii="Times New Roman" w:eastAsia="宋体"/>
                <w:color w:val="auto"/>
                <w:lang w:val="en-US" w:eastAsia="zh-CN"/>
              </w:rPr>
              <w:t>（赣长江办〔2022〕7号）</w:t>
            </w:r>
            <w:r>
              <w:rPr>
                <w:rFonts w:hint="eastAsia" w:ascii="Times New Roman" w:eastAsia="宋体"/>
                <w:color w:val="auto"/>
              </w:rPr>
              <w:t>相符性</w:t>
            </w:r>
            <w:r>
              <w:rPr>
                <w:rFonts w:ascii="Times New Roman" w:eastAsia="宋体"/>
                <w:color w:val="auto"/>
              </w:rPr>
              <w:t>分析</w:t>
            </w:r>
          </w:p>
          <w:tbl>
            <w:tblPr>
              <w:tblStyle w:val="35"/>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657"/>
              <w:gridCol w:w="4290"/>
              <w:gridCol w:w="2399"/>
              <w:gridCol w:w="693"/>
            </w:tblGrid>
            <w:tr w14:paraId="055998A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657" w:type="dxa"/>
                  <w:tcBorders>
                    <w:top w:val="single" w:color="000000" w:sz="12" w:space="0"/>
                    <w:left w:val="nil"/>
                    <w:bottom w:val="single" w:color="000000" w:sz="6" w:space="0"/>
                    <w:right w:val="single" w:color="000000" w:sz="6" w:space="0"/>
                  </w:tcBorders>
                  <w:noWrap w:val="0"/>
                  <w:vAlign w:val="center"/>
                </w:tcPr>
                <w:p w14:paraId="16983558">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b/>
                      <w:color w:val="auto"/>
                      <w:sz w:val="21"/>
                      <w:szCs w:val="21"/>
                    </w:rPr>
                  </w:pPr>
                  <w:r>
                    <w:rPr>
                      <w:rFonts w:hint="eastAsia"/>
                      <w:b/>
                      <w:color w:val="auto"/>
                      <w:sz w:val="21"/>
                      <w:szCs w:val="21"/>
                    </w:rPr>
                    <w:t>序号</w:t>
                  </w:r>
                </w:p>
              </w:tc>
              <w:tc>
                <w:tcPr>
                  <w:tcW w:w="4290" w:type="dxa"/>
                  <w:tcBorders>
                    <w:top w:val="single" w:color="000000" w:sz="12" w:space="0"/>
                    <w:left w:val="nil"/>
                    <w:bottom w:val="single" w:color="000000" w:sz="6" w:space="0"/>
                    <w:right w:val="single" w:color="000000" w:sz="6" w:space="0"/>
                  </w:tcBorders>
                  <w:noWrap w:val="0"/>
                  <w:vAlign w:val="center"/>
                </w:tcPr>
                <w:p w14:paraId="4B021DAE">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b/>
                      <w:color w:val="auto"/>
                      <w:sz w:val="21"/>
                      <w:szCs w:val="21"/>
                    </w:rPr>
                  </w:pPr>
                  <w:r>
                    <w:rPr>
                      <w:b/>
                      <w:color w:val="auto"/>
                      <w:sz w:val="21"/>
                      <w:szCs w:val="21"/>
                    </w:rPr>
                    <w:t>内容</w:t>
                  </w:r>
                </w:p>
              </w:tc>
              <w:tc>
                <w:tcPr>
                  <w:tcW w:w="2399" w:type="dxa"/>
                  <w:tcBorders>
                    <w:top w:val="single" w:color="000000" w:sz="12" w:space="0"/>
                    <w:left w:val="single" w:color="000000" w:sz="6" w:space="0"/>
                    <w:bottom w:val="single" w:color="000000" w:sz="6" w:space="0"/>
                    <w:right w:val="nil"/>
                  </w:tcBorders>
                  <w:noWrap w:val="0"/>
                  <w:vAlign w:val="center"/>
                </w:tcPr>
                <w:p w14:paraId="25B44F3A">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b/>
                      <w:color w:val="auto"/>
                      <w:sz w:val="21"/>
                      <w:szCs w:val="21"/>
                    </w:rPr>
                  </w:pPr>
                  <w:r>
                    <w:rPr>
                      <w:rFonts w:hint="eastAsia"/>
                      <w:b/>
                      <w:color w:val="auto"/>
                      <w:sz w:val="21"/>
                      <w:szCs w:val="21"/>
                      <w:lang w:val="en-US" w:eastAsia="zh-CN"/>
                    </w:rPr>
                    <w:t>相符</w:t>
                  </w:r>
                  <w:r>
                    <w:rPr>
                      <w:b/>
                      <w:color w:val="auto"/>
                      <w:sz w:val="21"/>
                      <w:szCs w:val="21"/>
                    </w:rPr>
                    <w:t>性分析</w:t>
                  </w:r>
                </w:p>
              </w:tc>
              <w:tc>
                <w:tcPr>
                  <w:tcW w:w="693" w:type="dxa"/>
                  <w:tcBorders>
                    <w:top w:val="single" w:color="000000" w:sz="12" w:space="0"/>
                    <w:left w:val="single" w:color="000000" w:sz="6" w:space="0"/>
                    <w:bottom w:val="single" w:color="000000" w:sz="6" w:space="0"/>
                    <w:right w:val="nil"/>
                  </w:tcBorders>
                  <w:noWrap w:val="0"/>
                  <w:vAlign w:val="center"/>
                </w:tcPr>
                <w:p w14:paraId="4C7F2B50">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b/>
                      <w:color w:val="auto"/>
                      <w:sz w:val="21"/>
                      <w:szCs w:val="21"/>
                    </w:rPr>
                  </w:pPr>
                  <w:r>
                    <w:rPr>
                      <w:rFonts w:hint="eastAsia"/>
                      <w:b/>
                      <w:color w:val="auto"/>
                      <w:sz w:val="21"/>
                      <w:szCs w:val="21"/>
                    </w:rPr>
                    <w:t>结论</w:t>
                  </w:r>
                </w:p>
              </w:tc>
            </w:tr>
            <w:tr w14:paraId="64EFEC1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657" w:type="dxa"/>
                  <w:tcBorders>
                    <w:top w:val="single" w:color="000000" w:sz="6" w:space="0"/>
                    <w:left w:val="nil"/>
                    <w:bottom w:val="single" w:color="000000" w:sz="6" w:space="0"/>
                    <w:right w:val="single" w:color="000000" w:sz="6" w:space="0"/>
                  </w:tcBorders>
                  <w:noWrap w:val="0"/>
                  <w:vAlign w:val="center"/>
                </w:tcPr>
                <w:p w14:paraId="4D968404">
                  <w:pPr>
                    <w:pStyle w:val="61"/>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1</w:t>
                  </w:r>
                </w:p>
              </w:tc>
              <w:tc>
                <w:tcPr>
                  <w:tcW w:w="4290" w:type="dxa"/>
                  <w:tcBorders>
                    <w:top w:val="single" w:color="000000" w:sz="6" w:space="0"/>
                    <w:left w:val="nil"/>
                    <w:bottom w:val="single" w:color="000000" w:sz="6" w:space="0"/>
                    <w:right w:val="single" w:color="000000" w:sz="6" w:space="0"/>
                  </w:tcBorders>
                  <w:noWrap w:val="0"/>
                  <w:vAlign w:val="center"/>
                </w:tcPr>
                <w:p w14:paraId="3C832628">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auto"/>
                      <w:sz w:val="21"/>
                      <w:szCs w:val="21"/>
                    </w:rPr>
                  </w:pPr>
                  <w:r>
                    <w:rPr>
                      <w:rFonts w:ascii="Times New Roman" w:hAnsi="Times New Roman" w:eastAsia="宋体"/>
                      <w:color w:val="auto"/>
                      <w:sz w:val="21"/>
                      <w:szCs w:val="21"/>
                    </w:rPr>
                    <w:t>禁止建设不符合国家和省级港口布局规划以及港口总体规划的码头项目。禁止建设不符合《长江干线过江通道布局规划》的过长江通道项目。</w:t>
                  </w:r>
                </w:p>
              </w:tc>
              <w:tc>
                <w:tcPr>
                  <w:tcW w:w="2399" w:type="dxa"/>
                  <w:tcBorders>
                    <w:top w:val="single" w:color="000000" w:sz="6" w:space="0"/>
                    <w:left w:val="single" w:color="000000" w:sz="6" w:space="0"/>
                    <w:bottom w:val="single" w:color="000000" w:sz="6" w:space="0"/>
                    <w:right w:val="nil"/>
                  </w:tcBorders>
                  <w:noWrap w:val="0"/>
                  <w:vAlign w:val="center"/>
                </w:tcPr>
                <w:p w14:paraId="1E296F05">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lang w:eastAsia="zh-CN"/>
                    </w:rPr>
                    <w:t>本项目</w:t>
                  </w:r>
                  <w:r>
                    <w:rPr>
                      <w:rFonts w:hint="eastAsia" w:ascii="Times New Roman" w:hAnsi="Times New Roman" w:eastAsia="宋体"/>
                      <w:color w:val="auto"/>
                      <w:sz w:val="21"/>
                      <w:szCs w:val="21"/>
                    </w:rPr>
                    <w:t>为</w:t>
                  </w:r>
                  <w:r>
                    <w:rPr>
                      <w:rFonts w:hint="eastAsia" w:ascii="Times New Roman" w:hAnsi="Times New Roman" w:eastAsia="宋体"/>
                      <w:color w:val="auto"/>
                      <w:sz w:val="21"/>
                      <w:szCs w:val="21"/>
                      <w:lang w:val="en-US" w:eastAsia="zh-CN"/>
                    </w:rPr>
                    <w:t>机动车燃油零售项目</w:t>
                  </w:r>
                  <w:r>
                    <w:rPr>
                      <w:rFonts w:hint="eastAsia" w:ascii="Times New Roman" w:hAnsi="Times New Roman" w:eastAsia="宋体"/>
                      <w:color w:val="auto"/>
                      <w:sz w:val="21"/>
                      <w:szCs w:val="21"/>
                    </w:rPr>
                    <w:t>，不属于码头和</w:t>
                  </w:r>
                  <w:r>
                    <w:rPr>
                      <w:rFonts w:ascii="Times New Roman" w:hAnsi="Times New Roman" w:eastAsia="宋体"/>
                      <w:color w:val="auto"/>
                      <w:sz w:val="21"/>
                      <w:szCs w:val="21"/>
                    </w:rPr>
                    <w:t>过</w:t>
                  </w:r>
                  <w:r>
                    <w:rPr>
                      <w:rFonts w:hint="eastAsia" w:ascii="Times New Roman" w:hAnsi="Times New Roman" w:eastAsia="宋体"/>
                      <w:color w:val="auto"/>
                      <w:sz w:val="21"/>
                      <w:szCs w:val="21"/>
                    </w:rPr>
                    <w:t>长江通道项目。</w:t>
                  </w:r>
                </w:p>
              </w:tc>
              <w:tc>
                <w:tcPr>
                  <w:tcW w:w="693" w:type="dxa"/>
                  <w:tcBorders>
                    <w:top w:val="single" w:color="000000" w:sz="6" w:space="0"/>
                    <w:left w:val="single" w:color="000000" w:sz="6" w:space="0"/>
                    <w:bottom w:val="single" w:color="000000" w:sz="6" w:space="0"/>
                    <w:right w:val="nil"/>
                  </w:tcBorders>
                  <w:noWrap w:val="0"/>
                  <w:vAlign w:val="center"/>
                </w:tcPr>
                <w:p w14:paraId="32F5624B">
                  <w:pPr>
                    <w:pStyle w:val="61"/>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olor w:val="auto"/>
                      <w:sz w:val="21"/>
                      <w:szCs w:val="21"/>
                    </w:rPr>
                  </w:pPr>
                  <w:r>
                    <w:rPr>
                      <w:rFonts w:ascii="Times New Roman" w:hAnsi="Times New Roman" w:eastAsia="宋体"/>
                      <w:color w:val="auto"/>
                      <w:sz w:val="21"/>
                      <w:szCs w:val="21"/>
                    </w:rPr>
                    <w:t>符合</w:t>
                  </w:r>
                </w:p>
              </w:tc>
            </w:tr>
            <w:tr w14:paraId="23A2B2B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657" w:type="dxa"/>
                  <w:tcBorders>
                    <w:top w:val="single" w:color="000000" w:sz="6" w:space="0"/>
                    <w:left w:val="nil"/>
                    <w:bottom w:val="single" w:color="000000" w:sz="6" w:space="0"/>
                    <w:right w:val="single" w:color="000000" w:sz="6" w:space="0"/>
                  </w:tcBorders>
                  <w:noWrap w:val="0"/>
                  <w:vAlign w:val="center"/>
                </w:tcPr>
                <w:p w14:paraId="6F75105D">
                  <w:pPr>
                    <w:pStyle w:val="61"/>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2</w:t>
                  </w:r>
                </w:p>
              </w:tc>
              <w:tc>
                <w:tcPr>
                  <w:tcW w:w="4290" w:type="dxa"/>
                  <w:tcBorders>
                    <w:top w:val="single" w:color="000000" w:sz="6" w:space="0"/>
                    <w:left w:val="nil"/>
                    <w:bottom w:val="single" w:color="000000" w:sz="6" w:space="0"/>
                    <w:right w:val="single" w:color="000000" w:sz="6" w:space="0"/>
                  </w:tcBorders>
                  <w:noWrap w:val="0"/>
                  <w:vAlign w:val="center"/>
                </w:tcPr>
                <w:p w14:paraId="41EBDDDE">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auto"/>
                      <w:sz w:val="21"/>
                      <w:szCs w:val="21"/>
                    </w:rPr>
                  </w:pPr>
                  <w:r>
                    <w:rPr>
                      <w:rFonts w:ascii="Times New Roman" w:hAnsi="Times New Roman" w:eastAsia="宋体"/>
                      <w:color w:val="auto"/>
                      <w:sz w:val="21"/>
                      <w:szCs w:val="21"/>
                    </w:rPr>
                    <w:t>禁止在自然保护区核心区、缓冲区的岸线和河段范围内投资建设旅游和生产经营项目。</w:t>
                  </w:r>
                </w:p>
              </w:tc>
              <w:tc>
                <w:tcPr>
                  <w:tcW w:w="2399" w:type="dxa"/>
                  <w:tcBorders>
                    <w:top w:val="single" w:color="000000" w:sz="6" w:space="0"/>
                    <w:left w:val="single" w:color="000000" w:sz="6" w:space="0"/>
                    <w:bottom w:val="single" w:color="000000" w:sz="6" w:space="0"/>
                    <w:right w:val="nil"/>
                  </w:tcBorders>
                  <w:noWrap w:val="0"/>
                  <w:vAlign w:val="center"/>
                </w:tcPr>
                <w:p w14:paraId="743080B0">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lang w:eastAsia="zh-CN"/>
                    </w:rPr>
                    <w:t>本项目</w:t>
                  </w:r>
                  <w:r>
                    <w:rPr>
                      <w:rFonts w:ascii="Times New Roman" w:hAnsi="Times New Roman" w:eastAsia="宋体"/>
                      <w:color w:val="auto"/>
                      <w:sz w:val="21"/>
                      <w:szCs w:val="21"/>
                    </w:rPr>
                    <w:t>不在自然保护区核心区、缓冲区的岸线和河段范围内</w:t>
                  </w:r>
                  <w:r>
                    <w:rPr>
                      <w:rFonts w:hint="eastAsia" w:ascii="Times New Roman" w:hAnsi="Times New Roman" w:eastAsia="宋体"/>
                      <w:color w:val="auto"/>
                      <w:sz w:val="21"/>
                      <w:szCs w:val="21"/>
                    </w:rPr>
                    <w:t>。</w:t>
                  </w:r>
                </w:p>
              </w:tc>
              <w:tc>
                <w:tcPr>
                  <w:tcW w:w="693" w:type="dxa"/>
                  <w:tcBorders>
                    <w:top w:val="single" w:color="000000" w:sz="6" w:space="0"/>
                    <w:left w:val="single" w:color="000000" w:sz="6" w:space="0"/>
                    <w:bottom w:val="single" w:color="000000" w:sz="6" w:space="0"/>
                    <w:right w:val="nil"/>
                  </w:tcBorders>
                  <w:noWrap w:val="0"/>
                  <w:vAlign w:val="center"/>
                </w:tcPr>
                <w:p w14:paraId="4505646D">
                  <w:pPr>
                    <w:pStyle w:val="61"/>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olor w:val="auto"/>
                      <w:sz w:val="21"/>
                      <w:szCs w:val="21"/>
                    </w:rPr>
                  </w:pPr>
                  <w:r>
                    <w:rPr>
                      <w:rFonts w:ascii="Times New Roman" w:hAnsi="Times New Roman" w:eastAsia="宋体"/>
                      <w:color w:val="auto"/>
                      <w:sz w:val="21"/>
                      <w:szCs w:val="21"/>
                    </w:rPr>
                    <w:t>符合</w:t>
                  </w:r>
                </w:p>
              </w:tc>
            </w:tr>
            <w:tr w14:paraId="746C2E3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657" w:type="dxa"/>
                  <w:tcBorders>
                    <w:top w:val="single" w:color="000000" w:sz="6" w:space="0"/>
                    <w:left w:val="nil"/>
                    <w:bottom w:val="single" w:color="000000" w:sz="6" w:space="0"/>
                    <w:right w:val="single" w:color="000000" w:sz="6" w:space="0"/>
                  </w:tcBorders>
                  <w:noWrap w:val="0"/>
                  <w:vAlign w:val="center"/>
                </w:tcPr>
                <w:p w14:paraId="34F7A8FB">
                  <w:pPr>
                    <w:pStyle w:val="61"/>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3</w:t>
                  </w:r>
                </w:p>
              </w:tc>
              <w:tc>
                <w:tcPr>
                  <w:tcW w:w="4290" w:type="dxa"/>
                  <w:tcBorders>
                    <w:top w:val="single" w:color="000000" w:sz="6" w:space="0"/>
                    <w:left w:val="nil"/>
                    <w:bottom w:val="single" w:color="000000" w:sz="6" w:space="0"/>
                    <w:right w:val="single" w:color="000000" w:sz="6" w:space="0"/>
                  </w:tcBorders>
                  <w:noWrap w:val="0"/>
                  <w:vAlign w:val="center"/>
                </w:tcPr>
                <w:p w14:paraId="50B2CF64">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auto"/>
                      <w:sz w:val="21"/>
                      <w:szCs w:val="21"/>
                    </w:rPr>
                  </w:pPr>
                  <w:r>
                    <w:rPr>
                      <w:rFonts w:ascii="Times New Roman" w:hAnsi="Times New Roman" w:eastAsia="宋体"/>
                      <w:color w:val="auto"/>
                      <w:sz w:val="21"/>
                      <w:szCs w:val="21"/>
                    </w:rPr>
                    <w:t>禁止在风景名胜区核心景区的岸线和河段范围内开展以下行为：</w:t>
                  </w:r>
                </w:p>
                <w:p w14:paraId="05BB9024">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auto"/>
                      <w:sz w:val="21"/>
                      <w:szCs w:val="21"/>
                    </w:rPr>
                  </w:pPr>
                  <w:r>
                    <w:rPr>
                      <w:rFonts w:ascii="Times New Roman" w:hAnsi="Times New Roman" w:eastAsia="宋体"/>
                      <w:color w:val="auto"/>
                      <w:sz w:val="21"/>
                      <w:szCs w:val="21"/>
                    </w:rPr>
                    <w:t>（一）开山、</w:t>
                  </w:r>
                  <w:r>
                    <w:rPr>
                      <w:rFonts w:hint="eastAsia" w:ascii="Times New Roman" w:hAnsi="Times New Roman" w:eastAsia="宋体"/>
                      <w:color w:val="auto"/>
                      <w:sz w:val="21"/>
                      <w:szCs w:val="21"/>
                    </w:rPr>
                    <w:t>采石</w:t>
                  </w:r>
                  <w:r>
                    <w:rPr>
                      <w:rFonts w:ascii="Times New Roman" w:hAnsi="Times New Roman" w:eastAsia="宋体"/>
                      <w:color w:val="auto"/>
                      <w:sz w:val="21"/>
                      <w:szCs w:val="21"/>
                    </w:rPr>
                    <w:t>、开矿、开荒、修坟立碑等破坏景观、植被和地形地貌的活动。</w:t>
                  </w:r>
                </w:p>
                <w:p w14:paraId="30033CD3">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auto"/>
                      <w:sz w:val="21"/>
                      <w:szCs w:val="21"/>
                    </w:rPr>
                  </w:pPr>
                  <w:r>
                    <w:rPr>
                      <w:rFonts w:ascii="Times New Roman" w:hAnsi="Times New Roman" w:eastAsia="宋体"/>
                      <w:color w:val="auto"/>
                      <w:sz w:val="21"/>
                      <w:szCs w:val="21"/>
                    </w:rPr>
                    <w:t>（二）修建储存爆炸性、易燃性、放射性、毒害性、腐蚀性物品的设施。</w:t>
                  </w:r>
                </w:p>
                <w:p w14:paraId="7207FDE9">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auto"/>
                      <w:sz w:val="21"/>
                      <w:szCs w:val="21"/>
                    </w:rPr>
                  </w:pPr>
                  <w:r>
                    <w:rPr>
                      <w:rFonts w:ascii="Times New Roman" w:hAnsi="Times New Roman" w:eastAsia="宋体"/>
                      <w:color w:val="auto"/>
                      <w:sz w:val="21"/>
                      <w:szCs w:val="21"/>
                    </w:rPr>
                    <w:t>（三）违反风景名胜区规划，建设与风景名胜资源保护无关的设施。</w:t>
                  </w:r>
                </w:p>
              </w:tc>
              <w:tc>
                <w:tcPr>
                  <w:tcW w:w="2399" w:type="dxa"/>
                  <w:tcBorders>
                    <w:top w:val="single" w:color="000000" w:sz="6" w:space="0"/>
                    <w:left w:val="single" w:color="000000" w:sz="6" w:space="0"/>
                    <w:bottom w:val="single" w:color="000000" w:sz="6" w:space="0"/>
                    <w:right w:val="nil"/>
                  </w:tcBorders>
                  <w:noWrap w:val="0"/>
                  <w:vAlign w:val="center"/>
                </w:tcPr>
                <w:p w14:paraId="2AA0EB63">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lang w:eastAsia="zh-CN"/>
                    </w:rPr>
                    <w:t>本项目</w:t>
                  </w:r>
                  <w:r>
                    <w:rPr>
                      <w:rFonts w:ascii="Times New Roman" w:hAnsi="Times New Roman" w:eastAsia="宋体"/>
                      <w:color w:val="auto"/>
                      <w:sz w:val="21"/>
                      <w:szCs w:val="21"/>
                    </w:rPr>
                    <w:t>不在风景名胜区</w:t>
                  </w:r>
                  <w:r>
                    <w:rPr>
                      <w:rFonts w:hint="eastAsia" w:ascii="Times New Roman" w:hAnsi="Times New Roman" w:eastAsia="宋体"/>
                      <w:color w:val="auto"/>
                      <w:sz w:val="21"/>
                      <w:szCs w:val="21"/>
                    </w:rPr>
                    <w:t>核心景区</w:t>
                  </w:r>
                  <w:r>
                    <w:rPr>
                      <w:rFonts w:ascii="Times New Roman" w:hAnsi="Times New Roman" w:eastAsia="宋体"/>
                      <w:color w:val="auto"/>
                      <w:sz w:val="21"/>
                      <w:szCs w:val="21"/>
                    </w:rPr>
                    <w:t>的岸线和河段范围内</w:t>
                  </w:r>
                  <w:r>
                    <w:rPr>
                      <w:rFonts w:hint="eastAsia" w:ascii="Times New Roman" w:hAnsi="Times New Roman" w:eastAsia="宋体"/>
                      <w:color w:val="auto"/>
                      <w:sz w:val="21"/>
                      <w:szCs w:val="21"/>
                    </w:rPr>
                    <w:t>。</w:t>
                  </w:r>
                </w:p>
              </w:tc>
              <w:tc>
                <w:tcPr>
                  <w:tcW w:w="693" w:type="dxa"/>
                  <w:tcBorders>
                    <w:top w:val="single" w:color="000000" w:sz="6" w:space="0"/>
                    <w:left w:val="single" w:color="000000" w:sz="6" w:space="0"/>
                    <w:bottom w:val="single" w:color="000000" w:sz="6" w:space="0"/>
                    <w:right w:val="nil"/>
                  </w:tcBorders>
                  <w:noWrap w:val="0"/>
                  <w:vAlign w:val="center"/>
                </w:tcPr>
                <w:p w14:paraId="6DC91465">
                  <w:pPr>
                    <w:pStyle w:val="61"/>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olor w:val="auto"/>
                      <w:sz w:val="21"/>
                      <w:szCs w:val="21"/>
                    </w:rPr>
                  </w:pPr>
                  <w:r>
                    <w:rPr>
                      <w:rFonts w:ascii="Times New Roman" w:hAnsi="Times New Roman" w:eastAsia="宋体"/>
                      <w:color w:val="auto"/>
                      <w:sz w:val="21"/>
                      <w:szCs w:val="21"/>
                    </w:rPr>
                    <w:t>符合</w:t>
                  </w:r>
                </w:p>
              </w:tc>
            </w:tr>
            <w:tr w14:paraId="35C28CB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657" w:type="dxa"/>
                  <w:tcBorders>
                    <w:top w:val="single" w:color="000000" w:sz="6" w:space="0"/>
                    <w:left w:val="nil"/>
                    <w:bottom w:val="single" w:color="000000" w:sz="6" w:space="0"/>
                    <w:right w:val="single" w:color="000000" w:sz="6" w:space="0"/>
                  </w:tcBorders>
                  <w:noWrap w:val="0"/>
                  <w:vAlign w:val="center"/>
                </w:tcPr>
                <w:p w14:paraId="0B9404DC">
                  <w:pPr>
                    <w:pStyle w:val="61"/>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4</w:t>
                  </w:r>
                </w:p>
              </w:tc>
              <w:tc>
                <w:tcPr>
                  <w:tcW w:w="4290" w:type="dxa"/>
                  <w:tcBorders>
                    <w:top w:val="single" w:color="000000" w:sz="6" w:space="0"/>
                    <w:left w:val="nil"/>
                    <w:bottom w:val="single" w:color="000000" w:sz="6" w:space="0"/>
                    <w:right w:val="single" w:color="000000" w:sz="6" w:space="0"/>
                  </w:tcBorders>
                  <w:noWrap w:val="0"/>
                  <w:vAlign w:val="center"/>
                </w:tcPr>
                <w:p w14:paraId="27C9B477">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auto"/>
                      <w:sz w:val="21"/>
                      <w:szCs w:val="21"/>
                    </w:rPr>
                  </w:pPr>
                  <w:r>
                    <w:rPr>
                      <w:rFonts w:ascii="Times New Roman" w:hAnsi="Times New Roman" w:eastAsia="宋体"/>
                      <w:color w:val="auto"/>
                      <w:sz w:val="21"/>
                      <w:szCs w:val="21"/>
                    </w:rPr>
                    <w:t>禁止在饮用水水源一级保护区的岸线和河段范围内开展下列行为：</w:t>
                  </w:r>
                </w:p>
                <w:p w14:paraId="602C4C59">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auto"/>
                      <w:sz w:val="21"/>
                      <w:szCs w:val="21"/>
                    </w:rPr>
                  </w:pPr>
                  <w:r>
                    <w:rPr>
                      <w:rFonts w:ascii="Times New Roman" w:hAnsi="Times New Roman" w:eastAsia="宋体"/>
                      <w:color w:val="auto"/>
                      <w:sz w:val="21"/>
                      <w:szCs w:val="21"/>
                    </w:rPr>
                    <w:t>（一）新建、改建、扩建与供水设施和保护水源无关的建设项目；已建成的与供水设施和保护水源无关的建设项目，由县级以上人民政府责令拆除或者关闭。</w:t>
                  </w:r>
                </w:p>
                <w:p w14:paraId="2A1A2F6E">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hint="eastAsia" w:ascii="Times New Roman" w:hAnsi="Times New Roman" w:eastAsia="宋体"/>
                      <w:color w:val="auto"/>
                      <w:sz w:val="21"/>
                      <w:szCs w:val="21"/>
                    </w:rPr>
                  </w:pPr>
                  <w:r>
                    <w:rPr>
                      <w:rFonts w:ascii="Times New Roman" w:hAnsi="Times New Roman" w:eastAsia="宋体"/>
                      <w:color w:val="auto"/>
                      <w:sz w:val="21"/>
                      <w:szCs w:val="21"/>
                    </w:rPr>
                    <w:t>（二）禁止在饮用水水源一级保护区内从事网箱养殖、旅游、游泳、垂钓或者其他可能污染饮用水水体的活动</w:t>
                  </w:r>
                  <w:r>
                    <w:rPr>
                      <w:rFonts w:hint="eastAsia" w:ascii="Times New Roman" w:hAnsi="Times New Roman" w:eastAsia="宋体"/>
                      <w:color w:val="auto"/>
                      <w:sz w:val="21"/>
                      <w:szCs w:val="21"/>
                    </w:rPr>
                    <w:t>。</w:t>
                  </w:r>
                </w:p>
              </w:tc>
              <w:tc>
                <w:tcPr>
                  <w:tcW w:w="2399" w:type="dxa"/>
                  <w:tcBorders>
                    <w:top w:val="single" w:color="000000" w:sz="6" w:space="0"/>
                    <w:left w:val="single" w:color="000000" w:sz="6" w:space="0"/>
                    <w:bottom w:val="single" w:color="000000" w:sz="6" w:space="0"/>
                    <w:right w:val="nil"/>
                  </w:tcBorders>
                  <w:noWrap w:val="0"/>
                  <w:vAlign w:val="center"/>
                </w:tcPr>
                <w:p w14:paraId="36F96F0C">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lang w:eastAsia="zh-CN"/>
                    </w:rPr>
                    <w:t>本项目</w:t>
                  </w:r>
                  <w:r>
                    <w:rPr>
                      <w:rFonts w:ascii="Times New Roman" w:hAnsi="Times New Roman" w:eastAsia="宋体"/>
                      <w:color w:val="auto"/>
                      <w:sz w:val="21"/>
                      <w:szCs w:val="21"/>
                    </w:rPr>
                    <w:t>不在饮用水水源一级保护区的岸线和河段范围内</w:t>
                  </w:r>
                  <w:r>
                    <w:rPr>
                      <w:rFonts w:hint="eastAsia" w:ascii="Times New Roman" w:hAnsi="Times New Roman" w:eastAsia="宋体"/>
                      <w:color w:val="auto"/>
                      <w:sz w:val="21"/>
                      <w:szCs w:val="21"/>
                    </w:rPr>
                    <w:t>。</w:t>
                  </w:r>
                </w:p>
              </w:tc>
              <w:tc>
                <w:tcPr>
                  <w:tcW w:w="693" w:type="dxa"/>
                  <w:tcBorders>
                    <w:top w:val="single" w:color="000000" w:sz="6" w:space="0"/>
                    <w:left w:val="single" w:color="000000" w:sz="6" w:space="0"/>
                    <w:bottom w:val="single" w:color="000000" w:sz="6" w:space="0"/>
                    <w:right w:val="nil"/>
                  </w:tcBorders>
                  <w:noWrap w:val="0"/>
                  <w:vAlign w:val="center"/>
                </w:tcPr>
                <w:p w14:paraId="06F79AE4">
                  <w:pPr>
                    <w:pStyle w:val="61"/>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符合</w:t>
                  </w:r>
                </w:p>
              </w:tc>
            </w:tr>
            <w:tr w14:paraId="3C8BA72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657" w:type="dxa"/>
                  <w:tcBorders>
                    <w:top w:val="single" w:color="000000" w:sz="6" w:space="0"/>
                    <w:left w:val="nil"/>
                    <w:bottom w:val="single" w:color="000000" w:sz="6" w:space="0"/>
                    <w:right w:val="single" w:color="000000" w:sz="6" w:space="0"/>
                  </w:tcBorders>
                  <w:noWrap w:val="0"/>
                  <w:vAlign w:val="center"/>
                </w:tcPr>
                <w:p w14:paraId="6BFB3434">
                  <w:pPr>
                    <w:pStyle w:val="61"/>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5</w:t>
                  </w:r>
                </w:p>
              </w:tc>
              <w:tc>
                <w:tcPr>
                  <w:tcW w:w="4290" w:type="dxa"/>
                  <w:tcBorders>
                    <w:top w:val="single" w:color="000000" w:sz="6" w:space="0"/>
                    <w:left w:val="nil"/>
                    <w:bottom w:val="single" w:color="000000" w:sz="6" w:space="0"/>
                    <w:right w:val="single" w:color="000000" w:sz="6" w:space="0"/>
                  </w:tcBorders>
                  <w:noWrap w:val="0"/>
                  <w:vAlign w:val="center"/>
                </w:tcPr>
                <w:p w14:paraId="6EACC9E5">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auto"/>
                      <w:sz w:val="21"/>
                      <w:szCs w:val="21"/>
                    </w:rPr>
                  </w:pPr>
                  <w:r>
                    <w:rPr>
                      <w:rFonts w:ascii="Times New Roman" w:hAnsi="Times New Roman" w:eastAsia="宋体"/>
                      <w:color w:val="auto"/>
                      <w:sz w:val="21"/>
                      <w:szCs w:val="21"/>
                    </w:rPr>
                    <w:t>禁止在饮用水水源二级保护区的岸线和河段范围内开展下列行为：</w:t>
                  </w:r>
                </w:p>
                <w:p w14:paraId="2532CF70">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auto"/>
                      <w:sz w:val="21"/>
                      <w:szCs w:val="21"/>
                    </w:rPr>
                  </w:pPr>
                  <w:r>
                    <w:rPr>
                      <w:rFonts w:ascii="Times New Roman" w:hAnsi="Times New Roman" w:eastAsia="宋体"/>
                      <w:color w:val="auto"/>
                      <w:sz w:val="21"/>
                      <w:szCs w:val="21"/>
                    </w:rPr>
                    <w:t>（一）新建、改建、扩建排放污染物的建设项目；已建成的排放污染物的建设项目，由县级以上人民政府责令拆除或者关闭。</w:t>
                  </w:r>
                </w:p>
                <w:p w14:paraId="7A7C0D54">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auto"/>
                      <w:sz w:val="21"/>
                      <w:szCs w:val="21"/>
                    </w:rPr>
                  </w:pPr>
                  <w:r>
                    <w:rPr>
                      <w:rFonts w:ascii="Times New Roman" w:hAnsi="Times New Roman" w:eastAsia="宋体"/>
                      <w:color w:val="auto"/>
                      <w:sz w:val="21"/>
                      <w:szCs w:val="21"/>
                    </w:rPr>
                    <w:t>（二）在饮用水水源二级保护区内从事网箱养殖、旅游等活动的，应当按照规定采取措施，防止污染饮用水水体。</w:t>
                  </w:r>
                </w:p>
              </w:tc>
              <w:tc>
                <w:tcPr>
                  <w:tcW w:w="2399" w:type="dxa"/>
                  <w:tcBorders>
                    <w:top w:val="single" w:color="000000" w:sz="6" w:space="0"/>
                    <w:left w:val="single" w:color="000000" w:sz="6" w:space="0"/>
                    <w:bottom w:val="single" w:color="000000" w:sz="6" w:space="0"/>
                    <w:right w:val="nil"/>
                  </w:tcBorders>
                  <w:noWrap w:val="0"/>
                  <w:vAlign w:val="center"/>
                </w:tcPr>
                <w:p w14:paraId="2266320A">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lang w:eastAsia="zh-CN"/>
                    </w:rPr>
                    <w:t>本项目</w:t>
                  </w:r>
                  <w:r>
                    <w:rPr>
                      <w:rFonts w:ascii="Times New Roman" w:hAnsi="Times New Roman" w:eastAsia="宋体"/>
                      <w:color w:val="auto"/>
                      <w:sz w:val="21"/>
                      <w:szCs w:val="21"/>
                    </w:rPr>
                    <w:t>不在饮用水水源二级保护区的岸线和河段范围内</w:t>
                  </w:r>
                  <w:r>
                    <w:rPr>
                      <w:rFonts w:hint="eastAsia" w:ascii="Times New Roman" w:hAnsi="Times New Roman" w:eastAsia="宋体"/>
                      <w:color w:val="auto"/>
                      <w:sz w:val="21"/>
                      <w:szCs w:val="21"/>
                    </w:rPr>
                    <w:t>。</w:t>
                  </w:r>
                </w:p>
              </w:tc>
              <w:tc>
                <w:tcPr>
                  <w:tcW w:w="693" w:type="dxa"/>
                  <w:tcBorders>
                    <w:top w:val="single" w:color="000000" w:sz="6" w:space="0"/>
                    <w:left w:val="single" w:color="000000" w:sz="6" w:space="0"/>
                    <w:bottom w:val="single" w:color="000000" w:sz="6" w:space="0"/>
                    <w:right w:val="nil"/>
                  </w:tcBorders>
                  <w:noWrap w:val="0"/>
                  <w:vAlign w:val="center"/>
                </w:tcPr>
                <w:p w14:paraId="56FED358">
                  <w:pPr>
                    <w:pStyle w:val="61"/>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olor w:val="auto"/>
                      <w:sz w:val="21"/>
                      <w:szCs w:val="21"/>
                    </w:rPr>
                  </w:pPr>
                  <w:r>
                    <w:rPr>
                      <w:rFonts w:ascii="Times New Roman" w:hAnsi="Times New Roman" w:eastAsia="宋体"/>
                      <w:color w:val="auto"/>
                      <w:sz w:val="21"/>
                      <w:szCs w:val="21"/>
                    </w:rPr>
                    <w:t>符合</w:t>
                  </w:r>
                </w:p>
              </w:tc>
            </w:tr>
            <w:tr w14:paraId="4FC3A8D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657" w:type="dxa"/>
                  <w:tcBorders>
                    <w:top w:val="single" w:color="000000" w:sz="6" w:space="0"/>
                    <w:left w:val="nil"/>
                    <w:bottom w:val="single" w:color="000000" w:sz="6" w:space="0"/>
                    <w:right w:val="single" w:color="000000" w:sz="6" w:space="0"/>
                  </w:tcBorders>
                  <w:noWrap w:val="0"/>
                  <w:vAlign w:val="center"/>
                </w:tcPr>
                <w:p w14:paraId="790BCF3F">
                  <w:pPr>
                    <w:pStyle w:val="61"/>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6</w:t>
                  </w:r>
                </w:p>
              </w:tc>
              <w:tc>
                <w:tcPr>
                  <w:tcW w:w="4290" w:type="dxa"/>
                  <w:tcBorders>
                    <w:top w:val="single" w:color="000000" w:sz="6" w:space="0"/>
                    <w:left w:val="nil"/>
                    <w:bottom w:val="single" w:color="000000" w:sz="6" w:space="0"/>
                    <w:right w:val="single" w:color="000000" w:sz="6" w:space="0"/>
                  </w:tcBorders>
                  <w:noWrap w:val="0"/>
                  <w:vAlign w:val="center"/>
                </w:tcPr>
                <w:p w14:paraId="2D46F4CD">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auto"/>
                      <w:sz w:val="21"/>
                      <w:szCs w:val="21"/>
                    </w:rPr>
                  </w:pPr>
                  <w:r>
                    <w:rPr>
                      <w:rFonts w:ascii="Times New Roman" w:hAnsi="Times New Roman" w:eastAsia="宋体"/>
                      <w:color w:val="auto"/>
                      <w:sz w:val="21"/>
                      <w:szCs w:val="21"/>
                    </w:rPr>
                    <w:t>禁止在水产种质资源保护区的岸线和河段范围内新建围湖（河）造田（地）等投资建设项目。</w:t>
                  </w:r>
                </w:p>
                <w:p w14:paraId="4327953C">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hint="eastAsia" w:ascii="Times New Roman" w:hAnsi="Times New Roman" w:eastAsia="宋体"/>
                      <w:color w:val="auto"/>
                      <w:sz w:val="21"/>
                      <w:szCs w:val="21"/>
                    </w:rPr>
                  </w:pPr>
                  <w:r>
                    <w:rPr>
                      <w:rFonts w:ascii="Times New Roman" w:hAnsi="Times New Roman" w:eastAsia="宋体"/>
                      <w:color w:val="auto"/>
                      <w:sz w:val="21"/>
                      <w:szCs w:val="21"/>
                    </w:rPr>
                    <w:t>单位和个人在水产种质资源保护区内从事水生生物资源</w:t>
                  </w:r>
                  <w:r>
                    <w:rPr>
                      <w:rFonts w:hint="eastAsia" w:ascii="Times New Roman" w:hAnsi="Times New Roman" w:eastAsia="宋体"/>
                      <w:color w:val="auto"/>
                      <w:sz w:val="21"/>
                      <w:szCs w:val="21"/>
                    </w:rPr>
                    <w:t>调查</w:t>
                  </w:r>
                  <w:r>
                    <w:rPr>
                      <w:rFonts w:ascii="Times New Roman" w:hAnsi="Times New Roman" w:eastAsia="宋体"/>
                      <w:color w:val="auto"/>
                      <w:sz w:val="21"/>
                      <w:szCs w:val="21"/>
                    </w:rPr>
                    <w:t>、科学研究、教学实习、参观游览、影视拍摄等活动，应当遵守有关法律法规和保护区管理制度，不得损害水产种质资源及其生存环境</w:t>
                  </w:r>
                  <w:r>
                    <w:rPr>
                      <w:rFonts w:hint="eastAsia" w:ascii="Times New Roman" w:hAnsi="Times New Roman" w:eastAsia="宋体"/>
                      <w:color w:val="auto"/>
                      <w:sz w:val="21"/>
                      <w:szCs w:val="21"/>
                    </w:rPr>
                    <w:t>。</w:t>
                  </w:r>
                </w:p>
              </w:tc>
              <w:tc>
                <w:tcPr>
                  <w:tcW w:w="2399" w:type="dxa"/>
                  <w:tcBorders>
                    <w:top w:val="single" w:color="000000" w:sz="6" w:space="0"/>
                    <w:left w:val="single" w:color="000000" w:sz="6" w:space="0"/>
                    <w:bottom w:val="single" w:color="000000" w:sz="6" w:space="0"/>
                    <w:right w:val="nil"/>
                  </w:tcBorders>
                  <w:noWrap w:val="0"/>
                  <w:vAlign w:val="center"/>
                </w:tcPr>
                <w:p w14:paraId="2680F868">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lang w:eastAsia="zh-CN"/>
                    </w:rPr>
                    <w:t>本项目</w:t>
                  </w:r>
                  <w:r>
                    <w:rPr>
                      <w:rFonts w:ascii="Times New Roman" w:hAnsi="Times New Roman" w:eastAsia="宋体"/>
                      <w:color w:val="auto"/>
                      <w:sz w:val="21"/>
                      <w:szCs w:val="21"/>
                    </w:rPr>
                    <w:t>不在水产种质资源保护区的岸线和河段范围内</w:t>
                  </w:r>
                  <w:r>
                    <w:rPr>
                      <w:rFonts w:hint="eastAsia" w:ascii="Times New Roman" w:hAnsi="Times New Roman" w:eastAsia="宋体"/>
                      <w:color w:val="auto"/>
                      <w:sz w:val="21"/>
                      <w:szCs w:val="21"/>
                    </w:rPr>
                    <w:t>。</w:t>
                  </w:r>
                </w:p>
              </w:tc>
              <w:tc>
                <w:tcPr>
                  <w:tcW w:w="693" w:type="dxa"/>
                  <w:tcBorders>
                    <w:top w:val="single" w:color="000000" w:sz="6" w:space="0"/>
                    <w:left w:val="single" w:color="000000" w:sz="6" w:space="0"/>
                    <w:bottom w:val="single" w:color="000000" w:sz="6" w:space="0"/>
                    <w:right w:val="nil"/>
                  </w:tcBorders>
                  <w:noWrap w:val="0"/>
                  <w:vAlign w:val="center"/>
                </w:tcPr>
                <w:p w14:paraId="4675BD4A">
                  <w:pPr>
                    <w:pStyle w:val="61"/>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olor w:val="auto"/>
                      <w:sz w:val="21"/>
                      <w:szCs w:val="21"/>
                    </w:rPr>
                  </w:pPr>
                  <w:r>
                    <w:rPr>
                      <w:rFonts w:ascii="Times New Roman" w:hAnsi="Times New Roman" w:eastAsia="宋体"/>
                      <w:color w:val="auto"/>
                      <w:sz w:val="21"/>
                      <w:szCs w:val="21"/>
                    </w:rPr>
                    <w:t>符合</w:t>
                  </w:r>
                </w:p>
              </w:tc>
            </w:tr>
            <w:tr w14:paraId="154E2EB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657" w:type="dxa"/>
                  <w:tcBorders>
                    <w:top w:val="single" w:color="000000" w:sz="6" w:space="0"/>
                    <w:left w:val="nil"/>
                    <w:bottom w:val="single" w:color="000000" w:sz="6" w:space="0"/>
                    <w:right w:val="single" w:color="000000" w:sz="6" w:space="0"/>
                  </w:tcBorders>
                  <w:noWrap w:val="0"/>
                  <w:vAlign w:val="center"/>
                </w:tcPr>
                <w:p w14:paraId="6AF64452">
                  <w:pPr>
                    <w:pStyle w:val="61"/>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7</w:t>
                  </w:r>
                </w:p>
              </w:tc>
              <w:tc>
                <w:tcPr>
                  <w:tcW w:w="4290" w:type="dxa"/>
                  <w:tcBorders>
                    <w:top w:val="single" w:color="000000" w:sz="6" w:space="0"/>
                    <w:left w:val="nil"/>
                    <w:bottom w:val="single" w:color="000000" w:sz="6" w:space="0"/>
                    <w:right w:val="single" w:color="000000" w:sz="6" w:space="0"/>
                  </w:tcBorders>
                  <w:noWrap w:val="0"/>
                  <w:vAlign w:val="center"/>
                </w:tcPr>
                <w:p w14:paraId="34116B72">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auto"/>
                      <w:sz w:val="21"/>
                      <w:szCs w:val="21"/>
                    </w:rPr>
                  </w:pPr>
                  <w:r>
                    <w:rPr>
                      <w:rFonts w:ascii="Times New Roman" w:hAnsi="Times New Roman" w:eastAsia="宋体"/>
                      <w:color w:val="auto"/>
                      <w:sz w:val="21"/>
                      <w:szCs w:val="21"/>
                    </w:rPr>
                    <w:t>除国家规定的外，禁止在国家湿地公园的岸线和河段范围内挖沙、</w:t>
                  </w:r>
                  <w:r>
                    <w:rPr>
                      <w:rFonts w:hint="eastAsia" w:ascii="Times New Roman" w:hAnsi="Times New Roman" w:eastAsia="宋体"/>
                      <w:color w:val="auto"/>
                      <w:sz w:val="21"/>
                      <w:szCs w:val="21"/>
                    </w:rPr>
                    <w:t>采矿</w:t>
                  </w:r>
                  <w:r>
                    <w:rPr>
                      <w:rFonts w:ascii="Times New Roman" w:hAnsi="Times New Roman" w:eastAsia="宋体"/>
                      <w:color w:val="auto"/>
                      <w:sz w:val="21"/>
                      <w:szCs w:val="21"/>
                    </w:rPr>
                    <w:t>以及任何不符合主体功能定位的投资建设项目。</w:t>
                  </w:r>
                </w:p>
              </w:tc>
              <w:tc>
                <w:tcPr>
                  <w:tcW w:w="2399" w:type="dxa"/>
                  <w:tcBorders>
                    <w:top w:val="single" w:color="000000" w:sz="6" w:space="0"/>
                    <w:left w:val="single" w:color="000000" w:sz="6" w:space="0"/>
                    <w:bottom w:val="single" w:color="000000" w:sz="6" w:space="0"/>
                    <w:right w:val="nil"/>
                  </w:tcBorders>
                  <w:noWrap w:val="0"/>
                  <w:vAlign w:val="center"/>
                </w:tcPr>
                <w:p w14:paraId="04C2F958">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lang w:eastAsia="zh-CN"/>
                    </w:rPr>
                    <w:t>本项目</w:t>
                  </w:r>
                  <w:r>
                    <w:rPr>
                      <w:rFonts w:ascii="Times New Roman" w:hAnsi="Times New Roman" w:eastAsia="宋体"/>
                      <w:color w:val="auto"/>
                      <w:sz w:val="21"/>
                      <w:szCs w:val="21"/>
                    </w:rPr>
                    <w:t>不在国家湿地公园的岸线和河段范围内</w:t>
                  </w:r>
                  <w:r>
                    <w:rPr>
                      <w:rFonts w:hint="eastAsia" w:ascii="Times New Roman" w:hAnsi="Times New Roman" w:eastAsia="宋体"/>
                      <w:color w:val="auto"/>
                      <w:sz w:val="21"/>
                      <w:szCs w:val="21"/>
                    </w:rPr>
                    <w:t>。</w:t>
                  </w:r>
                </w:p>
              </w:tc>
              <w:tc>
                <w:tcPr>
                  <w:tcW w:w="693" w:type="dxa"/>
                  <w:tcBorders>
                    <w:top w:val="single" w:color="000000" w:sz="6" w:space="0"/>
                    <w:left w:val="single" w:color="000000" w:sz="6" w:space="0"/>
                    <w:bottom w:val="single" w:color="000000" w:sz="6" w:space="0"/>
                    <w:right w:val="nil"/>
                  </w:tcBorders>
                  <w:noWrap w:val="0"/>
                  <w:vAlign w:val="center"/>
                </w:tcPr>
                <w:p w14:paraId="0CF2A91F">
                  <w:pPr>
                    <w:pStyle w:val="61"/>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olor w:val="auto"/>
                      <w:sz w:val="21"/>
                      <w:szCs w:val="21"/>
                    </w:rPr>
                  </w:pPr>
                  <w:r>
                    <w:rPr>
                      <w:rFonts w:ascii="Times New Roman" w:hAnsi="Times New Roman" w:eastAsia="宋体"/>
                      <w:color w:val="auto"/>
                      <w:sz w:val="21"/>
                      <w:szCs w:val="21"/>
                    </w:rPr>
                    <w:t>符合</w:t>
                  </w:r>
                </w:p>
              </w:tc>
            </w:tr>
            <w:tr w14:paraId="40ECA90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657" w:type="dxa"/>
                  <w:tcBorders>
                    <w:top w:val="single" w:color="000000" w:sz="6" w:space="0"/>
                    <w:left w:val="nil"/>
                    <w:bottom w:val="single" w:color="000000" w:sz="6" w:space="0"/>
                    <w:right w:val="single" w:color="000000" w:sz="6" w:space="0"/>
                  </w:tcBorders>
                  <w:noWrap w:val="0"/>
                  <w:vAlign w:val="center"/>
                </w:tcPr>
                <w:p w14:paraId="5097003C">
                  <w:pPr>
                    <w:pStyle w:val="61"/>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8</w:t>
                  </w:r>
                </w:p>
              </w:tc>
              <w:tc>
                <w:tcPr>
                  <w:tcW w:w="4290" w:type="dxa"/>
                  <w:tcBorders>
                    <w:top w:val="single" w:color="000000" w:sz="6" w:space="0"/>
                    <w:left w:val="nil"/>
                    <w:bottom w:val="single" w:color="000000" w:sz="6" w:space="0"/>
                    <w:right w:val="single" w:color="000000" w:sz="6" w:space="0"/>
                  </w:tcBorders>
                  <w:noWrap w:val="0"/>
                  <w:vAlign w:val="center"/>
                </w:tcPr>
                <w:p w14:paraId="001C4120">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auto"/>
                      <w:sz w:val="21"/>
                      <w:szCs w:val="21"/>
                    </w:rPr>
                  </w:pPr>
                  <w:r>
                    <w:rPr>
                      <w:rFonts w:ascii="Times New Roman" w:hAnsi="Times New Roman" w:eastAsia="宋体"/>
                      <w:color w:val="auto"/>
                      <w:sz w:val="21"/>
                      <w:szCs w:val="21"/>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w:t>
                  </w:r>
                </w:p>
              </w:tc>
              <w:tc>
                <w:tcPr>
                  <w:tcW w:w="2399" w:type="dxa"/>
                  <w:tcBorders>
                    <w:top w:val="single" w:color="000000" w:sz="6" w:space="0"/>
                    <w:left w:val="single" w:color="000000" w:sz="6" w:space="0"/>
                    <w:bottom w:val="single" w:color="000000" w:sz="6" w:space="0"/>
                    <w:right w:val="nil"/>
                  </w:tcBorders>
                  <w:noWrap w:val="0"/>
                  <w:vAlign w:val="center"/>
                </w:tcPr>
                <w:p w14:paraId="4B520903">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lang w:eastAsia="zh-CN"/>
                    </w:rPr>
                    <w:t>本项目</w:t>
                  </w:r>
                  <w:r>
                    <w:rPr>
                      <w:rFonts w:ascii="Times New Roman" w:hAnsi="Times New Roman" w:eastAsia="宋体"/>
                      <w:color w:val="auto"/>
                      <w:sz w:val="21"/>
                      <w:szCs w:val="21"/>
                    </w:rPr>
                    <w:t>不在《长江岸线保护和开发利用总体规划》划定的岸线保护区和保留区内</w:t>
                  </w:r>
                  <w:r>
                    <w:rPr>
                      <w:rFonts w:hint="eastAsia" w:ascii="Times New Roman" w:hAnsi="Times New Roman" w:eastAsia="宋体"/>
                      <w:color w:val="auto"/>
                      <w:sz w:val="21"/>
                      <w:szCs w:val="21"/>
                    </w:rPr>
                    <w:t>。</w:t>
                  </w:r>
                </w:p>
              </w:tc>
              <w:tc>
                <w:tcPr>
                  <w:tcW w:w="693" w:type="dxa"/>
                  <w:tcBorders>
                    <w:top w:val="single" w:color="000000" w:sz="6" w:space="0"/>
                    <w:left w:val="single" w:color="000000" w:sz="6" w:space="0"/>
                    <w:bottom w:val="single" w:color="000000" w:sz="6" w:space="0"/>
                    <w:right w:val="nil"/>
                  </w:tcBorders>
                  <w:noWrap w:val="0"/>
                  <w:vAlign w:val="center"/>
                </w:tcPr>
                <w:p w14:paraId="56B5778C">
                  <w:pPr>
                    <w:pStyle w:val="61"/>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olor w:val="auto"/>
                      <w:sz w:val="21"/>
                      <w:szCs w:val="21"/>
                    </w:rPr>
                  </w:pPr>
                  <w:r>
                    <w:rPr>
                      <w:rFonts w:ascii="Times New Roman" w:hAnsi="Times New Roman" w:eastAsia="宋体"/>
                      <w:color w:val="auto"/>
                      <w:sz w:val="21"/>
                      <w:szCs w:val="21"/>
                    </w:rPr>
                    <w:t>符合</w:t>
                  </w:r>
                </w:p>
              </w:tc>
            </w:tr>
            <w:tr w14:paraId="6759073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657" w:type="dxa"/>
                  <w:tcBorders>
                    <w:top w:val="single" w:color="000000" w:sz="6" w:space="0"/>
                    <w:left w:val="nil"/>
                    <w:bottom w:val="single" w:color="000000" w:sz="6" w:space="0"/>
                    <w:right w:val="single" w:color="000000" w:sz="6" w:space="0"/>
                  </w:tcBorders>
                  <w:noWrap w:val="0"/>
                  <w:vAlign w:val="center"/>
                </w:tcPr>
                <w:p w14:paraId="2F988B32">
                  <w:pPr>
                    <w:pStyle w:val="61"/>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9</w:t>
                  </w:r>
                </w:p>
              </w:tc>
              <w:tc>
                <w:tcPr>
                  <w:tcW w:w="4290" w:type="dxa"/>
                  <w:tcBorders>
                    <w:top w:val="single" w:color="000000" w:sz="6" w:space="0"/>
                    <w:left w:val="nil"/>
                    <w:bottom w:val="single" w:color="000000" w:sz="6" w:space="0"/>
                    <w:right w:val="single" w:color="000000" w:sz="6" w:space="0"/>
                  </w:tcBorders>
                  <w:noWrap w:val="0"/>
                  <w:vAlign w:val="center"/>
                </w:tcPr>
                <w:p w14:paraId="3E69413B">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auto"/>
                      <w:sz w:val="21"/>
                      <w:szCs w:val="21"/>
                    </w:rPr>
                  </w:pPr>
                  <w:r>
                    <w:rPr>
                      <w:rFonts w:ascii="Times New Roman" w:hAnsi="Times New Roman" w:eastAsia="宋体"/>
                      <w:color w:val="auto"/>
                      <w:sz w:val="21"/>
                      <w:szCs w:val="21"/>
                    </w:rPr>
                    <w:t>禁止在《全国重要江河湖泊水功能区划》划定的河段及湖泊保护区、保留区内投资建设不利于水资源及自然生态保护的项目。</w:t>
                  </w:r>
                </w:p>
              </w:tc>
              <w:tc>
                <w:tcPr>
                  <w:tcW w:w="2399" w:type="dxa"/>
                  <w:tcBorders>
                    <w:top w:val="single" w:color="000000" w:sz="6" w:space="0"/>
                    <w:left w:val="single" w:color="000000" w:sz="6" w:space="0"/>
                    <w:bottom w:val="single" w:color="000000" w:sz="6" w:space="0"/>
                    <w:right w:val="nil"/>
                  </w:tcBorders>
                  <w:noWrap w:val="0"/>
                  <w:vAlign w:val="center"/>
                </w:tcPr>
                <w:p w14:paraId="2B91DDF9">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lang w:eastAsia="zh-CN"/>
                    </w:rPr>
                    <w:t>本项目</w:t>
                  </w:r>
                  <w:r>
                    <w:rPr>
                      <w:rFonts w:ascii="Times New Roman" w:hAnsi="Times New Roman" w:eastAsia="宋体"/>
                      <w:color w:val="auto"/>
                      <w:sz w:val="21"/>
                      <w:szCs w:val="21"/>
                    </w:rPr>
                    <w:t>不在《全国重要江河湖泊水功能区划》</w:t>
                  </w:r>
                  <w:r>
                    <w:rPr>
                      <w:rFonts w:hint="eastAsia" w:ascii="Times New Roman" w:hAnsi="Times New Roman" w:eastAsia="宋体"/>
                      <w:color w:val="auto"/>
                      <w:sz w:val="21"/>
                      <w:szCs w:val="21"/>
                    </w:rPr>
                    <w:t>划定的</w:t>
                  </w:r>
                  <w:r>
                    <w:rPr>
                      <w:rFonts w:ascii="Times New Roman" w:hAnsi="Times New Roman" w:eastAsia="宋体"/>
                      <w:color w:val="auto"/>
                      <w:sz w:val="21"/>
                      <w:szCs w:val="21"/>
                    </w:rPr>
                    <w:t>河段及湖泊保护区、保留区内</w:t>
                  </w:r>
                  <w:r>
                    <w:rPr>
                      <w:rFonts w:hint="eastAsia" w:ascii="Times New Roman" w:hAnsi="Times New Roman" w:eastAsia="宋体"/>
                      <w:color w:val="auto"/>
                      <w:sz w:val="21"/>
                      <w:szCs w:val="21"/>
                    </w:rPr>
                    <w:t>。</w:t>
                  </w:r>
                </w:p>
              </w:tc>
              <w:tc>
                <w:tcPr>
                  <w:tcW w:w="693" w:type="dxa"/>
                  <w:tcBorders>
                    <w:top w:val="single" w:color="000000" w:sz="6" w:space="0"/>
                    <w:left w:val="single" w:color="000000" w:sz="6" w:space="0"/>
                    <w:bottom w:val="single" w:color="000000" w:sz="6" w:space="0"/>
                    <w:right w:val="nil"/>
                  </w:tcBorders>
                  <w:noWrap w:val="0"/>
                  <w:vAlign w:val="center"/>
                </w:tcPr>
                <w:p w14:paraId="778D6446">
                  <w:pPr>
                    <w:pStyle w:val="61"/>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olor w:val="auto"/>
                      <w:sz w:val="21"/>
                      <w:szCs w:val="21"/>
                    </w:rPr>
                  </w:pPr>
                  <w:r>
                    <w:rPr>
                      <w:rFonts w:ascii="Times New Roman" w:hAnsi="Times New Roman" w:eastAsia="宋体"/>
                      <w:color w:val="auto"/>
                      <w:sz w:val="21"/>
                      <w:szCs w:val="21"/>
                    </w:rPr>
                    <w:t>符合</w:t>
                  </w:r>
                </w:p>
              </w:tc>
            </w:tr>
            <w:tr w14:paraId="0B0F6EA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657" w:type="dxa"/>
                  <w:tcBorders>
                    <w:top w:val="single" w:color="000000" w:sz="6" w:space="0"/>
                    <w:left w:val="nil"/>
                    <w:bottom w:val="single" w:color="000000" w:sz="6" w:space="0"/>
                    <w:right w:val="single" w:color="000000" w:sz="6" w:space="0"/>
                  </w:tcBorders>
                  <w:noWrap w:val="0"/>
                  <w:vAlign w:val="center"/>
                </w:tcPr>
                <w:p w14:paraId="5073382D">
                  <w:pPr>
                    <w:pStyle w:val="61"/>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10</w:t>
                  </w:r>
                </w:p>
              </w:tc>
              <w:tc>
                <w:tcPr>
                  <w:tcW w:w="4290" w:type="dxa"/>
                  <w:tcBorders>
                    <w:top w:val="single" w:color="000000" w:sz="6" w:space="0"/>
                    <w:left w:val="nil"/>
                    <w:bottom w:val="single" w:color="000000" w:sz="6" w:space="0"/>
                    <w:right w:val="single" w:color="000000" w:sz="6" w:space="0"/>
                  </w:tcBorders>
                  <w:noWrap w:val="0"/>
                  <w:vAlign w:val="center"/>
                </w:tcPr>
                <w:p w14:paraId="39E02558">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auto"/>
                      <w:sz w:val="21"/>
                      <w:szCs w:val="21"/>
                    </w:rPr>
                  </w:pPr>
                  <w:r>
                    <w:rPr>
                      <w:rFonts w:ascii="Times New Roman" w:hAnsi="Times New Roman" w:eastAsia="宋体"/>
                      <w:color w:val="auto"/>
                      <w:sz w:val="21"/>
                      <w:szCs w:val="21"/>
                    </w:rPr>
                    <w:t>禁止未经许可在长江干支流及湖泊新设、改设或扩大排污口。</w:t>
                  </w:r>
                </w:p>
              </w:tc>
              <w:tc>
                <w:tcPr>
                  <w:tcW w:w="2399" w:type="dxa"/>
                  <w:tcBorders>
                    <w:top w:val="single" w:color="000000" w:sz="6" w:space="0"/>
                    <w:left w:val="single" w:color="000000" w:sz="6" w:space="0"/>
                    <w:bottom w:val="single" w:color="000000" w:sz="6" w:space="0"/>
                    <w:right w:val="nil"/>
                  </w:tcBorders>
                  <w:noWrap w:val="0"/>
                  <w:vAlign w:val="center"/>
                </w:tcPr>
                <w:p w14:paraId="47EDC74E">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lang w:eastAsia="zh-CN"/>
                    </w:rPr>
                    <w:t>本项目</w:t>
                  </w:r>
                  <w:r>
                    <w:rPr>
                      <w:rFonts w:ascii="Times New Roman" w:hAnsi="Times New Roman" w:eastAsia="宋体"/>
                      <w:color w:val="auto"/>
                      <w:sz w:val="21"/>
                      <w:szCs w:val="21"/>
                    </w:rPr>
                    <w:t>不</w:t>
                  </w:r>
                  <w:r>
                    <w:rPr>
                      <w:rFonts w:hint="eastAsia" w:ascii="Times New Roman" w:hAnsi="Times New Roman" w:eastAsia="宋体"/>
                      <w:color w:val="auto"/>
                      <w:sz w:val="21"/>
                      <w:szCs w:val="21"/>
                    </w:rPr>
                    <w:t>涉及</w:t>
                  </w:r>
                  <w:r>
                    <w:rPr>
                      <w:rFonts w:ascii="Times New Roman" w:hAnsi="Times New Roman" w:eastAsia="宋体"/>
                      <w:color w:val="auto"/>
                      <w:sz w:val="21"/>
                      <w:szCs w:val="21"/>
                    </w:rPr>
                    <w:t>新设、改设或扩大排污口</w:t>
                  </w:r>
                  <w:r>
                    <w:rPr>
                      <w:rFonts w:hint="eastAsia" w:ascii="Times New Roman" w:hAnsi="Times New Roman" w:eastAsia="宋体"/>
                      <w:color w:val="auto"/>
                      <w:sz w:val="21"/>
                      <w:szCs w:val="21"/>
                    </w:rPr>
                    <w:t>。</w:t>
                  </w:r>
                </w:p>
              </w:tc>
              <w:tc>
                <w:tcPr>
                  <w:tcW w:w="693" w:type="dxa"/>
                  <w:tcBorders>
                    <w:top w:val="single" w:color="000000" w:sz="6" w:space="0"/>
                    <w:left w:val="single" w:color="000000" w:sz="6" w:space="0"/>
                    <w:bottom w:val="single" w:color="000000" w:sz="6" w:space="0"/>
                    <w:right w:val="nil"/>
                  </w:tcBorders>
                  <w:noWrap w:val="0"/>
                  <w:vAlign w:val="center"/>
                </w:tcPr>
                <w:p w14:paraId="02814ACE">
                  <w:pPr>
                    <w:pStyle w:val="61"/>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olor w:val="auto"/>
                      <w:sz w:val="21"/>
                      <w:szCs w:val="21"/>
                    </w:rPr>
                  </w:pPr>
                  <w:r>
                    <w:rPr>
                      <w:rFonts w:ascii="Times New Roman" w:hAnsi="Times New Roman" w:eastAsia="宋体"/>
                      <w:color w:val="auto"/>
                      <w:sz w:val="21"/>
                      <w:szCs w:val="21"/>
                    </w:rPr>
                    <w:t>符合</w:t>
                  </w:r>
                </w:p>
              </w:tc>
            </w:tr>
            <w:tr w14:paraId="43AB210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657" w:type="dxa"/>
                  <w:tcBorders>
                    <w:top w:val="single" w:color="000000" w:sz="6" w:space="0"/>
                    <w:left w:val="nil"/>
                    <w:bottom w:val="single" w:color="000000" w:sz="6" w:space="0"/>
                    <w:right w:val="single" w:color="000000" w:sz="6" w:space="0"/>
                  </w:tcBorders>
                  <w:noWrap w:val="0"/>
                  <w:vAlign w:val="center"/>
                </w:tcPr>
                <w:p w14:paraId="791A64AA">
                  <w:pPr>
                    <w:pStyle w:val="61"/>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11</w:t>
                  </w:r>
                </w:p>
              </w:tc>
              <w:tc>
                <w:tcPr>
                  <w:tcW w:w="4290" w:type="dxa"/>
                  <w:tcBorders>
                    <w:top w:val="single" w:color="000000" w:sz="6" w:space="0"/>
                    <w:left w:val="nil"/>
                    <w:bottom w:val="single" w:color="000000" w:sz="6" w:space="0"/>
                    <w:right w:val="single" w:color="000000" w:sz="6" w:space="0"/>
                  </w:tcBorders>
                  <w:noWrap w:val="0"/>
                  <w:vAlign w:val="center"/>
                </w:tcPr>
                <w:p w14:paraId="4B9DDEEE">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auto"/>
                      <w:sz w:val="21"/>
                      <w:szCs w:val="21"/>
                    </w:rPr>
                  </w:pPr>
                  <w:r>
                    <w:rPr>
                      <w:rFonts w:ascii="Times New Roman" w:hAnsi="Times New Roman" w:eastAsia="宋体"/>
                      <w:color w:val="auto"/>
                      <w:sz w:val="21"/>
                      <w:szCs w:val="21"/>
                    </w:rPr>
                    <w:t>禁止在长江干流江西段、鄱阳湖和《率先全面禁捕的长江流域水生生物保护区名录》中的水生生物保护区开展生产性捕捞。</w:t>
                  </w:r>
                </w:p>
              </w:tc>
              <w:tc>
                <w:tcPr>
                  <w:tcW w:w="2399" w:type="dxa"/>
                  <w:tcBorders>
                    <w:top w:val="single" w:color="000000" w:sz="6" w:space="0"/>
                    <w:left w:val="single" w:color="000000" w:sz="6" w:space="0"/>
                    <w:bottom w:val="single" w:color="000000" w:sz="6" w:space="0"/>
                    <w:right w:val="nil"/>
                  </w:tcBorders>
                  <w:noWrap w:val="0"/>
                  <w:vAlign w:val="center"/>
                </w:tcPr>
                <w:p w14:paraId="2995444C">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lang w:eastAsia="zh-CN"/>
                    </w:rPr>
                    <w:t>本项目</w:t>
                  </w:r>
                  <w:r>
                    <w:rPr>
                      <w:rFonts w:ascii="Times New Roman" w:hAnsi="Times New Roman" w:eastAsia="宋体"/>
                      <w:color w:val="auto"/>
                      <w:sz w:val="21"/>
                      <w:szCs w:val="21"/>
                    </w:rPr>
                    <w:t>不</w:t>
                  </w:r>
                  <w:r>
                    <w:rPr>
                      <w:rFonts w:hint="eastAsia" w:ascii="Times New Roman" w:hAnsi="Times New Roman" w:eastAsia="宋体"/>
                      <w:color w:val="auto"/>
                      <w:sz w:val="21"/>
                      <w:szCs w:val="21"/>
                    </w:rPr>
                    <w:t>开展</w:t>
                  </w:r>
                  <w:r>
                    <w:rPr>
                      <w:rFonts w:ascii="Times New Roman" w:hAnsi="Times New Roman" w:eastAsia="宋体"/>
                      <w:color w:val="auto"/>
                      <w:sz w:val="21"/>
                      <w:szCs w:val="21"/>
                    </w:rPr>
                    <w:t>生产性捕捞</w:t>
                  </w:r>
                  <w:r>
                    <w:rPr>
                      <w:rFonts w:hint="eastAsia" w:ascii="Times New Roman" w:hAnsi="Times New Roman" w:eastAsia="宋体"/>
                      <w:color w:val="auto"/>
                      <w:sz w:val="21"/>
                      <w:szCs w:val="21"/>
                    </w:rPr>
                    <w:t>。</w:t>
                  </w:r>
                </w:p>
              </w:tc>
              <w:tc>
                <w:tcPr>
                  <w:tcW w:w="693" w:type="dxa"/>
                  <w:tcBorders>
                    <w:top w:val="single" w:color="000000" w:sz="6" w:space="0"/>
                    <w:left w:val="single" w:color="000000" w:sz="6" w:space="0"/>
                    <w:bottom w:val="single" w:color="000000" w:sz="6" w:space="0"/>
                    <w:right w:val="nil"/>
                  </w:tcBorders>
                  <w:noWrap w:val="0"/>
                  <w:vAlign w:val="center"/>
                </w:tcPr>
                <w:p w14:paraId="43EB1119">
                  <w:pPr>
                    <w:pStyle w:val="61"/>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olor w:val="auto"/>
                      <w:sz w:val="21"/>
                      <w:szCs w:val="21"/>
                    </w:rPr>
                  </w:pPr>
                  <w:r>
                    <w:rPr>
                      <w:rFonts w:ascii="Times New Roman" w:hAnsi="Times New Roman" w:eastAsia="宋体"/>
                      <w:color w:val="auto"/>
                      <w:sz w:val="21"/>
                      <w:szCs w:val="21"/>
                    </w:rPr>
                    <w:t>符合</w:t>
                  </w:r>
                </w:p>
              </w:tc>
            </w:tr>
            <w:tr w14:paraId="03F0A17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657" w:type="dxa"/>
                  <w:tcBorders>
                    <w:top w:val="single" w:color="000000" w:sz="6" w:space="0"/>
                    <w:left w:val="nil"/>
                    <w:bottom w:val="single" w:color="000000" w:sz="6" w:space="0"/>
                    <w:right w:val="single" w:color="000000" w:sz="6" w:space="0"/>
                  </w:tcBorders>
                  <w:noWrap w:val="0"/>
                  <w:vAlign w:val="center"/>
                </w:tcPr>
                <w:p w14:paraId="2C81D36E">
                  <w:pPr>
                    <w:pStyle w:val="61"/>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12</w:t>
                  </w:r>
                </w:p>
              </w:tc>
              <w:tc>
                <w:tcPr>
                  <w:tcW w:w="4290" w:type="dxa"/>
                  <w:tcBorders>
                    <w:top w:val="single" w:color="000000" w:sz="6" w:space="0"/>
                    <w:left w:val="nil"/>
                    <w:bottom w:val="single" w:color="000000" w:sz="6" w:space="0"/>
                    <w:right w:val="single" w:color="000000" w:sz="6" w:space="0"/>
                  </w:tcBorders>
                  <w:noWrap w:val="0"/>
                  <w:vAlign w:val="center"/>
                </w:tcPr>
                <w:p w14:paraId="60D9B364">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auto"/>
                      <w:sz w:val="21"/>
                      <w:szCs w:val="21"/>
                    </w:rPr>
                  </w:pPr>
                  <w:r>
                    <w:rPr>
                      <w:rFonts w:ascii="Times New Roman" w:hAnsi="Times New Roman" w:eastAsia="宋体"/>
                      <w:color w:val="auto"/>
                      <w:sz w:val="21"/>
                      <w:szCs w:val="21"/>
                    </w:rPr>
                    <w:t>禁止在长江干支流、重要湖泊岸线一公里范围内新建、扩建化工园区和化工项目。</w:t>
                  </w:r>
                </w:p>
              </w:tc>
              <w:tc>
                <w:tcPr>
                  <w:tcW w:w="2399" w:type="dxa"/>
                  <w:tcBorders>
                    <w:top w:val="single" w:color="000000" w:sz="6" w:space="0"/>
                    <w:left w:val="single" w:color="000000" w:sz="6" w:space="0"/>
                    <w:bottom w:val="single" w:color="000000" w:sz="6" w:space="0"/>
                    <w:right w:val="nil"/>
                  </w:tcBorders>
                  <w:noWrap w:val="0"/>
                  <w:vAlign w:val="center"/>
                </w:tcPr>
                <w:p w14:paraId="1FEC0A87">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lang w:eastAsia="zh-CN"/>
                    </w:rPr>
                    <w:t>本项目</w:t>
                  </w:r>
                  <w:r>
                    <w:rPr>
                      <w:rFonts w:hint="eastAsia" w:ascii="Times New Roman" w:hAnsi="Times New Roman" w:eastAsia="宋体"/>
                      <w:color w:val="auto"/>
                      <w:sz w:val="21"/>
                      <w:szCs w:val="21"/>
                    </w:rPr>
                    <w:t>不属于</w:t>
                  </w:r>
                  <w:r>
                    <w:rPr>
                      <w:rFonts w:ascii="Times New Roman" w:hAnsi="Times New Roman" w:eastAsia="宋体"/>
                      <w:color w:val="auto"/>
                      <w:sz w:val="21"/>
                      <w:szCs w:val="21"/>
                    </w:rPr>
                    <w:t>新建、扩建化工园区和化工项目</w:t>
                  </w:r>
                  <w:r>
                    <w:rPr>
                      <w:rFonts w:hint="eastAsia" w:ascii="Times New Roman" w:hAnsi="Times New Roman" w:eastAsia="宋体"/>
                      <w:color w:val="auto"/>
                      <w:sz w:val="21"/>
                      <w:szCs w:val="21"/>
                    </w:rPr>
                    <w:t>。</w:t>
                  </w:r>
                </w:p>
              </w:tc>
              <w:tc>
                <w:tcPr>
                  <w:tcW w:w="693" w:type="dxa"/>
                  <w:tcBorders>
                    <w:top w:val="single" w:color="000000" w:sz="6" w:space="0"/>
                    <w:left w:val="single" w:color="000000" w:sz="6" w:space="0"/>
                    <w:bottom w:val="single" w:color="000000" w:sz="6" w:space="0"/>
                    <w:right w:val="nil"/>
                  </w:tcBorders>
                  <w:noWrap w:val="0"/>
                  <w:vAlign w:val="center"/>
                </w:tcPr>
                <w:p w14:paraId="102BD20A">
                  <w:pPr>
                    <w:pStyle w:val="61"/>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olor w:val="auto"/>
                      <w:sz w:val="21"/>
                      <w:szCs w:val="21"/>
                    </w:rPr>
                  </w:pPr>
                  <w:r>
                    <w:rPr>
                      <w:rFonts w:ascii="Times New Roman" w:hAnsi="Times New Roman" w:eastAsia="宋体"/>
                      <w:color w:val="auto"/>
                      <w:sz w:val="21"/>
                      <w:szCs w:val="21"/>
                    </w:rPr>
                    <w:t>符合</w:t>
                  </w:r>
                </w:p>
              </w:tc>
            </w:tr>
            <w:tr w14:paraId="5A0B54B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657" w:type="dxa"/>
                  <w:tcBorders>
                    <w:top w:val="single" w:color="000000" w:sz="6" w:space="0"/>
                    <w:left w:val="nil"/>
                    <w:bottom w:val="single" w:color="000000" w:sz="6" w:space="0"/>
                    <w:right w:val="single" w:color="000000" w:sz="6" w:space="0"/>
                  </w:tcBorders>
                  <w:noWrap w:val="0"/>
                  <w:vAlign w:val="center"/>
                </w:tcPr>
                <w:p w14:paraId="14F0A03E">
                  <w:pPr>
                    <w:pStyle w:val="61"/>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13</w:t>
                  </w:r>
                </w:p>
              </w:tc>
              <w:tc>
                <w:tcPr>
                  <w:tcW w:w="4290" w:type="dxa"/>
                  <w:tcBorders>
                    <w:top w:val="single" w:color="000000" w:sz="6" w:space="0"/>
                    <w:left w:val="nil"/>
                    <w:bottom w:val="single" w:color="000000" w:sz="6" w:space="0"/>
                    <w:right w:val="single" w:color="000000" w:sz="6" w:space="0"/>
                  </w:tcBorders>
                  <w:noWrap w:val="0"/>
                  <w:vAlign w:val="center"/>
                </w:tcPr>
                <w:p w14:paraId="69A3782D">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auto"/>
                      <w:sz w:val="21"/>
                      <w:szCs w:val="21"/>
                    </w:rPr>
                  </w:pPr>
                  <w:r>
                    <w:rPr>
                      <w:rFonts w:ascii="Times New Roman" w:hAnsi="Times New Roman" w:eastAsia="宋体"/>
                      <w:color w:val="auto"/>
                      <w:sz w:val="21"/>
                      <w:szCs w:val="21"/>
                    </w:rPr>
                    <w:t>禁止在长江干流岸线三公里范围内和重要支流岸线一公里范围内新建、改建、扩建尾矿库、冶炼渣库和磷石膏库，以提升安全、生态环境保护水平为目的的改建除外。</w:t>
                  </w:r>
                </w:p>
              </w:tc>
              <w:tc>
                <w:tcPr>
                  <w:tcW w:w="2399" w:type="dxa"/>
                  <w:tcBorders>
                    <w:top w:val="single" w:color="000000" w:sz="6" w:space="0"/>
                    <w:left w:val="single" w:color="000000" w:sz="6" w:space="0"/>
                    <w:bottom w:val="single" w:color="000000" w:sz="6" w:space="0"/>
                    <w:right w:val="nil"/>
                  </w:tcBorders>
                  <w:noWrap w:val="0"/>
                  <w:vAlign w:val="center"/>
                </w:tcPr>
                <w:p w14:paraId="447C9635">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lang w:eastAsia="zh-CN"/>
                    </w:rPr>
                    <w:t>本项目</w:t>
                  </w:r>
                  <w:r>
                    <w:rPr>
                      <w:rFonts w:ascii="Times New Roman" w:hAnsi="Times New Roman" w:eastAsia="宋体"/>
                      <w:color w:val="auto"/>
                      <w:sz w:val="21"/>
                      <w:szCs w:val="21"/>
                    </w:rPr>
                    <w:t>不属于尾矿库、冶炼渣库和磷石膏库</w:t>
                  </w:r>
                  <w:r>
                    <w:rPr>
                      <w:rFonts w:hint="eastAsia" w:ascii="Times New Roman" w:hAnsi="Times New Roman" w:eastAsia="宋体"/>
                      <w:color w:val="auto"/>
                      <w:sz w:val="21"/>
                      <w:szCs w:val="21"/>
                    </w:rPr>
                    <w:t>项目。</w:t>
                  </w:r>
                </w:p>
              </w:tc>
              <w:tc>
                <w:tcPr>
                  <w:tcW w:w="693" w:type="dxa"/>
                  <w:tcBorders>
                    <w:top w:val="single" w:color="000000" w:sz="6" w:space="0"/>
                    <w:left w:val="single" w:color="000000" w:sz="6" w:space="0"/>
                    <w:bottom w:val="single" w:color="000000" w:sz="6" w:space="0"/>
                    <w:right w:val="nil"/>
                  </w:tcBorders>
                  <w:noWrap w:val="0"/>
                  <w:vAlign w:val="center"/>
                </w:tcPr>
                <w:p w14:paraId="344F8756">
                  <w:pPr>
                    <w:pStyle w:val="61"/>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olor w:val="auto"/>
                      <w:sz w:val="21"/>
                      <w:szCs w:val="21"/>
                    </w:rPr>
                  </w:pPr>
                  <w:r>
                    <w:rPr>
                      <w:rFonts w:ascii="Times New Roman" w:hAnsi="Times New Roman" w:eastAsia="宋体"/>
                      <w:color w:val="auto"/>
                      <w:sz w:val="21"/>
                      <w:szCs w:val="21"/>
                    </w:rPr>
                    <w:t>符合</w:t>
                  </w:r>
                </w:p>
              </w:tc>
            </w:tr>
            <w:tr w14:paraId="77E7AEC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657" w:type="dxa"/>
                  <w:tcBorders>
                    <w:top w:val="single" w:color="000000" w:sz="6" w:space="0"/>
                    <w:left w:val="nil"/>
                    <w:bottom w:val="single" w:color="000000" w:sz="6" w:space="0"/>
                    <w:right w:val="single" w:color="000000" w:sz="6" w:space="0"/>
                  </w:tcBorders>
                  <w:noWrap w:val="0"/>
                  <w:vAlign w:val="center"/>
                </w:tcPr>
                <w:p w14:paraId="2AE78D3A">
                  <w:pPr>
                    <w:pStyle w:val="61"/>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14</w:t>
                  </w:r>
                </w:p>
              </w:tc>
              <w:tc>
                <w:tcPr>
                  <w:tcW w:w="4290" w:type="dxa"/>
                  <w:tcBorders>
                    <w:top w:val="single" w:color="000000" w:sz="6" w:space="0"/>
                    <w:left w:val="nil"/>
                    <w:bottom w:val="single" w:color="000000" w:sz="6" w:space="0"/>
                    <w:right w:val="single" w:color="000000" w:sz="6" w:space="0"/>
                  </w:tcBorders>
                  <w:noWrap w:val="0"/>
                  <w:vAlign w:val="center"/>
                </w:tcPr>
                <w:p w14:paraId="525A8097">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auto"/>
                      <w:sz w:val="21"/>
                      <w:szCs w:val="21"/>
                    </w:rPr>
                  </w:pPr>
                  <w:r>
                    <w:rPr>
                      <w:rFonts w:ascii="Times New Roman" w:hAnsi="Times New Roman" w:eastAsia="宋体"/>
                      <w:color w:val="auto"/>
                      <w:sz w:val="21"/>
                      <w:szCs w:val="21"/>
                    </w:rPr>
                    <w:t>禁止在合规园区外新建、扩建钢铁、石化、化工、焦化、建材、有色、制浆造纸等高污染项目。</w:t>
                  </w:r>
                </w:p>
              </w:tc>
              <w:tc>
                <w:tcPr>
                  <w:tcW w:w="2399" w:type="dxa"/>
                  <w:tcBorders>
                    <w:top w:val="single" w:color="000000" w:sz="6" w:space="0"/>
                    <w:left w:val="single" w:color="000000" w:sz="6" w:space="0"/>
                    <w:bottom w:val="single" w:color="000000" w:sz="6" w:space="0"/>
                    <w:right w:val="nil"/>
                  </w:tcBorders>
                  <w:noWrap w:val="0"/>
                  <w:vAlign w:val="center"/>
                </w:tcPr>
                <w:p w14:paraId="1DB64E63">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lang w:eastAsia="zh-CN"/>
                    </w:rPr>
                    <w:t>本项目</w:t>
                  </w:r>
                  <w:r>
                    <w:rPr>
                      <w:rFonts w:ascii="Times New Roman" w:hAnsi="Times New Roman" w:eastAsia="宋体"/>
                      <w:color w:val="auto"/>
                      <w:sz w:val="21"/>
                      <w:szCs w:val="21"/>
                    </w:rPr>
                    <w:t>不属于钢铁、石化、化工、焦化、建材、有色、制浆造纸等</w:t>
                  </w:r>
                  <w:r>
                    <w:rPr>
                      <w:rFonts w:hint="eastAsia" w:ascii="Times New Roman" w:hAnsi="Times New Roman" w:eastAsia="宋体"/>
                      <w:color w:val="auto"/>
                      <w:sz w:val="21"/>
                      <w:szCs w:val="21"/>
                    </w:rPr>
                    <w:t>高污染项目。</w:t>
                  </w:r>
                </w:p>
              </w:tc>
              <w:tc>
                <w:tcPr>
                  <w:tcW w:w="693" w:type="dxa"/>
                  <w:tcBorders>
                    <w:top w:val="single" w:color="000000" w:sz="6" w:space="0"/>
                    <w:left w:val="single" w:color="000000" w:sz="6" w:space="0"/>
                    <w:bottom w:val="single" w:color="000000" w:sz="6" w:space="0"/>
                    <w:right w:val="nil"/>
                  </w:tcBorders>
                  <w:noWrap w:val="0"/>
                  <w:vAlign w:val="center"/>
                </w:tcPr>
                <w:p w14:paraId="37F27FBB">
                  <w:pPr>
                    <w:pStyle w:val="61"/>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olor w:val="auto"/>
                      <w:sz w:val="21"/>
                      <w:szCs w:val="21"/>
                    </w:rPr>
                  </w:pPr>
                  <w:r>
                    <w:rPr>
                      <w:rFonts w:ascii="Times New Roman" w:hAnsi="Times New Roman" w:eastAsia="宋体"/>
                      <w:color w:val="auto"/>
                      <w:sz w:val="21"/>
                      <w:szCs w:val="21"/>
                    </w:rPr>
                    <w:t>符合</w:t>
                  </w:r>
                </w:p>
              </w:tc>
            </w:tr>
            <w:tr w14:paraId="7AD2AA1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657" w:type="dxa"/>
                  <w:tcBorders>
                    <w:top w:val="single" w:color="000000" w:sz="6" w:space="0"/>
                    <w:left w:val="nil"/>
                    <w:bottom w:val="single" w:color="000000" w:sz="6" w:space="0"/>
                    <w:right w:val="single" w:color="000000" w:sz="6" w:space="0"/>
                  </w:tcBorders>
                  <w:noWrap w:val="0"/>
                  <w:vAlign w:val="center"/>
                </w:tcPr>
                <w:p w14:paraId="79D34FB2">
                  <w:pPr>
                    <w:pStyle w:val="61"/>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15</w:t>
                  </w:r>
                </w:p>
              </w:tc>
              <w:tc>
                <w:tcPr>
                  <w:tcW w:w="4290" w:type="dxa"/>
                  <w:tcBorders>
                    <w:top w:val="single" w:color="000000" w:sz="6" w:space="0"/>
                    <w:left w:val="nil"/>
                    <w:bottom w:val="single" w:color="000000" w:sz="6" w:space="0"/>
                    <w:right w:val="single" w:color="000000" w:sz="6" w:space="0"/>
                  </w:tcBorders>
                  <w:noWrap w:val="0"/>
                  <w:vAlign w:val="center"/>
                </w:tcPr>
                <w:p w14:paraId="316F70B9">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hint="eastAsia" w:ascii="Times New Roman" w:hAnsi="Times New Roman" w:eastAsia="宋体"/>
                      <w:color w:val="auto"/>
                      <w:sz w:val="21"/>
                      <w:szCs w:val="21"/>
                    </w:rPr>
                  </w:pPr>
                  <w:r>
                    <w:rPr>
                      <w:rFonts w:ascii="Times New Roman" w:hAnsi="Times New Roman" w:eastAsia="宋体"/>
                      <w:color w:val="auto"/>
                      <w:sz w:val="21"/>
                      <w:szCs w:val="21"/>
                    </w:rPr>
                    <w:t>禁止新建、扩建不符合国家石化、现代煤化工等产业布局规划的项目</w:t>
                  </w:r>
                  <w:r>
                    <w:rPr>
                      <w:rFonts w:hint="eastAsia" w:ascii="Times New Roman" w:hAnsi="Times New Roman" w:eastAsia="宋体"/>
                      <w:color w:val="auto"/>
                      <w:sz w:val="21"/>
                      <w:szCs w:val="21"/>
                    </w:rPr>
                    <w:t>。</w:t>
                  </w:r>
                </w:p>
              </w:tc>
              <w:tc>
                <w:tcPr>
                  <w:tcW w:w="2399" w:type="dxa"/>
                  <w:tcBorders>
                    <w:top w:val="single" w:color="000000" w:sz="6" w:space="0"/>
                    <w:left w:val="single" w:color="000000" w:sz="6" w:space="0"/>
                    <w:bottom w:val="single" w:color="000000" w:sz="6" w:space="0"/>
                    <w:right w:val="nil"/>
                  </w:tcBorders>
                  <w:noWrap w:val="0"/>
                  <w:vAlign w:val="center"/>
                </w:tcPr>
                <w:p w14:paraId="069E9583">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hint="eastAsia" w:ascii="Times New Roman" w:hAnsi="Times New Roman" w:eastAsia="宋体"/>
                      <w:color w:val="auto"/>
                      <w:sz w:val="21"/>
                      <w:szCs w:val="21"/>
                      <w:highlight w:val="cyan"/>
                    </w:rPr>
                  </w:pPr>
                  <w:r>
                    <w:rPr>
                      <w:rFonts w:hint="eastAsia" w:ascii="Times New Roman" w:hAnsi="Times New Roman" w:eastAsia="宋体"/>
                      <w:color w:val="auto"/>
                      <w:sz w:val="21"/>
                      <w:szCs w:val="21"/>
                      <w:lang w:eastAsia="zh-CN"/>
                    </w:rPr>
                    <w:t>本项目</w:t>
                  </w:r>
                  <w:r>
                    <w:rPr>
                      <w:rFonts w:hint="eastAsia" w:ascii="Times New Roman" w:hAnsi="Times New Roman" w:eastAsia="宋体"/>
                      <w:color w:val="auto"/>
                      <w:sz w:val="21"/>
                      <w:szCs w:val="21"/>
                    </w:rPr>
                    <w:t>不属于</w:t>
                  </w:r>
                  <w:r>
                    <w:rPr>
                      <w:rFonts w:ascii="Times New Roman" w:hAnsi="Times New Roman" w:eastAsia="宋体"/>
                      <w:color w:val="auto"/>
                      <w:sz w:val="21"/>
                      <w:szCs w:val="21"/>
                    </w:rPr>
                    <w:t>不符合国家</w:t>
                  </w:r>
                  <w:r>
                    <w:rPr>
                      <w:rFonts w:hint="eastAsia" w:ascii="Times New Roman" w:hAnsi="Times New Roman" w:eastAsia="宋体"/>
                      <w:color w:val="auto"/>
                      <w:sz w:val="21"/>
                      <w:szCs w:val="21"/>
                    </w:rPr>
                    <w:t>石化、现代煤化工</w:t>
                  </w:r>
                  <w:r>
                    <w:rPr>
                      <w:rFonts w:ascii="Times New Roman" w:hAnsi="Times New Roman" w:eastAsia="宋体"/>
                      <w:color w:val="auto"/>
                      <w:sz w:val="21"/>
                      <w:szCs w:val="21"/>
                    </w:rPr>
                    <w:t>等产业布局规划的</w:t>
                  </w:r>
                  <w:r>
                    <w:rPr>
                      <w:rFonts w:hint="eastAsia" w:ascii="Times New Roman" w:hAnsi="Times New Roman" w:eastAsia="宋体"/>
                      <w:color w:val="auto"/>
                      <w:sz w:val="21"/>
                      <w:szCs w:val="21"/>
                    </w:rPr>
                    <w:t>项目。</w:t>
                  </w:r>
                </w:p>
              </w:tc>
              <w:tc>
                <w:tcPr>
                  <w:tcW w:w="693" w:type="dxa"/>
                  <w:tcBorders>
                    <w:top w:val="single" w:color="000000" w:sz="6" w:space="0"/>
                    <w:left w:val="single" w:color="000000" w:sz="6" w:space="0"/>
                    <w:bottom w:val="single" w:color="000000" w:sz="6" w:space="0"/>
                    <w:right w:val="nil"/>
                  </w:tcBorders>
                  <w:noWrap w:val="0"/>
                  <w:vAlign w:val="center"/>
                </w:tcPr>
                <w:p w14:paraId="55D2F7A4">
                  <w:pPr>
                    <w:pStyle w:val="61"/>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olor w:val="auto"/>
                      <w:sz w:val="21"/>
                      <w:szCs w:val="21"/>
                    </w:rPr>
                  </w:pPr>
                  <w:r>
                    <w:rPr>
                      <w:rFonts w:ascii="Times New Roman" w:hAnsi="Times New Roman" w:eastAsia="宋体"/>
                      <w:color w:val="auto"/>
                      <w:sz w:val="21"/>
                      <w:szCs w:val="21"/>
                    </w:rPr>
                    <w:t>符合</w:t>
                  </w:r>
                </w:p>
              </w:tc>
            </w:tr>
            <w:tr w14:paraId="4DE98FA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657" w:type="dxa"/>
                  <w:tcBorders>
                    <w:top w:val="single" w:color="000000" w:sz="6" w:space="0"/>
                    <w:left w:val="nil"/>
                    <w:bottom w:val="single" w:color="000000" w:sz="6" w:space="0"/>
                    <w:right w:val="single" w:color="000000" w:sz="6" w:space="0"/>
                  </w:tcBorders>
                  <w:noWrap w:val="0"/>
                  <w:vAlign w:val="center"/>
                </w:tcPr>
                <w:p w14:paraId="23E07C58">
                  <w:pPr>
                    <w:pStyle w:val="61"/>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16</w:t>
                  </w:r>
                </w:p>
              </w:tc>
              <w:tc>
                <w:tcPr>
                  <w:tcW w:w="4290" w:type="dxa"/>
                  <w:tcBorders>
                    <w:top w:val="single" w:color="000000" w:sz="6" w:space="0"/>
                    <w:left w:val="nil"/>
                    <w:bottom w:val="single" w:color="000000" w:sz="6" w:space="0"/>
                    <w:right w:val="single" w:color="000000" w:sz="6" w:space="0"/>
                  </w:tcBorders>
                  <w:noWrap w:val="0"/>
                  <w:vAlign w:val="center"/>
                </w:tcPr>
                <w:p w14:paraId="46237CB5">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hint="eastAsia" w:ascii="Times New Roman" w:hAnsi="Times New Roman" w:eastAsia="宋体"/>
                      <w:color w:val="auto"/>
                      <w:sz w:val="21"/>
                      <w:szCs w:val="21"/>
                    </w:rPr>
                  </w:pPr>
                  <w:r>
                    <w:rPr>
                      <w:rFonts w:ascii="Times New Roman" w:hAnsi="Times New Roman" w:eastAsia="宋体"/>
                      <w:color w:val="auto"/>
                      <w:sz w:val="21"/>
                      <w:szCs w:val="21"/>
                    </w:rPr>
                    <w:t>禁止新建、扩建法律法规和相关政策明令禁止的落后产能项目，严格执行《产业结构调整指导目录》中淘汰类和限制类有关规定，禁止开展投资建设属于淘汰类的项目及其相关活动，禁止开展投资新建、扩建属于限制类的项目及其相关活动。对于属于限制类的现有生产能力，允许企业在一定期限内采取措施改造升级，严禁以改造为名扩大产能</w:t>
                  </w:r>
                  <w:r>
                    <w:rPr>
                      <w:rFonts w:hint="eastAsia" w:ascii="Times New Roman" w:hAnsi="Times New Roman" w:eastAsia="宋体"/>
                      <w:color w:val="auto"/>
                      <w:sz w:val="21"/>
                      <w:szCs w:val="21"/>
                    </w:rPr>
                    <w:t>。</w:t>
                  </w:r>
                </w:p>
              </w:tc>
              <w:tc>
                <w:tcPr>
                  <w:tcW w:w="2399" w:type="dxa"/>
                  <w:tcBorders>
                    <w:top w:val="single" w:color="000000" w:sz="6" w:space="0"/>
                    <w:left w:val="single" w:color="000000" w:sz="6" w:space="0"/>
                    <w:bottom w:val="single" w:color="000000" w:sz="6" w:space="0"/>
                    <w:right w:val="nil"/>
                  </w:tcBorders>
                  <w:noWrap w:val="0"/>
                  <w:vAlign w:val="center"/>
                </w:tcPr>
                <w:p w14:paraId="673B9A14">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hint="eastAsia" w:ascii="Times New Roman" w:hAnsi="Times New Roman" w:eastAsia="宋体"/>
                      <w:color w:val="auto"/>
                      <w:sz w:val="21"/>
                      <w:szCs w:val="21"/>
                      <w:highlight w:val="cyan"/>
                      <w:lang w:eastAsia="zh-CN"/>
                    </w:rPr>
                  </w:pPr>
                  <w:r>
                    <w:rPr>
                      <w:rFonts w:hint="eastAsia" w:ascii="Times New Roman" w:hAnsi="Times New Roman" w:eastAsia="宋体"/>
                      <w:color w:val="auto"/>
                      <w:sz w:val="21"/>
                      <w:szCs w:val="21"/>
                      <w:lang w:eastAsia="zh-CN"/>
                    </w:rPr>
                    <w:t>本项目</w:t>
                  </w:r>
                  <w:r>
                    <w:rPr>
                      <w:rFonts w:ascii="Times New Roman" w:hAnsi="Times New Roman" w:eastAsia="宋体"/>
                      <w:color w:val="auto"/>
                      <w:sz w:val="21"/>
                      <w:szCs w:val="21"/>
                    </w:rPr>
                    <w:t>不属于</w:t>
                  </w:r>
                  <w:r>
                    <w:rPr>
                      <w:rFonts w:hint="eastAsia" w:ascii="Times New Roman" w:hAnsi="Times New Roman" w:eastAsia="宋体"/>
                      <w:color w:val="auto"/>
                      <w:sz w:val="21"/>
                      <w:szCs w:val="21"/>
                      <w:lang w:val="en-US" w:eastAsia="zh-CN"/>
                    </w:rPr>
                    <w:t>限制类和淘汰类，属于允许类</w:t>
                  </w:r>
                  <w:r>
                    <w:rPr>
                      <w:rFonts w:hint="eastAsia" w:ascii="Times New Roman" w:hAnsi="Times New Roman" w:eastAsia="宋体"/>
                      <w:color w:val="auto"/>
                      <w:sz w:val="21"/>
                      <w:szCs w:val="21"/>
                      <w:lang w:eastAsia="zh-CN"/>
                    </w:rPr>
                    <w:t>。</w:t>
                  </w:r>
                </w:p>
              </w:tc>
              <w:tc>
                <w:tcPr>
                  <w:tcW w:w="693" w:type="dxa"/>
                  <w:tcBorders>
                    <w:top w:val="single" w:color="000000" w:sz="6" w:space="0"/>
                    <w:left w:val="single" w:color="000000" w:sz="6" w:space="0"/>
                    <w:bottom w:val="single" w:color="000000" w:sz="6" w:space="0"/>
                    <w:right w:val="nil"/>
                  </w:tcBorders>
                  <w:noWrap w:val="0"/>
                  <w:vAlign w:val="center"/>
                </w:tcPr>
                <w:p w14:paraId="2FB9D871">
                  <w:pPr>
                    <w:pStyle w:val="61"/>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olor w:val="auto"/>
                      <w:sz w:val="21"/>
                      <w:szCs w:val="21"/>
                    </w:rPr>
                  </w:pPr>
                  <w:r>
                    <w:rPr>
                      <w:rFonts w:ascii="Times New Roman" w:hAnsi="Times New Roman" w:eastAsia="宋体"/>
                      <w:color w:val="auto"/>
                      <w:sz w:val="21"/>
                      <w:szCs w:val="21"/>
                    </w:rPr>
                    <w:t>符合</w:t>
                  </w:r>
                </w:p>
              </w:tc>
            </w:tr>
            <w:tr w14:paraId="3777A3C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657" w:type="dxa"/>
                  <w:tcBorders>
                    <w:top w:val="single" w:color="000000" w:sz="6" w:space="0"/>
                    <w:left w:val="nil"/>
                    <w:bottom w:val="single" w:color="000000" w:sz="6" w:space="0"/>
                    <w:right w:val="single" w:color="000000" w:sz="6" w:space="0"/>
                  </w:tcBorders>
                  <w:noWrap w:val="0"/>
                  <w:vAlign w:val="center"/>
                </w:tcPr>
                <w:p w14:paraId="0FDEA924">
                  <w:pPr>
                    <w:pStyle w:val="61"/>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17</w:t>
                  </w:r>
                </w:p>
              </w:tc>
              <w:tc>
                <w:tcPr>
                  <w:tcW w:w="4290" w:type="dxa"/>
                  <w:tcBorders>
                    <w:top w:val="single" w:color="000000" w:sz="6" w:space="0"/>
                    <w:left w:val="nil"/>
                    <w:bottom w:val="single" w:color="000000" w:sz="6" w:space="0"/>
                    <w:right w:val="single" w:color="000000" w:sz="6" w:space="0"/>
                  </w:tcBorders>
                  <w:noWrap w:val="0"/>
                  <w:vAlign w:val="center"/>
                </w:tcPr>
                <w:p w14:paraId="032C09E7">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hint="eastAsia" w:ascii="Times New Roman" w:hAnsi="Times New Roman" w:eastAsia="宋体"/>
                      <w:color w:val="auto"/>
                      <w:sz w:val="21"/>
                      <w:szCs w:val="21"/>
                    </w:rPr>
                  </w:pPr>
                  <w:r>
                    <w:rPr>
                      <w:rFonts w:ascii="Times New Roman" w:hAnsi="Times New Roman" w:eastAsia="宋体"/>
                      <w:color w:val="auto"/>
                      <w:sz w:val="21"/>
                      <w:szCs w:val="21"/>
                    </w:rPr>
                    <w:t>禁止新建、扩建不符合国家产能置换要求的钢铁、电解铝、水泥熟料、平板玻璃、船舶等严重过剩产能行业的项目。严格执行《国务院关于化解产能严重过剩矛盾的指导意见》，各地各部门不得以任何名义、任何方式新增产能；对确有必要建设的，必须严格执行产能置换实施办法，实施减量或等量置换，依法依规办理有关手续</w:t>
                  </w:r>
                  <w:r>
                    <w:rPr>
                      <w:rFonts w:hint="eastAsia" w:ascii="Times New Roman" w:hAnsi="Times New Roman" w:eastAsia="宋体"/>
                      <w:color w:val="auto"/>
                      <w:sz w:val="21"/>
                      <w:szCs w:val="21"/>
                    </w:rPr>
                    <w:t>。</w:t>
                  </w:r>
                </w:p>
              </w:tc>
              <w:tc>
                <w:tcPr>
                  <w:tcW w:w="2399" w:type="dxa"/>
                  <w:tcBorders>
                    <w:top w:val="single" w:color="000000" w:sz="6" w:space="0"/>
                    <w:left w:val="single" w:color="000000" w:sz="6" w:space="0"/>
                    <w:bottom w:val="single" w:color="000000" w:sz="6" w:space="0"/>
                    <w:right w:val="nil"/>
                  </w:tcBorders>
                  <w:noWrap w:val="0"/>
                  <w:vAlign w:val="center"/>
                </w:tcPr>
                <w:p w14:paraId="45DC25FE">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hint="eastAsia" w:ascii="Times New Roman" w:hAnsi="Times New Roman" w:eastAsia="宋体"/>
                      <w:color w:val="auto"/>
                      <w:sz w:val="21"/>
                      <w:szCs w:val="21"/>
                      <w:highlight w:val="cyan"/>
                    </w:rPr>
                  </w:pPr>
                  <w:r>
                    <w:rPr>
                      <w:rFonts w:hint="eastAsia" w:ascii="Times New Roman" w:hAnsi="Times New Roman" w:eastAsia="宋体"/>
                      <w:color w:val="auto"/>
                      <w:sz w:val="21"/>
                      <w:szCs w:val="21"/>
                      <w:lang w:eastAsia="zh-CN"/>
                    </w:rPr>
                    <w:t>本项目</w:t>
                  </w:r>
                  <w:r>
                    <w:rPr>
                      <w:rFonts w:hint="eastAsia" w:ascii="Times New Roman" w:hAnsi="Times New Roman" w:eastAsia="宋体"/>
                      <w:color w:val="auto"/>
                      <w:sz w:val="21"/>
                      <w:szCs w:val="21"/>
                    </w:rPr>
                    <w:t>不属于</w:t>
                  </w:r>
                  <w:r>
                    <w:rPr>
                      <w:rFonts w:ascii="Times New Roman" w:hAnsi="Times New Roman" w:eastAsia="宋体"/>
                      <w:color w:val="auto"/>
                      <w:sz w:val="21"/>
                      <w:szCs w:val="21"/>
                    </w:rPr>
                    <w:t>不符合国家产能置换要求的钢铁、电解铝、水泥熟料、平板玻璃、船舶等</w:t>
                  </w:r>
                  <w:r>
                    <w:rPr>
                      <w:rFonts w:hint="eastAsia" w:ascii="Times New Roman" w:hAnsi="Times New Roman" w:eastAsia="宋体"/>
                      <w:color w:val="auto"/>
                      <w:sz w:val="21"/>
                      <w:szCs w:val="21"/>
                    </w:rPr>
                    <w:t>严重过剩产能行业的项目。</w:t>
                  </w:r>
                </w:p>
              </w:tc>
              <w:tc>
                <w:tcPr>
                  <w:tcW w:w="693" w:type="dxa"/>
                  <w:tcBorders>
                    <w:top w:val="single" w:color="000000" w:sz="6" w:space="0"/>
                    <w:left w:val="single" w:color="000000" w:sz="6" w:space="0"/>
                    <w:bottom w:val="single" w:color="000000" w:sz="6" w:space="0"/>
                    <w:right w:val="nil"/>
                  </w:tcBorders>
                  <w:noWrap w:val="0"/>
                  <w:vAlign w:val="center"/>
                </w:tcPr>
                <w:p w14:paraId="77F76609">
                  <w:pPr>
                    <w:pStyle w:val="61"/>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olor w:val="auto"/>
                      <w:sz w:val="21"/>
                      <w:szCs w:val="21"/>
                    </w:rPr>
                  </w:pPr>
                  <w:r>
                    <w:rPr>
                      <w:rFonts w:ascii="Times New Roman" w:hAnsi="Times New Roman" w:eastAsia="宋体"/>
                      <w:color w:val="auto"/>
                      <w:sz w:val="21"/>
                      <w:szCs w:val="21"/>
                    </w:rPr>
                    <w:t>符合</w:t>
                  </w:r>
                </w:p>
              </w:tc>
            </w:tr>
            <w:tr w14:paraId="33C08E7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657" w:type="dxa"/>
                  <w:tcBorders>
                    <w:top w:val="single" w:color="000000" w:sz="6" w:space="0"/>
                    <w:left w:val="nil"/>
                    <w:bottom w:val="single" w:color="000000" w:sz="12" w:space="0"/>
                    <w:right w:val="single" w:color="000000" w:sz="6" w:space="0"/>
                  </w:tcBorders>
                  <w:noWrap w:val="0"/>
                  <w:vAlign w:val="center"/>
                </w:tcPr>
                <w:p w14:paraId="148D1392">
                  <w:pPr>
                    <w:pStyle w:val="61"/>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18</w:t>
                  </w:r>
                </w:p>
              </w:tc>
              <w:tc>
                <w:tcPr>
                  <w:tcW w:w="4290" w:type="dxa"/>
                  <w:tcBorders>
                    <w:top w:val="single" w:color="000000" w:sz="6" w:space="0"/>
                    <w:left w:val="nil"/>
                    <w:bottom w:val="single" w:color="000000" w:sz="12" w:space="0"/>
                    <w:right w:val="single" w:color="000000" w:sz="6" w:space="0"/>
                  </w:tcBorders>
                  <w:noWrap w:val="0"/>
                  <w:vAlign w:val="center"/>
                </w:tcPr>
                <w:p w14:paraId="74A69613">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auto"/>
                      <w:sz w:val="21"/>
                      <w:szCs w:val="21"/>
                    </w:rPr>
                  </w:pPr>
                  <w:r>
                    <w:rPr>
                      <w:rFonts w:ascii="Times New Roman" w:hAnsi="Times New Roman" w:eastAsia="宋体"/>
                      <w:color w:val="auto"/>
                      <w:sz w:val="21"/>
                      <w:szCs w:val="21"/>
                    </w:rPr>
                    <w:t>禁止新建、扩建不符合要求的高耗能高排放项目。严格执行《江西省人民政府办公厅关于严格高耗能高排放项目准入管理的实施意见》（赣府厅发〔2021</w:t>
                  </w:r>
                  <w:r>
                    <w:rPr>
                      <w:rFonts w:hint="eastAsia" w:ascii="Times New Roman" w:hAnsi="Times New Roman" w:eastAsia="宋体"/>
                      <w:color w:val="auto"/>
                      <w:sz w:val="21"/>
                      <w:szCs w:val="21"/>
                    </w:rPr>
                    <w:t>〕</w:t>
                  </w:r>
                  <w:r>
                    <w:rPr>
                      <w:rFonts w:ascii="Times New Roman" w:hAnsi="Times New Roman" w:eastAsia="宋体"/>
                      <w:color w:val="auto"/>
                      <w:sz w:val="21"/>
                      <w:szCs w:val="21"/>
                    </w:rPr>
                    <w:t>33号），加强项目审查论证，落实等量、减量替代要求，规范项目行政审批。</w:t>
                  </w:r>
                </w:p>
              </w:tc>
              <w:tc>
                <w:tcPr>
                  <w:tcW w:w="2399" w:type="dxa"/>
                  <w:tcBorders>
                    <w:top w:val="single" w:color="000000" w:sz="6" w:space="0"/>
                    <w:left w:val="single" w:color="000000" w:sz="6" w:space="0"/>
                    <w:bottom w:val="single" w:color="000000" w:sz="12" w:space="0"/>
                    <w:right w:val="nil"/>
                  </w:tcBorders>
                  <w:noWrap w:val="0"/>
                  <w:vAlign w:val="center"/>
                </w:tcPr>
                <w:p w14:paraId="62E4D672">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hint="eastAsia" w:ascii="Times New Roman" w:hAnsi="Times New Roman" w:eastAsia="宋体"/>
                      <w:color w:val="auto"/>
                      <w:sz w:val="21"/>
                      <w:szCs w:val="21"/>
                      <w:highlight w:val="cyan"/>
                    </w:rPr>
                  </w:pPr>
                  <w:r>
                    <w:rPr>
                      <w:rFonts w:hint="eastAsia" w:ascii="Times New Roman" w:hAnsi="Times New Roman" w:eastAsia="宋体"/>
                      <w:color w:val="auto"/>
                      <w:sz w:val="21"/>
                      <w:szCs w:val="21"/>
                      <w:lang w:eastAsia="zh-CN"/>
                    </w:rPr>
                    <w:t>本项目</w:t>
                  </w:r>
                  <w:r>
                    <w:rPr>
                      <w:rFonts w:ascii="Times New Roman" w:hAnsi="Times New Roman" w:eastAsia="宋体"/>
                      <w:color w:val="auto"/>
                      <w:sz w:val="21"/>
                      <w:szCs w:val="21"/>
                    </w:rPr>
                    <w:t>不属于新建、扩建不符合要求的高耗能高排放项目</w:t>
                  </w:r>
                  <w:r>
                    <w:rPr>
                      <w:rFonts w:hint="eastAsia" w:ascii="Times New Roman" w:hAnsi="Times New Roman" w:eastAsia="宋体"/>
                      <w:color w:val="auto"/>
                      <w:sz w:val="21"/>
                      <w:szCs w:val="21"/>
                    </w:rPr>
                    <w:t>。</w:t>
                  </w:r>
                </w:p>
              </w:tc>
              <w:tc>
                <w:tcPr>
                  <w:tcW w:w="693" w:type="dxa"/>
                  <w:tcBorders>
                    <w:top w:val="single" w:color="000000" w:sz="6" w:space="0"/>
                    <w:left w:val="single" w:color="000000" w:sz="6" w:space="0"/>
                    <w:bottom w:val="single" w:color="000000" w:sz="12" w:space="0"/>
                    <w:right w:val="nil"/>
                  </w:tcBorders>
                  <w:noWrap w:val="0"/>
                  <w:vAlign w:val="center"/>
                </w:tcPr>
                <w:p w14:paraId="021134C4">
                  <w:pPr>
                    <w:pStyle w:val="61"/>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olor w:val="auto"/>
                      <w:sz w:val="21"/>
                      <w:szCs w:val="21"/>
                    </w:rPr>
                  </w:pPr>
                  <w:r>
                    <w:rPr>
                      <w:rFonts w:ascii="Times New Roman" w:hAnsi="Times New Roman" w:eastAsia="宋体"/>
                      <w:color w:val="auto"/>
                      <w:sz w:val="21"/>
                      <w:szCs w:val="21"/>
                    </w:rPr>
                    <w:t>符合</w:t>
                  </w:r>
                </w:p>
              </w:tc>
            </w:tr>
          </w:tbl>
          <w:p w14:paraId="35E892E5">
            <w:pPr>
              <w:pStyle w:val="2"/>
              <w:keepNext w:val="0"/>
              <w:keepLines w:val="0"/>
              <w:pageBreakBefore w:val="0"/>
              <w:widowControl w:val="0"/>
              <w:kinsoku/>
              <w:wordWrap/>
              <w:overflowPunct/>
              <w:topLinePunct w:val="0"/>
              <w:autoSpaceDE w:val="0"/>
              <w:autoSpaceDN w:val="0"/>
              <w:bidi w:val="0"/>
              <w:adjustRightInd/>
              <w:snapToGrid/>
              <w:spacing w:before="0" w:after="0" w:line="360" w:lineRule="auto"/>
              <w:ind w:firstLine="496" w:firstLineChars="200"/>
              <w:textAlignment w:val="auto"/>
              <w:rPr>
                <w:rFonts w:ascii="Times New Roman" w:hAnsi="Times New Roman" w:cs="Times New Roman"/>
                <w:color w:val="FF0000"/>
                <w:spacing w:val="4"/>
              </w:rPr>
            </w:pPr>
            <w:r>
              <w:rPr>
                <w:rFonts w:hint="eastAsia" w:ascii="Times New Roman" w:hAnsi="Times New Roman" w:cs="Times New Roman"/>
                <w:color w:val="auto"/>
                <w:spacing w:val="4"/>
                <w:sz w:val="24"/>
                <w:szCs w:val="24"/>
                <w:lang w:val="en-US" w:eastAsia="zh-CN"/>
              </w:rPr>
              <w:t>综上所述，本项目建设与</w:t>
            </w:r>
            <w:r>
              <w:rPr>
                <w:rFonts w:ascii="Times New Roman" w:hAnsi="Times New Roman" w:cs="Times New Roman"/>
                <w:color w:val="auto"/>
                <w:sz w:val="24"/>
                <w:szCs w:val="24"/>
              </w:rPr>
              <w:t>《江西省长江经济带发展负面清单实施细则（试行，2022年版）》（赣长江办〔2022〕7号）</w:t>
            </w:r>
            <w:r>
              <w:rPr>
                <w:rFonts w:hint="eastAsia" w:ascii="Times New Roman" w:hAnsi="Times New Roman" w:cs="Times New Roman"/>
                <w:color w:val="auto"/>
                <w:sz w:val="24"/>
                <w:szCs w:val="24"/>
                <w:lang w:val="en-US" w:eastAsia="zh-CN"/>
              </w:rPr>
              <w:t>相符。</w:t>
            </w:r>
          </w:p>
          <w:p w14:paraId="6C7B2CF2">
            <w:pPr>
              <w:keepNext w:val="0"/>
              <w:keepLines w:val="0"/>
              <w:pageBreakBefore w:val="0"/>
              <w:widowControl w:val="0"/>
              <w:tabs>
                <w:tab w:val="left" w:pos="7821"/>
              </w:tabs>
              <w:kinsoku/>
              <w:wordWrap/>
              <w:overflowPunct/>
              <w:topLinePunct w:val="0"/>
              <w:autoSpaceDE/>
              <w:autoSpaceDN/>
              <w:bidi w:val="0"/>
              <w:adjustRightInd/>
              <w:snapToGrid/>
              <w:spacing w:line="360" w:lineRule="auto"/>
              <w:ind w:firstLine="498" w:firstLineChars="200"/>
              <w:jc w:val="left"/>
              <w:textAlignment w:val="auto"/>
              <w:rPr>
                <w:b/>
                <w:bCs/>
                <w:color w:val="auto"/>
                <w:spacing w:val="4"/>
                <w:kern w:val="0"/>
                <w:sz w:val="24"/>
              </w:rPr>
            </w:pPr>
            <w:r>
              <w:rPr>
                <w:rFonts w:hint="eastAsia"/>
                <w:b/>
                <w:bCs/>
                <w:color w:val="auto"/>
                <w:spacing w:val="4"/>
                <w:kern w:val="0"/>
                <w:sz w:val="24"/>
                <w:lang w:val="en-US" w:eastAsia="zh-CN"/>
              </w:rPr>
              <w:t>6、</w:t>
            </w:r>
            <w:r>
              <w:rPr>
                <w:rFonts w:hint="eastAsia"/>
                <w:b/>
                <w:bCs/>
                <w:color w:val="auto"/>
                <w:spacing w:val="4"/>
                <w:kern w:val="0"/>
                <w:sz w:val="24"/>
              </w:rPr>
              <w:t>项目</w:t>
            </w:r>
            <w:r>
              <w:rPr>
                <w:b/>
                <w:bCs/>
                <w:color w:val="auto"/>
                <w:spacing w:val="4"/>
                <w:kern w:val="0"/>
                <w:sz w:val="24"/>
              </w:rPr>
              <w:t>与《中共中央国务院关于深入打好污染防治攻坚战的意见》</w:t>
            </w:r>
            <w:r>
              <w:rPr>
                <w:rFonts w:hint="eastAsia"/>
                <w:b/>
                <w:bCs/>
                <w:color w:val="auto"/>
                <w:spacing w:val="4"/>
                <w:kern w:val="0"/>
                <w:sz w:val="24"/>
              </w:rPr>
              <w:t>相符</w:t>
            </w:r>
            <w:r>
              <w:rPr>
                <w:b/>
                <w:bCs/>
                <w:color w:val="auto"/>
                <w:spacing w:val="4"/>
                <w:kern w:val="0"/>
                <w:sz w:val="24"/>
              </w:rPr>
              <w:t>性分析</w:t>
            </w:r>
          </w:p>
          <w:p w14:paraId="6FBD2B53">
            <w:pPr>
              <w:pStyle w:val="16"/>
              <w:keepNext w:val="0"/>
              <w:keepLines w:val="0"/>
              <w:pageBreakBefore w:val="0"/>
              <w:widowControl w:val="0"/>
              <w:tabs>
                <w:tab w:val="left" w:pos="3360"/>
              </w:tabs>
              <w:kinsoku/>
              <w:wordWrap/>
              <w:overflowPunct/>
              <w:topLinePunct w:val="0"/>
              <w:autoSpaceDE/>
              <w:autoSpaceDN/>
              <w:bidi w:val="0"/>
              <w:adjustRightInd/>
              <w:snapToGrid/>
              <w:spacing w:line="240" w:lineRule="auto"/>
              <w:ind w:firstLine="0" w:firstLineChars="0"/>
              <w:jc w:val="center"/>
              <w:textAlignment w:val="auto"/>
              <w:rPr>
                <w:rFonts w:hAnsi="Times New Roman"/>
                <w:b/>
                <w:color w:val="auto"/>
                <w:szCs w:val="21"/>
                <w:highlight w:val="none"/>
              </w:rPr>
            </w:pPr>
            <w:r>
              <w:rPr>
                <w:rFonts w:hAnsi="Times New Roman"/>
                <w:b/>
                <w:color w:val="auto"/>
                <w:szCs w:val="21"/>
                <w:highlight w:val="none"/>
              </w:rPr>
              <w:t>表</w:t>
            </w:r>
            <w:r>
              <w:rPr>
                <w:rFonts w:hint="default" w:ascii="Times New Roman" w:hAnsi="Times New Roman" w:cs="Times New Roman"/>
                <w:b/>
                <w:color w:val="auto"/>
                <w:szCs w:val="21"/>
                <w:highlight w:val="none"/>
              </w:rPr>
              <w:t>1-</w:t>
            </w:r>
            <w:r>
              <w:rPr>
                <w:rFonts w:hint="eastAsia" w:ascii="Times New Roman" w:hAnsi="Times New Roman" w:cs="Times New Roman"/>
                <w:b/>
                <w:color w:val="auto"/>
                <w:szCs w:val="21"/>
                <w:highlight w:val="none"/>
                <w:lang w:val="en-US" w:eastAsia="zh-CN"/>
              </w:rPr>
              <w:t>7</w:t>
            </w:r>
            <w:r>
              <w:rPr>
                <w:rFonts w:hAnsi="Times New Roman"/>
                <w:b/>
                <w:color w:val="auto"/>
                <w:szCs w:val="21"/>
                <w:highlight w:val="none"/>
              </w:rPr>
              <w:t xml:space="preserve">   </w:t>
            </w:r>
            <w:r>
              <w:rPr>
                <w:rFonts w:hint="eastAsia" w:hAnsi="Times New Roman"/>
                <w:b/>
                <w:color w:val="auto"/>
                <w:szCs w:val="21"/>
                <w:highlight w:val="none"/>
              </w:rPr>
              <w:t>项目</w:t>
            </w:r>
            <w:r>
              <w:rPr>
                <w:rFonts w:hAnsi="Times New Roman"/>
                <w:b/>
                <w:color w:val="auto"/>
                <w:szCs w:val="21"/>
                <w:highlight w:val="none"/>
              </w:rPr>
              <w:t>与《中共中央国务院关于深入打好污染防治攻坚战的意见》</w:t>
            </w:r>
            <w:r>
              <w:rPr>
                <w:rFonts w:hint="eastAsia" w:hAnsi="Times New Roman"/>
                <w:b/>
                <w:color w:val="auto"/>
                <w:szCs w:val="21"/>
                <w:highlight w:val="none"/>
              </w:rPr>
              <w:t>相符</w:t>
            </w:r>
            <w:r>
              <w:rPr>
                <w:rFonts w:hAnsi="Times New Roman"/>
                <w:b/>
                <w:color w:val="auto"/>
                <w:szCs w:val="21"/>
                <w:highlight w:val="none"/>
              </w:rPr>
              <w:t>性分析</w:t>
            </w:r>
          </w:p>
          <w:tbl>
            <w:tblPr>
              <w:tblStyle w:val="3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0"/>
              <w:gridCol w:w="4671"/>
              <w:gridCol w:w="2028"/>
              <w:gridCol w:w="680"/>
            </w:tblGrid>
            <w:tr w14:paraId="0B5529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 w:hRule="atLeast"/>
                <w:tblHeader/>
                <w:jc w:val="center"/>
              </w:trPr>
              <w:tc>
                <w:tcPr>
                  <w:tcW w:w="657" w:type="dxa"/>
                  <w:noWrap w:val="0"/>
                  <w:vAlign w:val="center"/>
                </w:tcPr>
                <w:p w14:paraId="0FDDE443">
                  <w:pPr>
                    <w:keepNext w:val="0"/>
                    <w:keepLines w:val="0"/>
                    <w:pageBreakBefore w:val="0"/>
                    <w:widowControl w:val="0"/>
                    <w:tabs>
                      <w:tab w:val="left" w:pos="3360"/>
                    </w:tabs>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b/>
                      <w:bCs/>
                      <w:color w:val="auto"/>
                      <w:sz w:val="21"/>
                      <w:szCs w:val="21"/>
                    </w:rPr>
                  </w:pPr>
                  <w:r>
                    <w:rPr>
                      <w:b/>
                      <w:bCs/>
                      <w:color w:val="auto"/>
                      <w:sz w:val="21"/>
                      <w:szCs w:val="21"/>
                    </w:rPr>
                    <w:t>规范</w:t>
                  </w:r>
                </w:p>
              </w:tc>
              <w:tc>
                <w:tcPr>
                  <w:tcW w:w="4647" w:type="dxa"/>
                  <w:noWrap w:val="0"/>
                  <w:vAlign w:val="center"/>
                </w:tcPr>
                <w:p w14:paraId="2079A1E5">
                  <w:pPr>
                    <w:keepNext w:val="0"/>
                    <w:keepLines w:val="0"/>
                    <w:pageBreakBefore w:val="0"/>
                    <w:widowControl w:val="0"/>
                    <w:tabs>
                      <w:tab w:val="left" w:pos="3360"/>
                    </w:tabs>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b/>
                      <w:bCs/>
                      <w:color w:val="auto"/>
                      <w:sz w:val="21"/>
                      <w:szCs w:val="21"/>
                    </w:rPr>
                  </w:pPr>
                  <w:r>
                    <w:rPr>
                      <w:b/>
                      <w:bCs/>
                      <w:color w:val="auto"/>
                      <w:sz w:val="21"/>
                      <w:szCs w:val="21"/>
                    </w:rPr>
                    <w:t>相关要求</w:t>
                  </w:r>
                </w:p>
              </w:tc>
              <w:tc>
                <w:tcPr>
                  <w:tcW w:w="2018" w:type="dxa"/>
                  <w:noWrap w:val="0"/>
                  <w:vAlign w:val="center"/>
                </w:tcPr>
                <w:p w14:paraId="4191DDD8">
                  <w:pPr>
                    <w:keepNext w:val="0"/>
                    <w:keepLines w:val="0"/>
                    <w:pageBreakBefore w:val="0"/>
                    <w:widowControl w:val="0"/>
                    <w:tabs>
                      <w:tab w:val="left" w:pos="3360"/>
                    </w:tabs>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eastAsia"/>
                      <w:b/>
                      <w:bCs/>
                      <w:color w:val="auto"/>
                      <w:sz w:val="21"/>
                      <w:szCs w:val="21"/>
                    </w:rPr>
                  </w:pPr>
                  <w:r>
                    <w:rPr>
                      <w:rFonts w:hint="eastAsia"/>
                      <w:b/>
                      <w:bCs/>
                      <w:color w:val="auto"/>
                      <w:sz w:val="21"/>
                      <w:szCs w:val="21"/>
                      <w:lang w:val="en-US" w:eastAsia="zh-CN"/>
                    </w:rPr>
                    <w:t>相符性</w:t>
                  </w:r>
                  <w:r>
                    <w:rPr>
                      <w:rFonts w:hint="eastAsia"/>
                      <w:b/>
                      <w:bCs/>
                      <w:color w:val="auto"/>
                      <w:sz w:val="21"/>
                      <w:szCs w:val="21"/>
                    </w:rPr>
                    <w:t>分析</w:t>
                  </w:r>
                </w:p>
              </w:tc>
              <w:tc>
                <w:tcPr>
                  <w:tcW w:w="676" w:type="dxa"/>
                  <w:noWrap w:val="0"/>
                  <w:vAlign w:val="center"/>
                </w:tcPr>
                <w:p w14:paraId="55A162C0">
                  <w:pPr>
                    <w:keepNext w:val="0"/>
                    <w:keepLines w:val="0"/>
                    <w:pageBreakBefore w:val="0"/>
                    <w:widowControl w:val="0"/>
                    <w:tabs>
                      <w:tab w:val="left" w:pos="3360"/>
                    </w:tabs>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eastAsia"/>
                      <w:b/>
                      <w:bCs/>
                      <w:color w:val="auto"/>
                      <w:sz w:val="21"/>
                      <w:szCs w:val="21"/>
                    </w:rPr>
                  </w:pPr>
                  <w:r>
                    <w:rPr>
                      <w:rFonts w:hint="eastAsia"/>
                      <w:b/>
                      <w:bCs/>
                      <w:color w:val="auto"/>
                      <w:sz w:val="21"/>
                      <w:szCs w:val="21"/>
                    </w:rPr>
                    <w:t>结论</w:t>
                  </w:r>
                </w:p>
              </w:tc>
            </w:tr>
            <w:tr w14:paraId="04A985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7" w:type="dxa"/>
                  <w:vMerge w:val="restart"/>
                  <w:noWrap w:val="0"/>
                  <w:vAlign w:val="center"/>
                </w:tcPr>
                <w:p w14:paraId="001855C3">
                  <w:pPr>
                    <w:keepNext w:val="0"/>
                    <w:keepLines w:val="0"/>
                    <w:pageBreakBefore w:val="0"/>
                    <w:widowControl w:val="0"/>
                    <w:tabs>
                      <w:tab w:val="left" w:pos="3360"/>
                    </w:tabs>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color w:val="auto"/>
                      <w:sz w:val="21"/>
                      <w:szCs w:val="21"/>
                    </w:rPr>
                  </w:pPr>
                  <w:r>
                    <w:rPr>
                      <w:color w:val="auto"/>
                      <w:sz w:val="21"/>
                      <w:szCs w:val="21"/>
                    </w:rPr>
                    <w:t>《关于深入打好污染防治攻坚战的意见》</w:t>
                  </w:r>
                </w:p>
              </w:tc>
              <w:tc>
                <w:tcPr>
                  <w:tcW w:w="4647" w:type="dxa"/>
                  <w:noWrap w:val="0"/>
                  <w:vAlign w:val="center"/>
                </w:tcPr>
                <w:p w14:paraId="053CF725">
                  <w:pPr>
                    <w:keepNext w:val="0"/>
                    <w:keepLines w:val="0"/>
                    <w:pageBreakBefore w:val="0"/>
                    <w:widowControl w:val="0"/>
                    <w:tabs>
                      <w:tab w:val="left" w:pos="3360"/>
                    </w:tabs>
                    <w:kinsoku/>
                    <w:wordWrap/>
                    <w:overflowPunct/>
                    <w:topLinePunct w:val="0"/>
                    <w:autoSpaceDE w:val="0"/>
                    <w:autoSpaceDN w:val="0"/>
                    <w:bidi w:val="0"/>
                    <w:adjustRightInd/>
                    <w:snapToGrid w:val="0"/>
                    <w:spacing w:line="240" w:lineRule="auto"/>
                    <w:ind w:left="0" w:leftChars="0" w:right="0" w:rightChars="0" w:firstLine="420" w:firstLineChars="200"/>
                    <w:jc w:val="both"/>
                    <w:textAlignment w:val="auto"/>
                    <w:rPr>
                      <w:color w:val="auto"/>
                      <w:sz w:val="21"/>
                      <w:szCs w:val="21"/>
                    </w:rPr>
                  </w:pPr>
                  <w:r>
                    <w:rPr>
                      <w:color w:val="auto"/>
                      <w:sz w:val="21"/>
                      <w:szCs w:val="21"/>
                    </w:rPr>
                    <w:t>（六）推动能源清洁低碳转型。在保障能源安全的前提下，加快煤炭减量步伐，实施可再生能源替代行动。“十四五”时期，严控煤炭消费增长，非化石能源消费比重提高到20%左右，京津冀及周边地区、长三角地区煤炭消费量分别下降10%、5%左右，汾渭平原煤炭消费量实现负增长。原则上不再新增自备燃煤机组，支持自备燃煤机组实施清洁能源替代，鼓励自备电厂转为公用电厂。坚持“增气减煤”同步，新增液化气优先保障居民生活和清洁取暖需求。提高电能占终端能源消费比重。重点区域的平原地区散煤基本清零。有序扩大清洁取暖试点城市范围，稳步提升北方地区清洁取暖水平。</w:t>
                  </w:r>
                </w:p>
              </w:tc>
              <w:tc>
                <w:tcPr>
                  <w:tcW w:w="2018" w:type="dxa"/>
                  <w:noWrap w:val="0"/>
                  <w:vAlign w:val="center"/>
                </w:tcPr>
                <w:p w14:paraId="31EA0D1E">
                  <w:pPr>
                    <w:keepNext w:val="0"/>
                    <w:keepLines w:val="0"/>
                    <w:pageBreakBefore w:val="0"/>
                    <w:widowControl w:val="0"/>
                    <w:tabs>
                      <w:tab w:val="left" w:pos="3360"/>
                    </w:tabs>
                    <w:kinsoku/>
                    <w:wordWrap/>
                    <w:overflowPunct/>
                    <w:topLinePunct w:val="0"/>
                    <w:autoSpaceDE w:val="0"/>
                    <w:autoSpaceDN w:val="0"/>
                    <w:bidi w:val="0"/>
                    <w:adjustRightInd/>
                    <w:snapToGrid w:val="0"/>
                    <w:spacing w:line="240" w:lineRule="auto"/>
                    <w:ind w:left="0" w:leftChars="0" w:right="0" w:rightChars="0" w:firstLine="420" w:firstLineChars="200"/>
                    <w:jc w:val="both"/>
                    <w:textAlignment w:val="auto"/>
                    <w:rPr>
                      <w:rFonts w:hint="eastAsia"/>
                      <w:color w:val="auto"/>
                      <w:sz w:val="21"/>
                      <w:szCs w:val="21"/>
                    </w:rPr>
                  </w:pPr>
                  <w:r>
                    <w:rPr>
                      <w:rFonts w:hint="eastAsia"/>
                      <w:color w:val="auto"/>
                      <w:sz w:val="21"/>
                      <w:szCs w:val="21"/>
                      <w:lang w:eastAsia="zh-CN"/>
                    </w:rPr>
                    <w:t>本项目</w:t>
                  </w:r>
                  <w:r>
                    <w:rPr>
                      <w:color w:val="auto"/>
                      <w:sz w:val="21"/>
                      <w:szCs w:val="21"/>
                    </w:rPr>
                    <w:t>不新增自备燃煤机组，不使用煤等非清洁能源</w:t>
                  </w:r>
                  <w:r>
                    <w:rPr>
                      <w:rFonts w:hint="eastAsia"/>
                      <w:color w:val="auto"/>
                      <w:sz w:val="21"/>
                      <w:szCs w:val="21"/>
                    </w:rPr>
                    <w:t>。</w:t>
                  </w:r>
                </w:p>
              </w:tc>
              <w:tc>
                <w:tcPr>
                  <w:tcW w:w="676" w:type="dxa"/>
                  <w:noWrap w:val="0"/>
                  <w:vAlign w:val="center"/>
                </w:tcPr>
                <w:p w14:paraId="0FC674F5">
                  <w:pPr>
                    <w:keepNext w:val="0"/>
                    <w:keepLines w:val="0"/>
                    <w:pageBreakBefore w:val="0"/>
                    <w:widowControl w:val="0"/>
                    <w:tabs>
                      <w:tab w:val="left" w:pos="3360"/>
                    </w:tabs>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color w:val="auto"/>
                      <w:sz w:val="21"/>
                      <w:szCs w:val="21"/>
                    </w:rPr>
                  </w:pPr>
                  <w:r>
                    <w:rPr>
                      <w:color w:val="auto"/>
                      <w:sz w:val="21"/>
                      <w:szCs w:val="21"/>
                    </w:rPr>
                    <w:t>符合</w:t>
                  </w:r>
                </w:p>
              </w:tc>
            </w:tr>
            <w:tr w14:paraId="76A668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7" w:type="dxa"/>
                  <w:vMerge w:val="continue"/>
                  <w:noWrap w:val="0"/>
                  <w:vAlign w:val="center"/>
                </w:tcPr>
                <w:p w14:paraId="7C97B1A4">
                  <w:pPr>
                    <w:keepNext w:val="0"/>
                    <w:keepLines w:val="0"/>
                    <w:pageBreakBefore w:val="0"/>
                    <w:widowControl w:val="0"/>
                    <w:tabs>
                      <w:tab w:val="left" w:pos="3360"/>
                    </w:tabs>
                    <w:kinsoku/>
                    <w:wordWrap/>
                    <w:overflowPunct/>
                    <w:topLinePunct w:val="0"/>
                    <w:autoSpaceDE w:val="0"/>
                    <w:autoSpaceDN w:val="0"/>
                    <w:bidi w:val="0"/>
                    <w:adjustRightInd/>
                    <w:snapToGrid w:val="0"/>
                    <w:spacing w:line="240" w:lineRule="auto"/>
                    <w:ind w:right="0" w:rightChars="0"/>
                    <w:jc w:val="center"/>
                    <w:textAlignment w:val="auto"/>
                    <w:rPr>
                      <w:color w:val="auto"/>
                      <w:sz w:val="21"/>
                      <w:szCs w:val="21"/>
                    </w:rPr>
                  </w:pPr>
                </w:p>
              </w:tc>
              <w:tc>
                <w:tcPr>
                  <w:tcW w:w="4647" w:type="dxa"/>
                  <w:noWrap w:val="0"/>
                  <w:vAlign w:val="center"/>
                </w:tcPr>
                <w:p w14:paraId="462C829D">
                  <w:pPr>
                    <w:keepNext w:val="0"/>
                    <w:keepLines w:val="0"/>
                    <w:pageBreakBefore w:val="0"/>
                    <w:widowControl w:val="0"/>
                    <w:tabs>
                      <w:tab w:val="left" w:pos="3360"/>
                    </w:tabs>
                    <w:kinsoku/>
                    <w:wordWrap/>
                    <w:overflowPunct/>
                    <w:topLinePunct w:val="0"/>
                    <w:autoSpaceDE w:val="0"/>
                    <w:autoSpaceDN w:val="0"/>
                    <w:bidi w:val="0"/>
                    <w:adjustRightInd/>
                    <w:snapToGrid w:val="0"/>
                    <w:spacing w:line="240" w:lineRule="auto"/>
                    <w:ind w:left="0" w:leftChars="0" w:right="0" w:rightChars="0" w:firstLine="420" w:firstLineChars="200"/>
                    <w:jc w:val="both"/>
                    <w:textAlignment w:val="auto"/>
                    <w:rPr>
                      <w:color w:val="auto"/>
                      <w:sz w:val="21"/>
                      <w:szCs w:val="21"/>
                    </w:rPr>
                  </w:pPr>
                  <w:r>
                    <w:rPr>
                      <w:color w:val="auto"/>
                      <w:sz w:val="21"/>
                      <w:szCs w:val="21"/>
                    </w:rPr>
                    <w:t>（七）坚决遏制高耗能高排放项目盲目发展。严把高耗能高排放项目准入关口，严格落实污染物排放区域削减要求，对不符合规定的项目坚决停批停建。依法依规淘汰落后产能和化解过剩产能。推动高炉－转炉长流程炼钢转型为电炉短流程炼钢。重点区域严禁新增钢铁、焦化、水泥熟料、平板玻璃、电解铝、氧化铝、煤化工产能，合理控制煤制油气产能规模，严控新增炼油产能。</w:t>
                  </w:r>
                </w:p>
              </w:tc>
              <w:tc>
                <w:tcPr>
                  <w:tcW w:w="2018" w:type="dxa"/>
                  <w:noWrap w:val="0"/>
                  <w:vAlign w:val="center"/>
                </w:tcPr>
                <w:p w14:paraId="39D9EAF4">
                  <w:pPr>
                    <w:keepNext w:val="0"/>
                    <w:keepLines w:val="0"/>
                    <w:pageBreakBefore w:val="0"/>
                    <w:widowControl w:val="0"/>
                    <w:tabs>
                      <w:tab w:val="left" w:pos="3360"/>
                    </w:tabs>
                    <w:kinsoku/>
                    <w:wordWrap/>
                    <w:overflowPunct/>
                    <w:topLinePunct w:val="0"/>
                    <w:autoSpaceDE w:val="0"/>
                    <w:autoSpaceDN w:val="0"/>
                    <w:bidi w:val="0"/>
                    <w:adjustRightInd/>
                    <w:snapToGrid w:val="0"/>
                    <w:spacing w:line="240" w:lineRule="auto"/>
                    <w:ind w:left="0" w:leftChars="0" w:right="0" w:rightChars="0" w:firstLine="420" w:firstLineChars="200"/>
                    <w:jc w:val="both"/>
                    <w:textAlignment w:val="auto"/>
                    <w:rPr>
                      <w:rFonts w:hint="eastAsia"/>
                      <w:color w:val="auto"/>
                      <w:sz w:val="21"/>
                      <w:szCs w:val="21"/>
                    </w:rPr>
                  </w:pPr>
                  <w:r>
                    <w:rPr>
                      <w:rFonts w:hint="eastAsia"/>
                      <w:color w:val="auto"/>
                      <w:sz w:val="21"/>
                      <w:szCs w:val="21"/>
                      <w:lang w:eastAsia="zh-CN"/>
                    </w:rPr>
                    <w:t>本项目为机动车燃油零售</w:t>
                  </w:r>
                  <w:r>
                    <w:rPr>
                      <w:rFonts w:hint="eastAsia"/>
                      <w:color w:val="auto"/>
                      <w:sz w:val="21"/>
                      <w:szCs w:val="21"/>
                      <w:lang w:val="en-US" w:eastAsia="zh-CN"/>
                    </w:rPr>
                    <w:t>项目</w:t>
                  </w:r>
                  <w:r>
                    <w:rPr>
                      <w:color w:val="auto"/>
                      <w:sz w:val="21"/>
                      <w:szCs w:val="21"/>
                    </w:rPr>
                    <w:t>，不属于两高项目，不属于产能过剩及淘汰类项目</w:t>
                  </w:r>
                  <w:r>
                    <w:rPr>
                      <w:rFonts w:hint="eastAsia"/>
                      <w:color w:val="auto"/>
                      <w:sz w:val="21"/>
                      <w:szCs w:val="21"/>
                    </w:rPr>
                    <w:t>。</w:t>
                  </w:r>
                </w:p>
              </w:tc>
              <w:tc>
                <w:tcPr>
                  <w:tcW w:w="676" w:type="dxa"/>
                  <w:noWrap w:val="0"/>
                  <w:vAlign w:val="center"/>
                </w:tcPr>
                <w:p w14:paraId="6F4A9C71">
                  <w:pPr>
                    <w:keepNext w:val="0"/>
                    <w:keepLines w:val="0"/>
                    <w:pageBreakBefore w:val="0"/>
                    <w:widowControl w:val="0"/>
                    <w:tabs>
                      <w:tab w:val="left" w:pos="3360"/>
                    </w:tabs>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color w:val="auto"/>
                      <w:sz w:val="21"/>
                      <w:szCs w:val="21"/>
                    </w:rPr>
                  </w:pPr>
                  <w:r>
                    <w:rPr>
                      <w:color w:val="auto"/>
                      <w:sz w:val="21"/>
                      <w:szCs w:val="21"/>
                    </w:rPr>
                    <w:t>符合</w:t>
                  </w:r>
                </w:p>
              </w:tc>
            </w:tr>
            <w:tr w14:paraId="03ED78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7" w:type="dxa"/>
                  <w:vMerge w:val="continue"/>
                  <w:noWrap w:val="0"/>
                  <w:vAlign w:val="center"/>
                </w:tcPr>
                <w:p w14:paraId="4DBDD393">
                  <w:pPr>
                    <w:keepNext w:val="0"/>
                    <w:keepLines w:val="0"/>
                    <w:pageBreakBefore w:val="0"/>
                    <w:widowControl w:val="0"/>
                    <w:tabs>
                      <w:tab w:val="left" w:pos="3360"/>
                    </w:tabs>
                    <w:kinsoku/>
                    <w:wordWrap/>
                    <w:overflowPunct/>
                    <w:topLinePunct w:val="0"/>
                    <w:autoSpaceDE w:val="0"/>
                    <w:autoSpaceDN w:val="0"/>
                    <w:bidi w:val="0"/>
                    <w:adjustRightInd/>
                    <w:snapToGrid w:val="0"/>
                    <w:spacing w:line="240" w:lineRule="auto"/>
                    <w:ind w:right="0" w:rightChars="0"/>
                    <w:jc w:val="center"/>
                    <w:textAlignment w:val="auto"/>
                    <w:rPr>
                      <w:color w:val="auto"/>
                      <w:sz w:val="21"/>
                      <w:szCs w:val="21"/>
                    </w:rPr>
                  </w:pPr>
                </w:p>
              </w:tc>
              <w:tc>
                <w:tcPr>
                  <w:tcW w:w="4647" w:type="dxa"/>
                  <w:noWrap w:val="0"/>
                  <w:vAlign w:val="center"/>
                </w:tcPr>
                <w:p w14:paraId="2C83F5A8">
                  <w:pPr>
                    <w:keepNext w:val="0"/>
                    <w:keepLines w:val="0"/>
                    <w:pageBreakBefore w:val="0"/>
                    <w:widowControl w:val="0"/>
                    <w:tabs>
                      <w:tab w:val="left" w:pos="3360"/>
                    </w:tabs>
                    <w:kinsoku/>
                    <w:wordWrap/>
                    <w:overflowPunct/>
                    <w:topLinePunct w:val="0"/>
                    <w:autoSpaceDE w:val="0"/>
                    <w:autoSpaceDN w:val="0"/>
                    <w:bidi w:val="0"/>
                    <w:adjustRightInd/>
                    <w:snapToGrid w:val="0"/>
                    <w:spacing w:line="240" w:lineRule="auto"/>
                    <w:ind w:left="0" w:leftChars="0" w:right="0" w:rightChars="0" w:firstLine="420" w:firstLineChars="200"/>
                    <w:jc w:val="both"/>
                    <w:textAlignment w:val="auto"/>
                    <w:rPr>
                      <w:color w:val="auto"/>
                      <w:sz w:val="21"/>
                      <w:szCs w:val="21"/>
                    </w:rPr>
                  </w:pPr>
                  <w:r>
                    <w:rPr>
                      <w:color w:val="auto"/>
                      <w:sz w:val="21"/>
                      <w:szCs w:val="21"/>
                    </w:rPr>
                    <w:t>（九）加强生态环境分区管控。衔接国土空间规划分区和用途管制要求，将生态保护红线、环境质量底线、资源利用上线的硬约束落实到环境管控单元，建立差别化的生态环境准入清单，加强“三线一单”成果在政策制定、环境准入、园区管理、执法监管等方面的应用。健全以环评制度为主体的源头预防体系，严格规划环评审查和项目环评准入，开展重大经济技术政策的生态环境影响分析和重大生态环境政策的社会经济影响评估。</w:t>
                  </w:r>
                </w:p>
              </w:tc>
              <w:tc>
                <w:tcPr>
                  <w:tcW w:w="2018" w:type="dxa"/>
                  <w:noWrap w:val="0"/>
                  <w:vAlign w:val="center"/>
                </w:tcPr>
                <w:p w14:paraId="7E5A998E">
                  <w:pPr>
                    <w:keepNext w:val="0"/>
                    <w:keepLines w:val="0"/>
                    <w:pageBreakBefore w:val="0"/>
                    <w:widowControl w:val="0"/>
                    <w:tabs>
                      <w:tab w:val="left" w:pos="3360"/>
                    </w:tabs>
                    <w:kinsoku/>
                    <w:wordWrap/>
                    <w:overflowPunct/>
                    <w:topLinePunct w:val="0"/>
                    <w:autoSpaceDE w:val="0"/>
                    <w:autoSpaceDN w:val="0"/>
                    <w:bidi w:val="0"/>
                    <w:adjustRightInd/>
                    <w:snapToGrid w:val="0"/>
                    <w:spacing w:line="240" w:lineRule="auto"/>
                    <w:ind w:left="0" w:leftChars="0" w:right="0" w:rightChars="0" w:firstLine="420" w:firstLineChars="200"/>
                    <w:jc w:val="both"/>
                    <w:textAlignment w:val="auto"/>
                    <w:rPr>
                      <w:rFonts w:hint="eastAsia"/>
                      <w:color w:val="auto"/>
                      <w:sz w:val="21"/>
                      <w:szCs w:val="21"/>
                    </w:rPr>
                  </w:pPr>
                  <w:r>
                    <w:rPr>
                      <w:rFonts w:hint="eastAsia"/>
                      <w:color w:val="auto"/>
                      <w:sz w:val="21"/>
                      <w:szCs w:val="21"/>
                      <w:lang w:eastAsia="zh-CN"/>
                    </w:rPr>
                    <w:t>本项目</w:t>
                  </w:r>
                  <w:r>
                    <w:rPr>
                      <w:color w:val="auto"/>
                      <w:sz w:val="21"/>
                      <w:szCs w:val="21"/>
                    </w:rPr>
                    <w:t>符合国土空间规划分区和用途管制要求，符合“三线一单”要求</w:t>
                  </w:r>
                  <w:r>
                    <w:rPr>
                      <w:rFonts w:hint="eastAsia"/>
                      <w:color w:val="auto"/>
                      <w:sz w:val="21"/>
                      <w:szCs w:val="21"/>
                    </w:rPr>
                    <w:t>。</w:t>
                  </w:r>
                </w:p>
              </w:tc>
              <w:tc>
                <w:tcPr>
                  <w:tcW w:w="676" w:type="dxa"/>
                  <w:noWrap w:val="0"/>
                  <w:vAlign w:val="center"/>
                </w:tcPr>
                <w:p w14:paraId="4AA451A4">
                  <w:pPr>
                    <w:keepNext w:val="0"/>
                    <w:keepLines w:val="0"/>
                    <w:pageBreakBefore w:val="0"/>
                    <w:widowControl w:val="0"/>
                    <w:tabs>
                      <w:tab w:val="left" w:pos="3360"/>
                    </w:tabs>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color w:val="auto"/>
                      <w:sz w:val="21"/>
                      <w:szCs w:val="21"/>
                    </w:rPr>
                  </w:pPr>
                  <w:r>
                    <w:rPr>
                      <w:color w:val="auto"/>
                      <w:sz w:val="21"/>
                      <w:szCs w:val="21"/>
                    </w:rPr>
                    <w:t>符合</w:t>
                  </w:r>
                </w:p>
              </w:tc>
            </w:tr>
            <w:tr w14:paraId="2BDD39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7" w:type="dxa"/>
                  <w:vMerge w:val="continue"/>
                  <w:noWrap w:val="0"/>
                  <w:vAlign w:val="center"/>
                </w:tcPr>
                <w:p w14:paraId="7A7A84FA">
                  <w:pPr>
                    <w:keepNext w:val="0"/>
                    <w:keepLines w:val="0"/>
                    <w:pageBreakBefore w:val="0"/>
                    <w:widowControl w:val="0"/>
                    <w:tabs>
                      <w:tab w:val="left" w:pos="3360"/>
                    </w:tabs>
                    <w:kinsoku/>
                    <w:wordWrap/>
                    <w:overflowPunct/>
                    <w:topLinePunct w:val="0"/>
                    <w:autoSpaceDE w:val="0"/>
                    <w:autoSpaceDN w:val="0"/>
                    <w:bidi w:val="0"/>
                    <w:adjustRightInd/>
                    <w:snapToGrid w:val="0"/>
                    <w:spacing w:line="240" w:lineRule="auto"/>
                    <w:ind w:right="0" w:rightChars="0"/>
                    <w:jc w:val="center"/>
                    <w:textAlignment w:val="auto"/>
                    <w:rPr>
                      <w:color w:val="auto"/>
                      <w:sz w:val="21"/>
                      <w:szCs w:val="21"/>
                    </w:rPr>
                  </w:pPr>
                </w:p>
              </w:tc>
              <w:tc>
                <w:tcPr>
                  <w:tcW w:w="4647" w:type="dxa"/>
                  <w:noWrap w:val="0"/>
                  <w:vAlign w:val="center"/>
                </w:tcPr>
                <w:p w14:paraId="796E6950">
                  <w:pPr>
                    <w:keepNext w:val="0"/>
                    <w:keepLines w:val="0"/>
                    <w:pageBreakBefore w:val="0"/>
                    <w:widowControl w:val="0"/>
                    <w:tabs>
                      <w:tab w:val="left" w:pos="3360"/>
                    </w:tabs>
                    <w:kinsoku/>
                    <w:wordWrap/>
                    <w:overflowPunct/>
                    <w:topLinePunct w:val="0"/>
                    <w:autoSpaceDE w:val="0"/>
                    <w:autoSpaceDN w:val="0"/>
                    <w:bidi w:val="0"/>
                    <w:adjustRightInd/>
                    <w:snapToGrid w:val="0"/>
                    <w:spacing w:line="240" w:lineRule="auto"/>
                    <w:ind w:left="0" w:leftChars="0" w:right="0" w:rightChars="0" w:firstLine="420" w:firstLineChars="200"/>
                    <w:jc w:val="both"/>
                    <w:textAlignment w:val="auto"/>
                    <w:rPr>
                      <w:color w:val="auto"/>
                      <w:sz w:val="21"/>
                      <w:szCs w:val="21"/>
                    </w:rPr>
                  </w:pPr>
                  <w:r>
                    <w:rPr>
                      <w:color w:val="auto"/>
                      <w:sz w:val="21"/>
                      <w:szCs w:val="21"/>
                    </w:rPr>
                    <w:t>（十二）着力打好臭氧污染防治攻坚战。聚焦夏秋季臭氧污染，大力推进挥发性有机物和氮氧化物协同减排。以石化、化工、涂装、医药、包装印刷、油品储运销等行业领域为重点，安全高效推进挥发性有机物综合治理，实施原辅材料和产品源头替代工程。完善挥发性有机物产品标准体系，建立低挥发性有机物含量产品标识制度。完善挥发性有机物监测技术和排放量计算方法，在相关条件成熟后，研究适时将挥发性有机物纳入环境保护税征收范围。推进钢铁、水泥、焦化行业企业超低排放改造，重点区域钢铁、燃煤机组、燃煤锅炉实现超低排放。开展涉气产业集群排查及分类治理，推进企业升级改造和区域环境综合整治。到2025年，挥发性有机物、氮氧化物排放总量比2020年分别下降10%以上，臭氧浓度增长趋势得到有效遏制，实现细颗粒物和臭氧协同控制。</w:t>
                  </w:r>
                </w:p>
              </w:tc>
              <w:tc>
                <w:tcPr>
                  <w:tcW w:w="2018" w:type="dxa"/>
                  <w:noWrap w:val="0"/>
                  <w:vAlign w:val="center"/>
                </w:tcPr>
                <w:p w14:paraId="7F4ADA73">
                  <w:pPr>
                    <w:keepNext w:val="0"/>
                    <w:keepLines w:val="0"/>
                    <w:pageBreakBefore w:val="0"/>
                    <w:widowControl w:val="0"/>
                    <w:tabs>
                      <w:tab w:val="left" w:pos="3360"/>
                    </w:tabs>
                    <w:kinsoku/>
                    <w:wordWrap/>
                    <w:overflowPunct/>
                    <w:topLinePunct w:val="0"/>
                    <w:autoSpaceDE w:val="0"/>
                    <w:autoSpaceDN w:val="0"/>
                    <w:bidi w:val="0"/>
                    <w:adjustRightInd/>
                    <w:snapToGrid w:val="0"/>
                    <w:spacing w:line="240" w:lineRule="auto"/>
                    <w:ind w:left="0" w:leftChars="0" w:right="0" w:rightChars="0" w:firstLine="420" w:firstLineChars="200"/>
                    <w:jc w:val="both"/>
                    <w:textAlignment w:val="auto"/>
                    <w:rPr>
                      <w:rFonts w:hint="default"/>
                      <w:color w:val="auto"/>
                      <w:sz w:val="21"/>
                      <w:szCs w:val="21"/>
                      <w:lang w:val="en-US"/>
                    </w:rPr>
                  </w:pPr>
                  <w:r>
                    <w:rPr>
                      <w:rFonts w:hint="eastAsia"/>
                      <w:color w:val="auto"/>
                      <w:sz w:val="21"/>
                      <w:szCs w:val="21"/>
                      <w:highlight w:val="none"/>
                      <w:lang w:eastAsia="zh-CN"/>
                    </w:rPr>
                    <w:t>本项目</w:t>
                  </w:r>
                  <w:r>
                    <w:rPr>
                      <w:color w:val="auto"/>
                      <w:sz w:val="21"/>
                      <w:szCs w:val="21"/>
                      <w:highlight w:val="none"/>
                    </w:rPr>
                    <w:t>油品储运销</w:t>
                  </w:r>
                  <w:r>
                    <w:rPr>
                      <w:rFonts w:hint="eastAsia"/>
                      <w:color w:val="auto"/>
                      <w:sz w:val="21"/>
                      <w:szCs w:val="21"/>
                      <w:highlight w:val="none"/>
                      <w:lang w:val="en-US" w:eastAsia="zh-CN"/>
                    </w:rPr>
                    <w:t>过程设置二级油气回收系统处理挥发性有机物，排放量满足总量控制指标要求。</w:t>
                  </w:r>
                </w:p>
              </w:tc>
              <w:tc>
                <w:tcPr>
                  <w:tcW w:w="676" w:type="dxa"/>
                  <w:noWrap w:val="0"/>
                  <w:vAlign w:val="center"/>
                </w:tcPr>
                <w:p w14:paraId="7053B0BF">
                  <w:pPr>
                    <w:keepNext w:val="0"/>
                    <w:keepLines w:val="0"/>
                    <w:pageBreakBefore w:val="0"/>
                    <w:widowControl w:val="0"/>
                    <w:tabs>
                      <w:tab w:val="left" w:pos="3360"/>
                    </w:tabs>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color w:val="auto"/>
                      <w:sz w:val="21"/>
                      <w:szCs w:val="21"/>
                    </w:rPr>
                  </w:pPr>
                  <w:r>
                    <w:rPr>
                      <w:color w:val="auto"/>
                      <w:sz w:val="21"/>
                      <w:szCs w:val="21"/>
                    </w:rPr>
                    <w:t>符合</w:t>
                  </w:r>
                </w:p>
              </w:tc>
            </w:tr>
            <w:tr w14:paraId="3500A9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7" w:type="dxa"/>
                  <w:vMerge w:val="continue"/>
                  <w:noWrap w:val="0"/>
                  <w:vAlign w:val="center"/>
                </w:tcPr>
                <w:p w14:paraId="58EEF176">
                  <w:pPr>
                    <w:keepNext w:val="0"/>
                    <w:keepLines w:val="0"/>
                    <w:pageBreakBefore w:val="0"/>
                    <w:widowControl w:val="0"/>
                    <w:tabs>
                      <w:tab w:val="left" w:pos="3360"/>
                    </w:tabs>
                    <w:kinsoku/>
                    <w:wordWrap/>
                    <w:overflowPunct/>
                    <w:topLinePunct w:val="0"/>
                    <w:autoSpaceDE w:val="0"/>
                    <w:autoSpaceDN w:val="0"/>
                    <w:bidi w:val="0"/>
                    <w:adjustRightInd/>
                    <w:snapToGrid w:val="0"/>
                    <w:spacing w:line="240" w:lineRule="auto"/>
                    <w:ind w:right="0" w:rightChars="0"/>
                    <w:jc w:val="center"/>
                    <w:textAlignment w:val="auto"/>
                    <w:rPr>
                      <w:color w:val="auto"/>
                      <w:sz w:val="21"/>
                      <w:szCs w:val="21"/>
                    </w:rPr>
                  </w:pPr>
                </w:p>
              </w:tc>
              <w:tc>
                <w:tcPr>
                  <w:tcW w:w="4647" w:type="dxa"/>
                  <w:noWrap w:val="0"/>
                  <w:vAlign w:val="center"/>
                </w:tcPr>
                <w:p w14:paraId="1929C092">
                  <w:pPr>
                    <w:keepNext w:val="0"/>
                    <w:keepLines w:val="0"/>
                    <w:pageBreakBefore w:val="0"/>
                    <w:widowControl w:val="0"/>
                    <w:tabs>
                      <w:tab w:val="left" w:pos="3360"/>
                    </w:tabs>
                    <w:kinsoku/>
                    <w:wordWrap/>
                    <w:overflowPunct/>
                    <w:topLinePunct w:val="0"/>
                    <w:autoSpaceDE w:val="0"/>
                    <w:autoSpaceDN w:val="0"/>
                    <w:bidi w:val="0"/>
                    <w:adjustRightInd/>
                    <w:snapToGrid w:val="0"/>
                    <w:spacing w:line="240" w:lineRule="auto"/>
                    <w:ind w:left="0" w:leftChars="0" w:right="0" w:rightChars="0" w:firstLine="420" w:firstLineChars="200"/>
                    <w:jc w:val="both"/>
                    <w:textAlignment w:val="auto"/>
                    <w:rPr>
                      <w:color w:val="auto"/>
                      <w:sz w:val="21"/>
                      <w:szCs w:val="21"/>
                    </w:rPr>
                  </w:pPr>
                  <w:r>
                    <w:rPr>
                      <w:color w:val="auto"/>
                      <w:sz w:val="21"/>
                      <w:szCs w:val="21"/>
                    </w:rPr>
                    <w:t>（二十三）有效管控建设用地土壤污染风险。严格建设用地土壤污染风险管控和修复名录内地块的准入管理。未依法完成土壤污染状况调查和风险评估的地块，不得开工建设与风险管控和修复无关的项目。从严管控农药、化工等行业的重度污染地块规划用途，确需开发利用的，鼓励用于拓展生态空间。完成重点地区危险化学品生产企业搬迁改造，推进腾退地块风险管控和修复。</w:t>
                  </w:r>
                </w:p>
              </w:tc>
              <w:tc>
                <w:tcPr>
                  <w:tcW w:w="2018" w:type="dxa"/>
                  <w:noWrap w:val="0"/>
                  <w:vAlign w:val="center"/>
                </w:tcPr>
                <w:p w14:paraId="27EB1530">
                  <w:pPr>
                    <w:keepNext w:val="0"/>
                    <w:keepLines w:val="0"/>
                    <w:pageBreakBefore w:val="0"/>
                    <w:widowControl w:val="0"/>
                    <w:tabs>
                      <w:tab w:val="left" w:pos="3360"/>
                    </w:tabs>
                    <w:kinsoku/>
                    <w:wordWrap/>
                    <w:overflowPunct/>
                    <w:topLinePunct w:val="0"/>
                    <w:autoSpaceDE w:val="0"/>
                    <w:autoSpaceDN w:val="0"/>
                    <w:bidi w:val="0"/>
                    <w:adjustRightInd/>
                    <w:snapToGrid w:val="0"/>
                    <w:spacing w:line="240" w:lineRule="auto"/>
                    <w:ind w:left="0" w:leftChars="0" w:right="0" w:rightChars="0" w:firstLine="420" w:firstLineChars="200"/>
                    <w:jc w:val="both"/>
                    <w:textAlignment w:val="auto"/>
                    <w:rPr>
                      <w:rFonts w:hint="eastAsia"/>
                      <w:color w:val="auto"/>
                      <w:sz w:val="21"/>
                      <w:szCs w:val="21"/>
                    </w:rPr>
                  </w:pPr>
                  <w:r>
                    <w:rPr>
                      <w:rFonts w:hint="eastAsia"/>
                      <w:color w:val="auto"/>
                      <w:sz w:val="21"/>
                      <w:szCs w:val="21"/>
                      <w:lang w:eastAsia="zh-CN"/>
                    </w:rPr>
                    <w:t>本项目</w:t>
                  </w:r>
                  <w:r>
                    <w:rPr>
                      <w:rFonts w:hint="eastAsia"/>
                      <w:color w:val="auto"/>
                      <w:sz w:val="21"/>
                      <w:szCs w:val="21"/>
                      <w:lang w:val="en-US" w:eastAsia="zh-CN"/>
                    </w:rPr>
                    <w:t>所在地</w:t>
                  </w:r>
                  <w:r>
                    <w:rPr>
                      <w:color w:val="auto"/>
                      <w:sz w:val="21"/>
                      <w:szCs w:val="21"/>
                    </w:rPr>
                    <w:t>不属于建设用地土壤污染风险管控和修复名录内地块</w:t>
                  </w:r>
                  <w:r>
                    <w:rPr>
                      <w:rFonts w:hint="eastAsia"/>
                      <w:color w:val="auto"/>
                      <w:sz w:val="21"/>
                      <w:szCs w:val="21"/>
                    </w:rPr>
                    <w:t>。</w:t>
                  </w:r>
                </w:p>
              </w:tc>
              <w:tc>
                <w:tcPr>
                  <w:tcW w:w="676" w:type="dxa"/>
                  <w:noWrap w:val="0"/>
                  <w:vAlign w:val="center"/>
                </w:tcPr>
                <w:p w14:paraId="58A37BFF">
                  <w:pPr>
                    <w:keepNext w:val="0"/>
                    <w:keepLines w:val="0"/>
                    <w:pageBreakBefore w:val="0"/>
                    <w:widowControl w:val="0"/>
                    <w:tabs>
                      <w:tab w:val="left" w:pos="3360"/>
                    </w:tabs>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color w:val="auto"/>
                      <w:sz w:val="21"/>
                      <w:szCs w:val="21"/>
                    </w:rPr>
                  </w:pPr>
                  <w:r>
                    <w:rPr>
                      <w:color w:val="auto"/>
                      <w:sz w:val="21"/>
                      <w:szCs w:val="21"/>
                    </w:rPr>
                    <w:t>符合</w:t>
                  </w:r>
                </w:p>
              </w:tc>
            </w:tr>
            <w:tr w14:paraId="7C9F69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7" w:type="dxa"/>
                  <w:vMerge w:val="continue"/>
                  <w:noWrap w:val="0"/>
                  <w:vAlign w:val="center"/>
                </w:tcPr>
                <w:p w14:paraId="204FB3B6">
                  <w:pPr>
                    <w:keepNext w:val="0"/>
                    <w:keepLines w:val="0"/>
                    <w:pageBreakBefore w:val="0"/>
                    <w:widowControl w:val="0"/>
                    <w:tabs>
                      <w:tab w:val="left" w:pos="3360"/>
                    </w:tabs>
                    <w:kinsoku/>
                    <w:wordWrap/>
                    <w:overflowPunct/>
                    <w:topLinePunct w:val="0"/>
                    <w:autoSpaceDE w:val="0"/>
                    <w:autoSpaceDN w:val="0"/>
                    <w:bidi w:val="0"/>
                    <w:adjustRightInd/>
                    <w:snapToGrid w:val="0"/>
                    <w:spacing w:line="240" w:lineRule="auto"/>
                    <w:ind w:right="0" w:rightChars="0"/>
                    <w:jc w:val="center"/>
                    <w:textAlignment w:val="auto"/>
                    <w:rPr>
                      <w:color w:val="auto"/>
                      <w:sz w:val="21"/>
                      <w:szCs w:val="21"/>
                    </w:rPr>
                  </w:pPr>
                </w:p>
              </w:tc>
              <w:tc>
                <w:tcPr>
                  <w:tcW w:w="4647" w:type="dxa"/>
                  <w:noWrap w:val="0"/>
                  <w:vAlign w:val="center"/>
                </w:tcPr>
                <w:p w14:paraId="3B624F35">
                  <w:pPr>
                    <w:keepNext w:val="0"/>
                    <w:keepLines w:val="0"/>
                    <w:pageBreakBefore w:val="0"/>
                    <w:widowControl w:val="0"/>
                    <w:tabs>
                      <w:tab w:val="left" w:pos="3360"/>
                    </w:tabs>
                    <w:kinsoku/>
                    <w:wordWrap/>
                    <w:overflowPunct/>
                    <w:topLinePunct w:val="0"/>
                    <w:autoSpaceDE w:val="0"/>
                    <w:autoSpaceDN w:val="0"/>
                    <w:bidi w:val="0"/>
                    <w:adjustRightInd/>
                    <w:snapToGrid w:val="0"/>
                    <w:spacing w:line="240" w:lineRule="auto"/>
                    <w:ind w:left="0" w:leftChars="0" w:right="0" w:rightChars="0" w:firstLine="420" w:firstLineChars="200"/>
                    <w:jc w:val="both"/>
                    <w:textAlignment w:val="auto"/>
                    <w:rPr>
                      <w:color w:val="auto"/>
                      <w:sz w:val="21"/>
                      <w:szCs w:val="21"/>
                    </w:rPr>
                  </w:pPr>
                  <w:r>
                    <w:rPr>
                      <w:color w:val="auto"/>
                      <w:sz w:val="21"/>
                      <w:szCs w:val="21"/>
                    </w:rPr>
                    <w:t>（三十一）严密防控环境风险。开展涉危险废物涉重金属企业、化工园区等重点领域环境风险调查评估，完成重点河流突发水污染事件“一河一策一图”全覆盖。开展涉铊企业排查整治行动。加强重金属污染防控，到2025年，全国重点行业重点重金属污染物排放量比2020年下降5%。强化生态环境与健康管理。健全国家环境应急指挥平台，推进流域及地方环境应急物资库建设，完善环境应急管理体系。</w:t>
                  </w:r>
                </w:p>
              </w:tc>
              <w:tc>
                <w:tcPr>
                  <w:tcW w:w="2018" w:type="dxa"/>
                  <w:noWrap w:val="0"/>
                  <w:vAlign w:val="center"/>
                </w:tcPr>
                <w:p w14:paraId="31AE6428">
                  <w:pPr>
                    <w:keepNext w:val="0"/>
                    <w:keepLines w:val="0"/>
                    <w:pageBreakBefore w:val="0"/>
                    <w:widowControl w:val="0"/>
                    <w:tabs>
                      <w:tab w:val="left" w:pos="3360"/>
                    </w:tabs>
                    <w:kinsoku/>
                    <w:wordWrap/>
                    <w:overflowPunct/>
                    <w:topLinePunct w:val="0"/>
                    <w:autoSpaceDE w:val="0"/>
                    <w:autoSpaceDN w:val="0"/>
                    <w:bidi w:val="0"/>
                    <w:adjustRightInd/>
                    <w:snapToGrid w:val="0"/>
                    <w:spacing w:line="240" w:lineRule="auto"/>
                    <w:ind w:left="0" w:leftChars="0" w:right="0" w:rightChars="0" w:firstLine="420" w:firstLineChars="200"/>
                    <w:jc w:val="both"/>
                    <w:textAlignment w:val="auto"/>
                    <w:rPr>
                      <w:rFonts w:hint="eastAsia"/>
                      <w:color w:val="auto"/>
                      <w:sz w:val="21"/>
                      <w:szCs w:val="21"/>
                    </w:rPr>
                  </w:pPr>
                  <w:r>
                    <w:rPr>
                      <w:rFonts w:hint="eastAsia"/>
                      <w:color w:val="auto"/>
                      <w:sz w:val="21"/>
                      <w:szCs w:val="21"/>
                      <w:lang w:eastAsia="zh-CN"/>
                    </w:rPr>
                    <w:t>本项目</w:t>
                  </w:r>
                  <w:r>
                    <w:rPr>
                      <w:color w:val="auto"/>
                      <w:sz w:val="21"/>
                      <w:szCs w:val="21"/>
                    </w:rPr>
                    <w:t>不涉及重金属，不涉及铊</w:t>
                  </w:r>
                  <w:r>
                    <w:rPr>
                      <w:rFonts w:hint="eastAsia"/>
                      <w:color w:val="auto"/>
                      <w:sz w:val="21"/>
                      <w:szCs w:val="21"/>
                    </w:rPr>
                    <w:t>。</w:t>
                  </w:r>
                </w:p>
              </w:tc>
              <w:tc>
                <w:tcPr>
                  <w:tcW w:w="676" w:type="dxa"/>
                  <w:noWrap w:val="0"/>
                  <w:vAlign w:val="center"/>
                </w:tcPr>
                <w:p w14:paraId="7E026850">
                  <w:pPr>
                    <w:keepNext w:val="0"/>
                    <w:keepLines w:val="0"/>
                    <w:pageBreakBefore w:val="0"/>
                    <w:widowControl w:val="0"/>
                    <w:tabs>
                      <w:tab w:val="left" w:pos="3360"/>
                    </w:tabs>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color w:val="auto"/>
                      <w:sz w:val="21"/>
                      <w:szCs w:val="21"/>
                    </w:rPr>
                  </w:pPr>
                  <w:r>
                    <w:rPr>
                      <w:color w:val="auto"/>
                      <w:sz w:val="21"/>
                      <w:szCs w:val="21"/>
                    </w:rPr>
                    <w:t>符合</w:t>
                  </w:r>
                </w:p>
              </w:tc>
            </w:tr>
          </w:tbl>
          <w:p w14:paraId="4989E004">
            <w:pPr>
              <w:keepNext w:val="0"/>
              <w:keepLines w:val="0"/>
              <w:pageBreakBefore w:val="0"/>
              <w:widowControl w:val="0"/>
              <w:tabs>
                <w:tab w:val="left" w:pos="7821"/>
              </w:tabs>
              <w:kinsoku/>
              <w:wordWrap/>
              <w:overflowPunct/>
              <w:topLinePunct w:val="0"/>
              <w:autoSpaceDE/>
              <w:autoSpaceDN/>
              <w:bidi w:val="0"/>
              <w:adjustRightInd/>
              <w:snapToGrid/>
              <w:spacing w:line="360" w:lineRule="auto"/>
              <w:ind w:firstLine="480" w:firstLineChars="200"/>
              <w:jc w:val="left"/>
              <w:textAlignment w:val="auto"/>
              <w:rPr>
                <w:b/>
                <w:bCs/>
                <w:color w:val="FF0000"/>
                <w:spacing w:val="4"/>
                <w:kern w:val="0"/>
                <w:sz w:val="24"/>
              </w:rPr>
            </w:pPr>
            <w:r>
              <w:rPr>
                <w:color w:val="auto"/>
                <w:sz w:val="24"/>
              </w:rPr>
              <w:t>综上所述，</w:t>
            </w:r>
            <w:r>
              <w:rPr>
                <w:rFonts w:hint="eastAsia"/>
                <w:color w:val="auto"/>
                <w:sz w:val="24"/>
                <w:lang w:eastAsia="zh-CN"/>
              </w:rPr>
              <w:t>本项目</w:t>
            </w:r>
            <w:r>
              <w:rPr>
                <w:color w:val="auto"/>
                <w:sz w:val="24"/>
              </w:rPr>
              <w:t>建设与《中共中央国务院关于深入打好污染防治攻坚战的意见》相符。</w:t>
            </w:r>
          </w:p>
          <w:p w14:paraId="7C5A7289">
            <w:pPr>
              <w:keepNext w:val="0"/>
              <w:keepLines w:val="0"/>
              <w:pageBreakBefore w:val="0"/>
              <w:widowControl w:val="0"/>
              <w:tabs>
                <w:tab w:val="left" w:pos="7821"/>
              </w:tabs>
              <w:kinsoku/>
              <w:wordWrap/>
              <w:overflowPunct/>
              <w:topLinePunct w:val="0"/>
              <w:autoSpaceDE/>
              <w:autoSpaceDN/>
              <w:bidi w:val="0"/>
              <w:adjustRightInd/>
              <w:snapToGrid/>
              <w:spacing w:line="360" w:lineRule="auto"/>
              <w:ind w:firstLine="498" w:firstLineChars="200"/>
              <w:jc w:val="left"/>
              <w:textAlignment w:val="auto"/>
              <w:rPr>
                <w:rFonts w:hint="default"/>
                <w:b/>
                <w:bCs/>
                <w:color w:val="00B050"/>
                <w:spacing w:val="4"/>
                <w:kern w:val="0"/>
                <w:sz w:val="24"/>
                <w:lang w:val="en-US" w:eastAsia="zh-CN"/>
              </w:rPr>
            </w:pPr>
            <w:r>
              <w:rPr>
                <w:rFonts w:hint="eastAsia"/>
                <w:b/>
                <w:bCs/>
                <w:color w:val="00B050"/>
                <w:spacing w:val="4"/>
                <w:kern w:val="0"/>
                <w:sz w:val="24"/>
                <w:lang w:val="en-US" w:eastAsia="zh-CN"/>
              </w:rPr>
              <w:t>7、</w:t>
            </w:r>
            <w:r>
              <w:rPr>
                <w:rFonts w:hint="eastAsia" w:ascii="Times New Roman" w:hAnsi="Times New Roman" w:eastAsia="宋体" w:cs="宋体"/>
                <w:b/>
                <w:color w:val="00B050"/>
                <w:kern w:val="0"/>
                <w:sz w:val="24"/>
                <w:szCs w:val="24"/>
              </w:rPr>
              <w:t>项目</w:t>
            </w:r>
            <w:r>
              <w:rPr>
                <w:rFonts w:ascii="Times New Roman" w:hAnsi="Times New Roman" w:eastAsia="宋体" w:cs="宋体"/>
                <w:b/>
                <w:color w:val="00B050"/>
                <w:kern w:val="0"/>
                <w:sz w:val="24"/>
                <w:szCs w:val="24"/>
              </w:rPr>
              <w:t>与《</w:t>
            </w:r>
            <w:r>
              <w:rPr>
                <w:rFonts w:hint="eastAsia" w:ascii="Times New Roman" w:hAnsi="Times New Roman" w:eastAsia="宋体" w:cs="宋体"/>
                <w:b/>
                <w:color w:val="00B050"/>
                <w:kern w:val="0"/>
                <w:sz w:val="24"/>
                <w:szCs w:val="24"/>
              </w:rPr>
              <w:t>江西省深入打好污染防治攻坚战挥发性有机物治理专项行动实施方案</w:t>
            </w:r>
            <w:r>
              <w:rPr>
                <w:rFonts w:ascii="Times New Roman" w:hAnsi="Times New Roman" w:eastAsia="宋体" w:cs="宋体"/>
                <w:b/>
                <w:color w:val="00B050"/>
                <w:kern w:val="0"/>
                <w:sz w:val="24"/>
                <w:szCs w:val="24"/>
              </w:rPr>
              <w:t>》</w:t>
            </w:r>
            <w:r>
              <w:rPr>
                <w:rFonts w:hint="eastAsia" w:ascii="Times New Roman" w:hAnsi="Times New Roman" w:eastAsia="宋体" w:cs="宋体"/>
                <w:b/>
                <w:color w:val="00B050"/>
                <w:kern w:val="0"/>
                <w:sz w:val="24"/>
                <w:szCs w:val="24"/>
              </w:rPr>
              <w:t>（赣环委办字〔</w:t>
            </w:r>
            <w:r>
              <w:rPr>
                <w:rFonts w:ascii="Times New Roman" w:hAnsi="Times New Roman" w:eastAsia="宋体" w:cs="宋体"/>
                <w:b/>
                <w:color w:val="00B050"/>
                <w:kern w:val="0"/>
                <w:sz w:val="24"/>
                <w:szCs w:val="24"/>
              </w:rPr>
              <w:t>2022〕22号</w:t>
            </w:r>
            <w:r>
              <w:rPr>
                <w:rFonts w:hint="eastAsia" w:ascii="Times New Roman" w:hAnsi="Times New Roman" w:eastAsia="宋体" w:cs="宋体"/>
                <w:b/>
                <w:color w:val="00B050"/>
                <w:kern w:val="0"/>
                <w:sz w:val="24"/>
                <w:szCs w:val="24"/>
              </w:rPr>
              <w:t>）相符</w:t>
            </w:r>
            <w:r>
              <w:rPr>
                <w:rFonts w:ascii="Times New Roman" w:hAnsi="Times New Roman" w:eastAsia="宋体" w:cs="宋体"/>
                <w:b/>
                <w:color w:val="00B050"/>
                <w:kern w:val="0"/>
                <w:sz w:val="24"/>
                <w:szCs w:val="24"/>
              </w:rPr>
              <w:t>性分析</w:t>
            </w:r>
          </w:p>
          <w:p w14:paraId="71A38B9E">
            <w:pPr>
              <w:keepNext w:val="0"/>
              <w:keepLines w:val="0"/>
              <w:pageBreakBefore w:val="0"/>
              <w:widowControl w:val="0"/>
              <w:tabs>
                <w:tab w:val="left" w:pos="7821"/>
              </w:tabs>
              <w:kinsoku/>
              <w:wordWrap/>
              <w:overflowPunct/>
              <w:topLinePunct w:val="0"/>
              <w:autoSpaceDE/>
              <w:autoSpaceDN/>
              <w:bidi w:val="0"/>
              <w:adjustRightInd/>
              <w:snapToGrid/>
              <w:spacing w:line="240" w:lineRule="auto"/>
              <w:ind w:firstLine="0" w:firstLineChars="0"/>
              <w:jc w:val="center"/>
              <w:textAlignment w:val="auto"/>
              <w:rPr>
                <w:rFonts w:hint="eastAsia"/>
                <w:b/>
                <w:bCs/>
                <w:color w:val="00B050"/>
                <w:spacing w:val="4"/>
                <w:kern w:val="0"/>
                <w:sz w:val="21"/>
                <w:szCs w:val="21"/>
                <w:lang w:val="en-US" w:eastAsia="zh-CN"/>
              </w:rPr>
            </w:pPr>
            <w:r>
              <w:rPr>
                <w:rFonts w:hint="eastAsia"/>
                <w:b/>
                <w:bCs/>
                <w:color w:val="00B050"/>
                <w:spacing w:val="4"/>
                <w:kern w:val="0"/>
                <w:sz w:val="21"/>
                <w:szCs w:val="21"/>
                <w:lang w:val="en-US" w:eastAsia="zh-CN"/>
              </w:rPr>
              <w:t>表1-8   项目与《江西省深入打好污染防治攻坚战挥发性有机物治理专项行动实施方案》</w:t>
            </w:r>
            <w:r>
              <w:rPr>
                <w:rFonts w:hint="eastAsia" w:ascii="Times New Roman" w:hAnsi="Times New Roman" w:eastAsia="宋体" w:cs="宋体"/>
                <w:b/>
                <w:color w:val="00B050"/>
                <w:kern w:val="0"/>
                <w:sz w:val="21"/>
                <w:szCs w:val="21"/>
              </w:rPr>
              <w:t>（赣环委办字〔</w:t>
            </w:r>
            <w:r>
              <w:rPr>
                <w:rFonts w:ascii="Times New Roman" w:hAnsi="Times New Roman" w:eastAsia="宋体" w:cs="宋体"/>
                <w:b/>
                <w:color w:val="00B050"/>
                <w:kern w:val="0"/>
                <w:sz w:val="21"/>
                <w:szCs w:val="21"/>
              </w:rPr>
              <w:t>2022〕22号</w:t>
            </w:r>
            <w:r>
              <w:rPr>
                <w:rFonts w:hint="eastAsia" w:ascii="Times New Roman" w:hAnsi="Times New Roman" w:eastAsia="宋体" w:cs="宋体"/>
                <w:b/>
                <w:color w:val="00B050"/>
                <w:kern w:val="0"/>
                <w:sz w:val="21"/>
                <w:szCs w:val="21"/>
              </w:rPr>
              <w:t>）相符</w:t>
            </w:r>
            <w:r>
              <w:rPr>
                <w:rFonts w:hint="eastAsia"/>
                <w:b/>
                <w:bCs/>
                <w:color w:val="00B050"/>
                <w:spacing w:val="4"/>
                <w:kern w:val="0"/>
                <w:sz w:val="21"/>
                <w:szCs w:val="21"/>
                <w:lang w:val="en-US" w:eastAsia="zh-CN"/>
              </w:rPr>
              <w:t>性分析</w:t>
            </w:r>
          </w:p>
          <w:tbl>
            <w:tblPr>
              <w:tblStyle w:val="3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7"/>
              <w:gridCol w:w="4118"/>
              <w:gridCol w:w="2597"/>
              <w:gridCol w:w="667"/>
            </w:tblGrid>
            <w:tr w14:paraId="0C602A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Align w:val="center"/>
                </w:tcPr>
                <w:p w14:paraId="351B90AC">
                  <w:pPr>
                    <w:keepNext w:val="0"/>
                    <w:keepLines w:val="0"/>
                    <w:pageBreakBefore w:val="0"/>
                    <w:widowControl w:val="0"/>
                    <w:tabs>
                      <w:tab w:val="left" w:pos="7821"/>
                    </w:tabs>
                    <w:kinsoku/>
                    <w:wordWrap/>
                    <w:overflowPunct/>
                    <w:topLinePunct w:val="0"/>
                    <w:autoSpaceDE/>
                    <w:autoSpaceDN/>
                    <w:bidi w:val="0"/>
                    <w:adjustRightInd/>
                    <w:snapToGrid w:val="0"/>
                    <w:spacing w:line="240" w:lineRule="auto"/>
                    <w:ind w:firstLine="0" w:firstLineChars="0"/>
                    <w:jc w:val="center"/>
                    <w:textAlignment w:val="auto"/>
                    <w:rPr>
                      <w:rFonts w:hint="default"/>
                      <w:b/>
                      <w:bCs/>
                      <w:color w:val="auto"/>
                      <w:spacing w:val="4"/>
                      <w:kern w:val="0"/>
                      <w:sz w:val="21"/>
                      <w:szCs w:val="21"/>
                      <w:lang w:val="en-US" w:eastAsia="zh-CN"/>
                    </w:rPr>
                  </w:pPr>
                  <w:r>
                    <w:rPr>
                      <w:rFonts w:hint="eastAsia"/>
                      <w:b/>
                      <w:bCs/>
                      <w:color w:val="auto"/>
                      <w:spacing w:val="4"/>
                      <w:kern w:val="0"/>
                      <w:sz w:val="21"/>
                      <w:szCs w:val="21"/>
                      <w:lang w:val="en-US" w:eastAsia="zh-CN"/>
                    </w:rPr>
                    <w:t>序号</w:t>
                  </w:r>
                </w:p>
              </w:tc>
              <w:tc>
                <w:tcPr>
                  <w:tcW w:w="2561" w:type="pct"/>
                  <w:vAlign w:val="center"/>
                </w:tcPr>
                <w:p w14:paraId="1263E73F">
                  <w:pPr>
                    <w:keepNext w:val="0"/>
                    <w:keepLines w:val="0"/>
                    <w:pageBreakBefore w:val="0"/>
                    <w:widowControl w:val="0"/>
                    <w:tabs>
                      <w:tab w:val="left" w:pos="7821"/>
                    </w:tabs>
                    <w:kinsoku/>
                    <w:wordWrap/>
                    <w:overflowPunct/>
                    <w:topLinePunct w:val="0"/>
                    <w:autoSpaceDE/>
                    <w:autoSpaceDN/>
                    <w:bidi w:val="0"/>
                    <w:adjustRightInd/>
                    <w:snapToGrid w:val="0"/>
                    <w:spacing w:line="240" w:lineRule="auto"/>
                    <w:ind w:firstLine="0" w:firstLineChars="0"/>
                    <w:jc w:val="center"/>
                    <w:textAlignment w:val="auto"/>
                    <w:rPr>
                      <w:rFonts w:hint="eastAsia"/>
                      <w:b/>
                      <w:bCs/>
                      <w:color w:val="auto"/>
                      <w:spacing w:val="4"/>
                      <w:kern w:val="0"/>
                      <w:sz w:val="21"/>
                      <w:szCs w:val="21"/>
                      <w:lang w:val="en-US" w:eastAsia="zh-CN"/>
                    </w:rPr>
                  </w:pPr>
                  <w:r>
                    <w:rPr>
                      <w:rFonts w:hint="eastAsia"/>
                      <w:b/>
                      <w:bCs/>
                      <w:color w:val="auto"/>
                      <w:spacing w:val="4"/>
                      <w:kern w:val="0"/>
                      <w:sz w:val="21"/>
                      <w:szCs w:val="21"/>
                      <w:lang w:val="en-US" w:eastAsia="zh-CN"/>
                    </w:rPr>
                    <w:t>相关要求</w:t>
                  </w:r>
                </w:p>
              </w:tc>
              <w:tc>
                <w:tcPr>
                  <w:tcW w:w="1615" w:type="pct"/>
                  <w:vAlign w:val="center"/>
                </w:tcPr>
                <w:p w14:paraId="2259F99C">
                  <w:pPr>
                    <w:keepNext w:val="0"/>
                    <w:keepLines w:val="0"/>
                    <w:pageBreakBefore w:val="0"/>
                    <w:widowControl w:val="0"/>
                    <w:tabs>
                      <w:tab w:val="left" w:pos="7821"/>
                    </w:tabs>
                    <w:kinsoku/>
                    <w:wordWrap/>
                    <w:overflowPunct/>
                    <w:topLinePunct w:val="0"/>
                    <w:autoSpaceDE/>
                    <w:autoSpaceDN/>
                    <w:bidi w:val="0"/>
                    <w:adjustRightInd/>
                    <w:snapToGrid w:val="0"/>
                    <w:spacing w:line="240" w:lineRule="auto"/>
                    <w:ind w:firstLine="0" w:firstLineChars="0"/>
                    <w:jc w:val="center"/>
                    <w:textAlignment w:val="auto"/>
                    <w:rPr>
                      <w:rFonts w:hint="eastAsia"/>
                      <w:b/>
                      <w:bCs/>
                      <w:color w:val="auto"/>
                      <w:spacing w:val="4"/>
                      <w:kern w:val="0"/>
                      <w:sz w:val="21"/>
                      <w:szCs w:val="21"/>
                      <w:lang w:val="en-US" w:eastAsia="zh-CN"/>
                    </w:rPr>
                  </w:pPr>
                  <w:r>
                    <w:rPr>
                      <w:rFonts w:hint="eastAsia"/>
                      <w:b/>
                      <w:bCs/>
                      <w:color w:val="auto"/>
                      <w:spacing w:val="4"/>
                      <w:kern w:val="0"/>
                      <w:sz w:val="21"/>
                      <w:szCs w:val="21"/>
                      <w:lang w:val="en-US" w:eastAsia="zh-CN"/>
                    </w:rPr>
                    <w:t>相符性分析</w:t>
                  </w:r>
                </w:p>
              </w:tc>
              <w:tc>
                <w:tcPr>
                  <w:tcW w:w="414" w:type="pct"/>
                  <w:vAlign w:val="center"/>
                </w:tcPr>
                <w:p w14:paraId="36BBDA74">
                  <w:pPr>
                    <w:keepNext w:val="0"/>
                    <w:keepLines w:val="0"/>
                    <w:pageBreakBefore w:val="0"/>
                    <w:widowControl w:val="0"/>
                    <w:tabs>
                      <w:tab w:val="left" w:pos="7821"/>
                    </w:tabs>
                    <w:kinsoku/>
                    <w:wordWrap/>
                    <w:overflowPunct/>
                    <w:topLinePunct w:val="0"/>
                    <w:autoSpaceDE/>
                    <w:autoSpaceDN/>
                    <w:bidi w:val="0"/>
                    <w:adjustRightInd/>
                    <w:snapToGrid w:val="0"/>
                    <w:spacing w:line="240" w:lineRule="auto"/>
                    <w:ind w:firstLine="0" w:firstLineChars="0"/>
                    <w:jc w:val="center"/>
                    <w:textAlignment w:val="auto"/>
                    <w:rPr>
                      <w:rFonts w:hint="eastAsia"/>
                      <w:b/>
                      <w:bCs/>
                      <w:color w:val="auto"/>
                      <w:spacing w:val="4"/>
                      <w:kern w:val="0"/>
                      <w:sz w:val="21"/>
                      <w:szCs w:val="21"/>
                      <w:lang w:val="en-US" w:eastAsia="zh-CN"/>
                    </w:rPr>
                  </w:pPr>
                  <w:r>
                    <w:rPr>
                      <w:rFonts w:hint="eastAsia"/>
                      <w:b/>
                      <w:bCs/>
                      <w:color w:val="auto"/>
                      <w:spacing w:val="4"/>
                      <w:kern w:val="0"/>
                      <w:sz w:val="21"/>
                      <w:szCs w:val="21"/>
                      <w:lang w:val="en-US" w:eastAsia="zh-CN"/>
                    </w:rPr>
                    <w:t>结论</w:t>
                  </w:r>
                </w:p>
              </w:tc>
            </w:tr>
            <w:tr w14:paraId="1930A3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Align w:val="center"/>
                </w:tcPr>
                <w:p w14:paraId="0416058A">
                  <w:pPr>
                    <w:keepNext w:val="0"/>
                    <w:keepLines w:val="0"/>
                    <w:pageBreakBefore w:val="0"/>
                    <w:widowControl w:val="0"/>
                    <w:tabs>
                      <w:tab w:val="left" w:pos="7821"/>
                    </w:tabs>
                    <w:kinsoku/>
                    <w:wordWrap/>
                    <w:overflowPunct/>
                    <w:topLinePunct w:val="0"/>
                    <w:autoSpaceDE/>
                    <w:autoSpaceDN/>
                    <w:bidi w:val="0"/>
                    <w:adjustRightInd/>
                    <w:snapToGrid w:val="0"/>
                    <w:spacing w:line="240" w:lineRule="auto"/>
                    <w:ind w:firstLine="0" w:firstLineChars="0"/>
                    <w:jc w:val="center"/>
                    <w:textAlignment w:val="auto"/>
                    <w:rPr>
                      <w:rFonts w:hint="default"/>
                      <w:b w:val="0"/>
                      <w:bCs w:val="0"/>
                      <w:color w:val="auto"/>
                      <w:spacing w:val="4"/>
                      <w:kern w:val="0"/>
                      <w:sz w:val="21"/>
                      <w:szCs w:val="21"/>
                      <w:lang w:val="en-US" w:eastAsia="zh-CN"/>
                    </w:rPr>
                  </w:pPr>
                  <w:r>
                    <w:rPr>
                      <w:rFonts w:hint="eastAsia"/>
                      <w:b w:val="0"/>
                      <w:bCs w:val="0"/>
                      <w:color w:val="auto"/>
                      <w:spacing w:val="4"/>
                      <w:kern w:val="0"/>
                      <w:sz w:val="21"/>
                      <w:szCs w:val="21"/>
                      <w:lang w:val="en-US" w:eastAsia="zh-CN"/>
                    </w:rPr>
                    <w:t>1</w:t>
                  </w:r>
                </w:p>
              </w:tc>
              <w:tc>
                <w:tcPr>
                  <w:tcW w:w="2561" w:type="pct"/>
                  <w:vAlign w:val="center"/>
                </w:tcPr>
                <w:p w14:paraId="17DC305F">
                  <w:pPr>
                    <w:keepNext w:val="0"/>
                    <w:keepLines w:val="0"/>
                    <w:pageBreakBefore w:val="0"/>
                    <w:widowControl w:val="0"/>
                    <w:tabs>
                      <w:tab w:val="left" w:pos="7821"/>
                    </w:tabs>
                    <w:kinsoku/>
                    <w:wordWrap/>
                    <w:overflowPunct/>
                    <w:topLinePunct w:val="0"/>
                    <w:autoSpaceDE/>
                    <w:autoSpaceDN/>
                    <w:bidi w:val="0"/>
                    <w:adjustRightInd/>
                    <w:snapToGrid w:val="0"/>
                    <w:spacing w:line="240" w:lineRule="auto"/>
                    <w:ind w:firstLine="436" w:firstLineChars="200"/>
                    <w:jc w:val="left"/>
                    <w:textAlignment w:val="auto"/>
                    <w:rPr>
                      <w:rFonts w:hint="eastAsia"/>
                      <w:b w:val="0"/>
                      <w:bCs w:val="0"/>
                      <w:color w:val="auto"/>
                      <w:spacing w:val="4"/>
                      <w:kern w:val="0"/>
                      <w:sz w:val="21"/>
                      <w:szCs w:val="21"/>
                      <w:lang w:val="en-US" w:eastAsia="zh-CN"/>
                    </w:rPr>
                  </w:pPr>
                  <w:r>
                    <w:rPr>
                      <w:rFonts w:hint="eastAsia"/>
                      <w:b w:val="0"/>
                      <w:bCs w:val="0"/>
                      <w:color w:val="auto"/>
                      <w:spacing w:val="4"/>
                      <w:kern w:val="0"/>
                      <w:sz w:val="21"/>
                      <w:szCs w:val="21"/>
                      <w:lang w:val="en-US" w:eastAsia="zh-CN"/>
                    </w:rPr>
                    <w:t>深入推进油品储运销全过程油气回收治理。各设区市生态环境局要督促本地成品油销售企业建立日常检查和自行监测制度，在保障安全的前提下，加强无组织排放控制，每年组织开展一轮储油库、油罐车、加油站油气回收专项检查和整改，并形成自查整改报告。鼓励有条件的加油站开展三次油气回收。推动完成万吨及以上原油成品油码头，现役8000总吨及以上的有船全部完成油气回收治理。着力推动城市成品油年销量在5000吨以上的加油站安装在线监控设施。</w:t>
                  </w:r>
                </w:p>
              </w:tc>
              <w:tc>
                <w:tcPr>
                  <w:tcW w:w="1615" w:type="pct"/>
                  <w:vAlign w:val="center"/>
                </w:tcPr>
                <w:p w14:paraId="535BAD3F">
                  <w:pPr>
                    <w:keepNext w:val="0"/>
                    <w:keepLines w:val="0"/>
                    <w:pageBreakBefore w:val="0"/>
                    <w:widowControl w:val="0"/>
                    <w:tabs>
                      <w:tab w:val="left" w:pos="7821"/>
                    </w:tabs>
                    <w:kinsoku/>
                    <w:wordWrap/>
                    <w:overflowPunct/>
                    <w:topLinePunct w:val="0"/>
                    <w:autoSpaceDE/>
                    <w:autoSpaceDN/>
                    <w:bidi w:val="0"/>
                    <w:adjustRightInd/>
                    <w:snapToGrid w:val="0"/>
                    <w:spacing w:line="240" w:lineRule="auto"/>
                    <w:ind w:firstLine="436" w:firstLineChars="200"/>
                    <w:jc w:val="left"/>
                    <w:textAlignment w:val="auto"/>
                    <w:rPr>
                      <w:rFonts w:hint="eastAsia"/>
                      <w:b w:val="0"/>
                      <w:bCs w:val="0"/>
                      <w:color w:val="auto"/>
                      <w:spacing w:val="4"/>
                      <w:kern w:val="0"/>
                      <w:sz w:val="21"/>
                      <w:szCs w:val="21"/>
                      <w:lang w:val="en-US" w:eastAsia="zh-CN"/>
                    </w:rPr>
                  </w:pPr>
                  <w:r>
                    <w:rPr>
                      <w:rFonts w:hint="eastAsia"/>
                      <w:b w:val="0"/>
                      <w:bCs w:val="0"/>
                      <w:color w:val="auto"/>
                      <w:spacing w:val="4"/>
                      <w:kern w:val="0"/>
                      <w:sz w:val="21"/>
                      <w:szCs w:val="21"/>
                      <w:lang w:val="en-US" w:eastAsia="zh-CN"/>
                    </w:rPr>
                    <w:t>本项目</w:t>
                  </w:r>
                  <w:r>
                    <w:rPr>
                      <w:rFonts w:hint="eastAsia" w:ascii="Times New Roman" w:hAnsi="Times New Roman" w:eastAsia="宋体"/>
                      <w:color w:val="auto"/>
                      <w:sz w:val="21"/>
                      <w:szCs w:val="21"/>
                    </w:rPr>
                    <w:t>为</w:t>
                  </w:r>
                  <w:r>
                    <w:rPr>
                      <w:rFonts w:hint="eastAsia" w:ascii="Times New Roman" w:hAnsi="Times New Roman" w:eastAsia="宋体"/>
                      <w:color w:val="auto"/>
                      <w:sz w:val="21"/>
                      <w:szCs w:val="21"/>
                      <w:lang w:val="en-US" w:eastAsia="zh-CN"/>
                    </w:rPr>
                    <w:t>机动车燃油零售项目</w:t>
                  </w:r>
                  <w:r>
                    <w:rPr>
                      <w:rFonts w:hint="eastAsia"/>
                      <w:b w:val="0"/>
                      <w:bCs w:val="0"/>
                      <w:color w:val="auto"/>
                      <w:spacing w:val="4"/>
                      <w:kern w:val="0"/>
                      <w:sz w:val="21"/>
                      <w:szCs w:val="21"/>
                      <w:lang w:val="en-US" w:eastAsia="zh-CN"/>
                    </w:rPr>
                    <w:t>，销售油品为92#汽油734.4t/a、95#汽油765t/a、</w:t>
                  </w:r>
                  <w:r>
                    <w:rPr>
                      <w:rFonts w:hint="eastAsia"/>
                      <w:b w:val="0"/>
                      <w:bCs w:val="0"/>
                      <w:color w:val="auto"/>
                      <w:spacing w:val="4"/>
                      <w:kern w:val="0"/>
                      <w:sz w:val="21"/>
                      <w:szCs w:val="21"/>
                      <w:lang w:val="en-US" w:eastAsia="zh-CN"/>
                    </w:rPr>
                    <w:t>0#柴油2856t/a</w:t>
                  </w:r>
                  <w:r>
                    <w:rPr>
                      <w:rFonts w:hint="eastAsia"/>
                      <w:b w:val="0"/>
                      <w:bCs w:val="0"/>
                      <w:color w:val="auto"/>
                      <w:spacing w:val="4"/>
                      <w:kern w:val="0"/>
                      <w:sz w:val="21"/>
                      <w:szCs w:val="21"/>
                      <w:lang w:val="en-US" w:eastAsia="zh-CN"/>
                    </w:rPr>
                    <w:t>。项目设置卸油油气回收、加油油气回收系统。项目采用SF双层地埋罐，每台储罐设置油品渗漏在线监测系统，每条加油管道分别设置油品渗漏在线监测系统。</w:t>
                  </w:r>
                </w:p>
              </w:tc>
              <w:tc>
                <w:tcPr>
                  <w:tcW w:w="414" w:type="pct"/>
                  <w:vAlign w:val="center"/>
                </w:tcPr>
                <w:p w14:paraId="3CB7104D">
                  <w:pPr>
                    <w:keepNext w:val="0"/>
                    <w:keepLines w:val="0"/>
                    <w:pageBreakBefore w:val="0"/>
                    <w:widowControl w:val="0"/>
                    <w:tabs>
                      <w:tab w:val="left" w:pos="7821"/>
                    </w:tabs>
                    <w:kinsoku/>
                    <w:wordWrap/>
                    <w:overflowPunct/>
                    <w:topLinePunct w:val="0"/>
                    <w:autoSpaceDE/>
                    <w:autoSpaceDN/>
                    <w:bidi w:val="0"/>
                    <w:adjustRightInd/>
                    <w:snapToGrid w:val="0"/>
                    <w:spacing w:line="240" w:lineRule="auto"/>
                    <w:ind w:firstLine="0" w:firstLineChars="0"/>
                    <w:jc w:val="left"/>
                    <w:textAlignment w:val="auto"/>
                    <w:rPr>
                      <w:rFonts w:hint="eastAsia"/>
                      <w:b w:val="0"/>
                      <w:bCs w:val="0"/>
                      <w:color w:val="auto"/>
                      <w:spacing w:val="4"/>
                      <w:kern w:val="0"/>
                      <w:sz w:val="21"/>
                      <w:szCs w:val="21"/>
                      <w:lang w:val="en-US" w:eastAsia="zh-CN"/>
                    </w:rPr>
                  </w:pPr>
                  <w:r>
                    <w:rPr>
                      <w:rFonts w:hint="eastAsia"/>
                      <w:b w:val="0"/>
                      <w:bCs w:val="0"/>
                      <w:color w:val="auto"/>
                      <w:spacing w:val="4"/>
                      <w:kern w:val="0"/>
                      <w:sz w:val="21"/>
                      <w:szCs w:val="21"/>
                      <w:lang w:val="en-US" w:eastAsia="zh-CN"/>
                    </w:rPr>
                    <w:t>符合</w:t>
                  </w:r>
                </w:p>
              </w:tc>
            </w:tr>
          </w:tbl>
          <w:p w14:paraId="606FA4B0">
            <w:pPr>
              <w:keepNext w:val="0"/>
              <w:keepLines w:val="0"/>
              <w:pageBreakBefore w:val="0"/>
              <w:widowControl w:val="0"/>
              <w:tabs>
                <w:tab w:val="left" w:pos="7821"/>
              </w:tabs>
              <w:kinsoku/>
              <w:wordWrap/>
              <w:overflowPunct/>
              <w:topLinePunct w:val="0"/>
              <w:autoSpaceDE/>
              <w:autoSpaceDN/>
              <w:bidi w:val="0"/>
              <w:adjustRightInd/>
              <w:snapToGrid/>
              <w:spacing w:line="360" w:lineRule="auto"/>
              <w:ind w:firstLine="496" w:firstLineChars="200"/>
              <w:jc w:val="left"/>
              <w:textAlignment w:val="auto"/>
              <w:rPr>
                <w:rFonts w:hint="eastAsia"/>
                <w:b/>
                <w:bCs/>
                <w:color w:val="auto"/>
                <w:spacing w:val="4"/>
                <w:kern w:val="0"/>
                <w:sz w:val="24"/>
                <w:lang w:val="en-US" w:eastAsia="zh-CN"/>
              </w:rPr>
            </w:pPr>
            <w:r>
              <w:rPr>
                <w:rFonts w:hint="eastAsia"/>
                <w:b w:val="0"/>
                <w:bCs w:val="0"/>
                <w:color w:val="auto"/>
                <w:spacing w:val="4"/>
                <w:kern w:val="0"/>
                <w:sz w:val="24"/>
                <w:lang w:val="en-US" w:eastAsia="zh-CN"/>
              </w:rPr>
              <w:t>综上所述，本项目建设与《江西省深入打好污染防治攻坚战挥发性有机物治理专项行动实施方案》（赣环委办字〔2022〕22号）</w:t>
            </w:r>
            <w:r>
              <w:rPr>
                <w:color w:val="auto"/>
                <w:sz w:val="24"/>
              </w:rPr>
              <w:t>相符</w:t>
            </w:r>
            <w:r>
              <w:rPr>
                <w:rFonts w:hint="eastAsia"/>
                <w:b w:val="0"/>
                <w:bCs w:val="0"/>
                <w:color w:val="auto"/>
                <w:spacing w:val="4"/>
                <w:kern w:val="0"/>
                <w:sz w:val="24"/>
                <w:lang w:val="en-US" w:eastAsia="zh-CN"/>
              </w:rPr>
              <w:t>。</w:t>
            </w:r>
          </w:p>
          <w:p w14:paraId="40233EF4">
            <w:pPr>
              <w:keepNext w:val="0"/>
              <w:keepLines w:val="0"/>
              <w:pageBreakBefore w:val="0"/>
              <w:widowControl w:val="0"/>
              <w:tabs>
                <w:tab w:val="left" w:pos="7821"/>
              </w:tabs>
              <w:kinsoku/>
              <w:wordWrap/>
              <w:overflowPunct/>
              <w:topLinePunct w:val="0"/>
              <w:autoSpaceDE/>
              <w:autoSpaceDN/>
              <w:bidi w:val="0"/>
              <w:adjustRightInd/>
              <w:snapToGrid/>
              <w:spacing w:line="360" w:lineRule="auto"/>
              <w:ind w:firstLine="498" w:firstLineChars="200"/>
              <w:jc w:val="left"/>
              <w:textAlignment w:val="auto"/>
              <w:rPr>
                <w:b/>
                <w:bCs/>
                <w:color w:val="auto"/>
                <w:spacing w:val="4"/>
                <w:kern w:val="0"/>
                <w:sz w:val="24"/>
              </w:rPr>
            </w:pPr>
            <w:r>
              <w:rPr>
                <w:rFonts w:hint="eastAsia"/>
                <w:b/>
                <w:bCs/>
                <w:color w:val="auto"/>
                <w:spacing w:val="4"/>
                <w:kern w:val="0"/>
                <w:sz w:val="24"/>
                <w:lang w:val="en-US" w:eastAsia="zh-CN"/>
              </w:rPr>
              <w:t>8、</w:t>
            </w:r>
            <w:r>
              <w:rPr>
                <w:rFonts w:hint="eastAsia"/>
                <w:b/>
                <w:bCs/>
                <w:color w:val="auto"/>
                <w:spacing w:val="4"/>
                <w:kern w:val="0"/>
                <w:sz w:val="24"/>
              </w:rPr>
              <w:t>项目</w:t>
            </w:r>
            <w:r>
              <w:rPr>
                <w:b/>
                <w:bCs/>
                <w:color w:val="auto"/>
                <w:spacing w:val="4"/>
                <w:kern w:val="0"/>
                <w:sz w:val="24"/>
              </w:rPr>
              <w:t>与</w:t>
            </w:r>
            <w:r>
              <w:rPr>
                <w:rFonts w:hint="eastAsia"/>
                <w:b/>
                <w:bCs/>
                <w:color w:val="auto"/>
                <w:spacing w:val="4"/>
                <w:kern w:val="0"/>
                <w:sz w:val="24"/>
              </w:rPr>
              <w:t>《九江市深入打好污染防治攻坚战实施方案》（九发〔2022〕6号文）</w:t>
            </w:r>
            <w:r>
              <w:rPr>
                <w:b/>
                <w:bCs/>
                <w:color w:val="auto"/>
                <w:spacing w:val="4"/>
                <w:kern w:val="0"/>
                <w:sz w:val="24"/>
              </w:rPr>
              <w:t>相符性分析</w:t>
            </w:r>
          </w:p>
          <w:p w14:paraId="4307AA0A">
            <w:pPr>
              <w:pStyle w:val="16"/>
              <w:keepNext w:val="0"/>
              <w:keepLines w:val="0"/>
              <w:pageBreakBefore w:val="0"/>
              <w:widowControl w:val="0"/>
              <w:tabs>
                <w:tab w:val="left" w:pos="3360"/>
              </w:tabs>
              <w:kinsoku/>
              <w:wordWrap/>
              <w:overflowPunct/>
              <w:topLinePunct w:val="0"/>
              <w:autoSpaceDE/>
              <w:autoSpaceDN/>
              <w:bidi w:val="0"/>
              <w:adjustRightInd/>
              <w:snapToGrid/>
              <w:spacing w:line="240" w:lineRule="auto"/>
              <w:ind w:firstLine="0" w:firstLineChars="0"/>
              <w:jc w:val="center"/>
              <w:textAlignment w:val="auto"/>
              <w:rPr>
                <w:rFonts w:hAnsi="Times New Roman"/>
                <w:b/>
                <w:color w:val="auto"/>
                <w:szCs w:val="21"/>
              </w:rPr>
            </w:pPr>
            <w:r>
              <w:rPr>
                <w:rFonts w:hAnsi="Times New Roman"/>
                <w:b/>
                <w:color w:val="auto"/>
                <w:szCs w:val="21"/>
              </w:rPr>
              <w:t>表</w:t>
            </w:r>
            <w:r>
              <w:rPr>
                <w:rFonts w:hint="default" w:ascii="Times New Roman" w:hAnsi="Times New Roman" w:cs="Times New Roman"/>
                <w:b/>
                <w:color w:val="auto"/>
                <w:szCs w:val="21"/>
              </w:rPr>
              <w:t>1-</w:t>
            </w:r>
            <w:r>
              <w:rPr>
                <w:rFonts w:hint="eastAsia" w:ascii="Times New Roman" w:hAnsi="Times New Roman" w:cs="Times New Roman"/>
                <w:b/>
                <w:color w:val="auto"/>
                <w:szCs w:val="21"/>
                <w:lang w:val="en-US" w:eastAsia="zh-CN"/>
              </w:rPr>
              <w:t>9</w:t>
            </w:r>
            <w:r>
              <w:rPr>
                <w:rFonts w:hAnsi="Times New Roman"/>
                <w:b/>
                <w:color w:val="auto"/>
                <w:szCs w:val="21"/>
              </w:rPr>
              <w:t xml:space="preserve">  </w:t>
            </w:r>
            <w:r>
              <w:rPr>
                <w:rFonts w:hint="eastAsia" w:hAnsi="Times New Roman"/>
                <w:b/>
                <w:color w:val="auto"/>
                <w:szCs w:val="21"/>
              </w:rPr>
              <w:t xml:space="preserve"> </w:t>
            </w:r>
            <w:r>
              <w:rPr>
                <w:rFonts w:hAnsi="Times New Roman"/>
                <w:b/>
                <w:color w:val="auto"/>
                <w:szCs w:val="21"/>
              </w:rPr>
              <w:t>项目与</w:t>
            </w:r>
            <w:r>
              <w:rPr>
                <w:rFonts w:hint="eastAsia" w:hAnsi="Times New Roman"/>
                <w:b/>
                <w:color w:val="auto"/>
                <w:szCs w:val="21"/>
              </w:rPr>
              <w:t>《九江市深入打好污染防治攻坚战实施方案》（九发〔</w:t>
            </w:r>
            <w:r>
              <w:rPr>
                <w:rFonts w:hint="default" w:ascii="Times New Roman" w:hAnsi="Times New Roman" w:cs="Times New Roman"/>
                <w:b/>
                <w:color w:val="auto"/>
                <w:szCs w:val="21"/>
              </w:rPr>
              <w:t>2022</w:t>
            </w:r>
            <w:r>
              <w:rPr>
                <w:rFonts w:hint="eastAsia" w:hAnsi="Times New Roman"/>
                <w:b/>
                <w:color w:val="auto"/>
                <w:szCs w:val="21"/>
              </w:rPr>
              <w:t>〕</w:t>
            </w:r>
            <w:r>
              <w:rPr>
                <w:rFonts w:hint="default" w:ascii="Times New Roman" w:hAnsi="Times New Roman" w:cs="Times New Roman"/>
                <w:b/>
                <w:color w:val="auto"/>
                <w:szCs w:val="21"/>
              </w:rPr>
              <w:t>6</w:t>
            </w:r>
            <w:r>
              <w:rPr>
                <w:rFonts w:hint="eastAsia" w:hAnsi="Times New Roman"/>
                <w:b/>
                <w:color w:val="auto"/>
                <w:szCs w:val="21"/>
              </w:rPr>
              <w:t>号文）相符</w:t>
            </w:r>
            <w:r>
              <w:rPr>
                <w:rFonts w:hAnsi="Times New Roman"/>
                <w:b/>
                <w:color w:val="auto"/>
                <w:szCs w:val="21"/>
              </w:rPr>
              <w:t>性分析</w:t>
            </w:r>
          </w:p>
          <w:tbl>
            <w:tblPr>
              <w:tblStyle w:val="35"/>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2" w:space="0"/>
              </w:tblBorders>
              <w:tblLayout w:type="fixed"/>
              <w:tblCellMar>
                <w:top w:w="0" w:type="dxa"/>
                <w:left w:w="108" w:type="dxa"/>
                <w:bottom w:w="0" w:type="dxa"/>
                <w:right w:w="108" w:type="dxa"/>
              </w:tblCellMar>
            </w:tblPr>
            <w:tblGrid>
              <w:gridCol w:w="643"/>
              <w:gridCol w:w="4853"/>
              <w:gridCol w:w="1850"/>
              <w:gridCol w:w="693"/>
            </w:tblGrid>
            <w:tr w14:paraId="72933062">
              <w:tblPrEx>
                <w:tblBorders>
                  <w:top w:val="single" w:color="000000" w:sz="12" w:space="0"/>
                  <w:left w:val="none" w:color="auto" w:sz="0" w:space="0"/>
                  <w:bottom w:val="single" w:color="000000" w:sz="12" w:space="0"/>
                  <w:right w:val="none" w:color="auto" w:sz="0" w:space="0"/>
                  <w:insideH w:val="single" w:color="000000" w:sz="6" w:space="0"/>
                  <w:insideV w:val="single" w:color="000000" w:sz="2" w:space="0"/>
                </w:tblBorders>
                <w:tblCellMar>
                  <w:top w:w="0" w:type="dxa"/>
                  <w:left w:w="108" w:type="dxa"/>
                  <w:bottom w:w="0" w:type="dxa"/>
                  <w:right w:w="108" w:type="dxa"/>
                </w:tblCellMar>
              </w:tblPrEx>
              <w:trPr>
                <w:trHeight w:val="0" w:hRule="atLeast"/>
                <w:jc w:val="center"/>
              </w:trPr>
              <w:tc>
                <w:tcPr>
                  <w:tcW w:w="643" w:type="dxa"/>
                  <w:noWrap w:val="0"/>
                  <w:vAlign w:val="center"/>
                </w:tcPr>
                <w:p w14:paraId="4712B6DF">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b/>
                      <w:color w:val="auto"/>
                      <w:sz w:val="21"/>
                      <w:szCs w:val="21"/>
                    </w:rPr>
                  </w:pPr>
                  <w:r>
                    <w:rPr>
                      <w:rFonts w:hint="eastAsia"/>
                      <w:b/>
                      <w:color w:val="auto"/>
                      <w:sz w:val="21"/>
                      <w:szCs w:val="21"/>
                    </w:rPr>
                    <w:t>序号</w:t>
                  </w:r>
                </w:p>
              </w:tc>
              <w:tc>
                <w:tcPr>
                  <w:tcW w:w="4853" w:type="dxa"/>
                  <w:noWrap w:val="0"/>
                  <w:vAlign w:val="center"/>
                </w:tcPr>
                <w:p w14:paraId="749D98D4">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b/>
                      <w:color w:val="auto"/>
                      <w:sz w:val="21"/>
                      <w:szCs w:val="21"/>
                    </w:rPr>
                  </w:pPr>
                  <w:r>
                    <w:rPr>
                      <w:b/>
                      <w:color w:val="auto"/>
                      <w:sz w:val="21"/>
                      <w:szCs w:val="21"/>
                    </w:rPr>
                    <w:t>内容（部分相关内容）</w:t>
                  </w:r>
                </w:p>
              </w:tc>
              <w:tc>
                <w:tcPr>
                  <w:tcW w:w="1850" w:type="dxa"/>
                  <w:noWrap w:val="0"/>
                  <w:vAlign w:val="center"/>
                </w:tcPr>
                <w:p w14:paraId="7FB85887">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b/>
                      <w:color w:val="auto"/>
                      <w:sz w:val="21"/>
                      <w:szCs w:val="21"/>
                    </w:rPr>
                  </w:pPr>
                  <w:r>
                    <w:rPr>
                      <w:rFonts w:hint="eastAsia"/>
                      <w:b/>
                      <w:color w:val="auto"/>
                      <w:sz w:val="21"/>
                      <w:szCs w:val="21"/>
                      <w:lang w:val="en-US" w:eastAsia="zh-CN"/>
                    </w:rPr>
                    <w:t>相符</w:t>
                  </w:r>
                  <w:r>
                    <w:rPr>
                      <w:b/>
                      <w:color w:val="auto"/>
                      <w:sz w:val="21"/>
                      <w:szCs w:val="21"/>
                    </w:rPr>
                    <w:t>性分析</w:t>
                  </w:r>
                </w:p>
              </w:tc>
              <w:tc>
                <w:tcPr>
                  <w:tcW w:w="693" w:type="dxa"/>
                  <w:noWrap w:val="0"/>
                  <w:vAlign w:val="center"/>
                </w:tcPr>
                <w:p w14:paraId="3E4D2446">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b/>
                      <w:color w:val="auto"/>
                      <w:sz w:val="21"/>
                      <w:szCs w:val="21"/>
                    </w:rPr>
                  </w:pPr>
                  <w:r>
                    <w:rPr>
                      <w:rFonts w:hint="eastAsia"/>
                      <w:b/>
                      <w:color w:val="auto"/>
                      <w:sz w:val="21"/>
                      <w:szCs w:val="21"/>
                    </w:rPr>
                    <w:t>结论</w:t>
                  </w:r>
                </w:p>
              </w:tc>
            </w:tr>
            <w:tr w14:paraId="726E252B">
              <w:tblPrEx>
                <w:tblBorders>
                  <w:top w:val="single" w:color="000000" w:sz="12" w:space="0"/>
                  <w:left w:val="none" w:color="auto" w:sz="0" w:space="0"/>
                  <w:bottom w:val="single" w:color="000000" w:sz="12" w:space="0"/>
                  <w:right w:val="none" w:color="auto" w:sz="0" w:space="0"/>
                  <w:insideH w:val="single" w:color="000000" w:sz="6" w:space="0"/>
                  <w:insideV w:val="single" w:color="000000" w:sz="2" w:space="0"/>
                </w:tblBorders>
                <w:tblCellMar>
                  <w:top w:w="0" w:type="dxa"/>
                  <w:left w:w="108" w:type="dxa"/>
                  <w:bottom w:w="0" w:type="dxa"/>
                  <w:right w:w="108" w:type="dxa"/>
                </w:tblCellMar>
              </w:tblPrEx>
              <w:trPr>
                <w:trHeight w:val="0" w:hRule="atLeast"/>
                <w:jc w:val="center"/>
              </w:trPr>
              <w:tc>
                <w:tcPr>
                  <w:tcW w:w="643" w:type="dxa"/>
                  <w:noWrap w:val="0"/>
                  <w:vAlign w:val="center"/>
                </w:tcPr>
                <w:p w14:paraId="27590046">
                  <w:pPr>
                    <w:pStyle w:val="61"/>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1</w:t>
                  </w:r>
                </w:p>
              </w:tc>
              <w:tc>
                <w:tcPr>
                  <w:tcW w:w="4853" w:type="dxa"/>
                  <w:noWrap w:val="0"/>
                  <w:vAlign w:val="center"/>
                </w:tcPr>
                <w:p w14:paraId="779B4C45">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auto"/>
                      <w:sz w:val="21"/>
                      <w:szCs w:val="21"/>
                    </w:rPr>
                  </w:pPr>
                  <w:r>
                    <w:rPr>
                      <w:rFonts w:hint="default" w:ascii="Times New Roman" w:hAnsi="Times New Roman" w:eastAsia="宋体" w:cs="Times New Roman"/>
                      <w:color w:val="auto"/>
                      <w:sz w:val="21"/>
                      <w:szCs w:val="21"/>
                    </w:rPr>
                    <w:t>有力有序推进碳达峰碳中和。将“双碳”目标要求全面纳入生态文明建设整体布局。制定实施全市2030年前碳达峰实施方案。加强甲烷等非二氧化碳温室气体排放管控，健全排放源统计调查、核算核查和监管制度，积极做好应对气候变化工作。</w:t>
                  </w:r>
                </w:p>
              </w:tc>
              <w:tc>
                <w:tcPr>
                  <w:tcW w:w="1850" w:type="dxa"/>
                  <w:noWrap w:val="0"/>
                  <w:vAlign w:val="center"/>
                </w:tcPr>
                <w:p w14:paraId="16A3083F">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lang w:eastAsia="zh-CN"/>
                    </w:rPr>
                    <w:t>本项目</w:t>
                  </w:r>
                  <w:r>
                    <w:rPr>
                      <w:rFonts w:hint="eastAsia" w:ascii="Times New Roman" w:hAnsi="Times New Roman" w:eastAsia="宋体"/>
                      <w:color w:val="auto"/>
                      <w:sz w:val="21"/>
                      <w:szCs w:val="21"/>
                    </w:rPr>
                    <w:t>使用能源</w:t>
                  </w:r>
                  <w:r>
                    <w:rPr>
                      <w:rFonts w:hint="eastAsia" w:ascii="Times New Roman" w:hAnsi="Times New Roman" w:eastAsia="宋体"/>
                      <w:color w:val="auto"/>
                      <w:sz w:val="21"/>
                      <w:szCs w:val="21"/>
                      <w:lang w:val="en-US" w:eastAsia="zh-CN"/>
                    </w:rPr>
                    <w:t>主要为</w:t>
                  </w:r>
                  <w:r>
                    <w:rPr>
                      <w:rFonts w:hint="eastAsia" w:ascii="Times New Roman" w:hAnsi="Times New Roman" w:eastAsia="宋体"/>
                      <w:color w:val="auto"/>
                      <w:sz w:val="21"/>
                      <w:szCs w:val="21"/>
                    </w:rPr>
                    <w:t>电能，</w:t>
                  </w:r>
                  <w:r>
                    <w:rPr>
                      <w:rFonts w:ascii="Times New Roman" w:hAnsi="Times New Roman" w:eastAsia="宋体"/>
                      <w:color w:val="auto"/>
                      <w:sz w:val="21"/>
                      <w:szCs w:val="21"/>
                    </w:rPr>
                    <w:t>碳排放</w:t>
                  </w:r>
                  <w:r>
                    <w:rPr>
                      <w:rFonts w:hint="eastAsia" w:ascii="Times New Roman" w:hAnsi="Times New Roman" w:eastAsia="宋体"/>
                      <w:color w:val="auto"/>
                      <w:sz w:val="21"/>
                      <w:szCs w:val="21"/>
                    </w:rPr>
                    <w:t>量较</w:t>
                  </w:r>
                  <w:r>
                    <w:rPr>
                      <w:rFonts w:hint="eastAsia" w:ascii="Times New Roman" w:hAnsi="Times New Roman" w:eastAsia="宋体"/>
                      <w:color w:val="auto"/>
                      <w:sz w:val="21"/>
                      <w:szCs w:val="21"/>
                      <w:lang w:val="en-US" w:eastAsia="zh-CN"/>
                    </w:rPr>
                    <w:t>少</w:t>
                  </w:r>
                  <w:r>
                    <w:rPr>
                      <w:rFonts w:hint="eastAsia" w:ascii="Times New Roman" w:hAnsi="Times New Roman" w:eastAsia="宋体"/>
                      <w:color w:val="auto"/>
                      <w:sz w:val="21"/>
                      <w:szCs w:val="21"/>
                    </w:rPr>
                    <w:t>。</w:t>
                  </w:r>
                </w:p>
              </w:tc>
              <w:tc>
                <w:tcPr>
                  <w:tcW w:w="693" w:type="dxa"/>
                  <w:noWrap w:val="0"/>
                  <w:vAlign w:val="center"/>
                </w:tcPr>
                <w:p w14:paraId="3189707A">
                  <w:pPr>
                    <w:pStyle w:val="61"/>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符合</w:t>
                  </w:r>
                </w:p>
              </w:tc>
            </w:tr>
            <w:tr w14:paraId="1511D2D6">
              <w:tblPrEx>
                <w:tblBorders>
                  <w:top w:val="single" w:color="000000" w:sz="12" w:space="0"/>
                  <w:left w:val="none" w:color="auto" w:sz="0" w:space="0"/>
                  <w:bottom w:val="single" w:color="000000" w:sz="12" w:space="0"/>
                  <w:right w:val="none" w:color="auto" w:sz="0" w:space="0"/>
                  <w:insideH w:val="single" w:color="000000" w:sz="6" w:space="0"/>
                  <w:insideV w:val="single" w:color="000000" w:sz="2" w:space="0"/>
                </w:tblBorders>
                <w:tblCellMar>
                  <w:top w:w="0" w:type="dxa"/>
                  <w:left w:w="108" w:type="dxa"/>
                  <w:bottom w:w="0" w:type="dxa"/>
                  <w:right w:w="108" w:type="dxa"/>
                </w:tblCellMar>
              </w:tblPrEx>
              <w:trPr>
                <w:trHeight w:val="0" w:hRule="atLeast"/>
                <w:jc w:val="center"/>
              </w:trPr>
              <w:tc>
                <w:tcPr>
                  <w:tcW w:w="643" w:type="dxa"/>
                  <w:noWrap w:val="0"/>
                  <w:vAlign w:val="center"/>
                </w:tcPr>
                <w:p w14:paraId="0FBEA432">
                  <w:pPr>
                    <w:pStyle w:val="61"/>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2</w:t>
                  </w:r>
                </w:p>
              </w:tc>
              <w:tc>
                <w:tcPr>
                  <w:tcW w:w="4853" w:type="dxa"/>
                  <w:noWrap w:val="0"/>
                  <w:vAlign w:val="center"/>
                </w:tcPr>
                <w:p w14:paraId="3194104A">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auto"/>
                      <w:sz w:val="21"/>
                      <w:szCs w:val="21"/>
                    </w:rPr>
                  </w:pPr>
                  <w:r>
                    <w:rPr>
                      <w:rFonts w:hint="default" w:ascii="Times New Roman" w:hAnsi="Times New Roman" w:eastAsia="宋体" w:cs="Times New Roman"/>
                      <w:color w:val="auto"/>
                      <w:sz w:val="21"/>
                      <w:szCs w:val="21"/>
                    </w:rPr>
                    <w:t>加快推动产业结构转型升级。实施淘汰落后产能三年行动计划，综合运用法治化、市场化手段，加快淘汰低端、低效和无效产能。大力实施传统产业转型升级工程，持续推进技改升级，引导重点行业实施清洁生产改造，推进工业园区循环化改造。实施战略性新兴产业倍增工程和未来产业培育发展工程，全力打造新型工业重镇。强化“三线一单”分区管控，加强能评、环评等审批事前事中事后监管，坚决遏制“两高”项目盲目发展。到2025年，全市单位地区生产总值能耗累计降低16%，全市高新技术产业增加值占规上工业增加值比重不低于38%。</w:t>
                  </w:r>
                </w:p>
              </w:tc>
              <w:tc>
                <w:tcPr>
                  <w:tcW w:w="1850" w:type="dxa"/>
                  <w:noWrap w:val="0"/>
                  <w:vAlign w:val="center"/>
                </w:tcPr>
                <w:p w14:paraId="4ADAD9F1">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lang w:eastAsia="zh-CN"/>
                    </w:rPr>
                    <w:t>本项目</w:t>
                  </w:r>
                  <w:r>
                    <w:rPr>
                      <w:rFonts w:hint="eastAsia" w:ascii="Times New Roman" w:hAnsi="Times New Roman" w:eastAsia="宋体"/>
                      <w:color w:val="auto"/>
                      <w:sz w:val="21"/>
                      <w:szCs w:val="21"/>
                    </w:rPr>
                    <w:t>属于允许类项目，不属于淘汰落后项目。项目</w:t>
                  </w:r>
                  <w:r>
                    <w:rPr>
                      <w:rFonts w:hint="eastAsia" w:ascii="Times New Roman" w:hAnsi="Times New Roman" w:eastAsia="宋体"/>
                      <w:color w:val="auto"/>
                      <w:sz w:val="21"/>
                      <w:szCs w:val="21"/>
                      <w:lang w:eastAsia="zh-CN"/>
                    </w:rPr>
                    <w:t>为机动车燃油零售</w:t>
                  </w:r>
                  <w:r>
                    <w:rPr>
                      <w:rFonts w:hint="eastAsia" w:ascii="Times New Roman" w:hAnsi="Times New Roman" w:eastAsia="宋体"/>
                      <w:color w:val="auto"/>
                      <w:sz w:val="21"/>
                      <w:szCs w:val="21"/>
                      <w:lang w:val="en-US" w:eastAsia="zh-CN"/>
                    </w:rPr>
                    <w:t>项目</w:t>
                  </w:r>
                  <w:r>
                    <w:rPr>
                      <w:rFonts w:hint="eastAsia" w:ascii="Times New Roman" w:hAnsi="Times New Roman" w:eastAsia="宋体"/>
                      <w:color w:val="auto"/>
                      <w:sz w:val="21"/>
                      <w:szCs w:val="21"/>
                    </w:rPr>
                    <w:t>，不属于高耗能高排放项目。</w:t>
                  </w:r>
                </w:p>
              </w:tc>
              <w:tc>
                <w:tcPr>
                  <w:tcW w:w="693" w:type="dxa"/>
                  <w:noWrap w:val="0"/>
                  <w:vAlign w:val="center"/>
                </w:tcPr>
                <w:p w14:paraId="09597903">
                  <w:pPr>
                    <w:pStyle w:val="61"/>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符合</w:t>
                  </w:r>
                </w:p>
              </w:tc>
            </w:tr>
            <w:tr w14:paraId="30342A43">
              <w:tblPrEx>
                <w:tblBorders>
                  <w:top w:val="single" w:color="000000" w:sz="12" w:space="0"/>
                  <w:left w:val="none" w:color="auto" w:sz="0" w:space="0"/>
                  <w:bottom w:val="single" w:color="000000" w:sz="12" w:space="0"/>
                  <w:right w:val="none" w:color="auto" w:sz="0" w:space="0"/>
                  <w:insideH w:val="single" w:color="000000" w:sz="6" w:space="0"/>
                  <w:insideV w:val="single" w:color="000000" w:sz="2" w:space="0"/>
                </w:tblBorders>
                <w:tblCellMar>
                  <w:top w:w="0" w:type="dxa"/>
                  <w:left w:w="108" w:type="dxa"/>
                  <w:bottom w:w="0" w:type="dxa"/>
                  <w:right w:w="108" w:type="dxa"/>
                </w:tblCellMar>
              </w:tblPrEx>
              <w:trPr>
                <w:trHeight w:val="0" w:hRule="atLeast"/>
                <w:jc w:val="center"/>
              </w:trPr>
              <w:tc>
                <w:tcPr>
                  <w:tcW w:w="643" w:type="dxa"/>
                  <w:noWrap w:val="0"/>
                  <w:vAlign w:val="center"/>
                </w:tcPr>
                <w:p w14:paraId="19D9C6EE">
                  <w:pPr>
                    <w:pStyle w:val="61"/>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3</w:t>
                  </w:r>
                </w:p>
              </w:tc>
              <w:tc>
                <w:tcPr>
                  <w:tcW w:w="4853" w:type="dxa"/>
                  <w:noWrap w:val="0"/>
                  <w:vAlign w:val="center"/>
                </w:tcPr>
                <w:p w14:paraId="20613281">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加快推动能源结构转型升级。在保障能源安全的前提下，鼓励清洁低碳能源替代，提高电能占终端能源消费比重，大力发展可再生能源。到2025年，力争全市非化石能源占一次能源消费比重提高到17.7%。</w:t>
                  </w:r>
                </w:p>
              </w:tc>
              <w:tc>
                <w:tcPr>
                  <w:tcW w:w="1850" w:type="dxa"/>
                  <w:noWrap w:val="0"/>
                  <w:vAlign w:val="center"/>
                </w:tcPr>
                <w:p w14:paraId="3B386FB3">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lang w:eastAsia="zh-CN"/>
                    </w:rPr>
                    <w:t>本项目</w:t>
                  </w:r>
                  <w:r>
                    <w:rPr>
                      <w:rFonts w:hint="eastAsia" w:ascii="Times New Roman" w:hAnsi="Times New Roman" w:eastAsia="宋体"/>
                      <w:color w:val="auto"/>
                      <w:sz w:val="21"/>
                      <w:szCs w:val="21"/>
                    </w:rPr>
                    <w:t>使用能源</w:t>
                  </w:r>
                  <w:r>
                    <w:rPr>
                      <w:rFonts w:hint="eastAsia" w:ascii="Times New Roman" w:hAnsi="Times New Roman" w:eastAsia="宋体"/>
                      <w:color w:val="auto"/>
                      <w:sz w:val="21"/>
                      <w:szCs w:val="21"/>
                      <w:lang w:val="en-US" w:eastAsia="zh-CN"/>
                    </w:rPr>
                    <w:t>主要为</w:t>
                  </w:r>
                  <w:r>
                    <w:rPr>
                      <w:rFonts w:hint="eastAsia" w:ascii="Times New Roman" w:hAnsi="Times New Roman" w:eastAsia="宋体"/>
                      <w:color w:val="auto"/>
                      <w:sz w:val="21"/>
                      <w:szCs w:val="21"/>
                    </w:rPr>
                    <w:t>电能。</w:t>
                  </w:r>
                </w:p>
              </w:tc>
              <w:tc>
                <w:tcPr>
                  <w:tcW w:w="693" w:type="dxa"/>
                  <w:noWrap w:val="0"/>
                  <w:vAlign w:val="center"/>
                </w:tcPr>
                <w:p w14:paraId="34F31335">
                  <w:pPr>
                    <w:pStyle w:val="61"/>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符合</w:t>
                  </w:r>
                </w:p>
              </w:tc>
            </w:tr>
            <w:tr w14:paraId="1795C0C5">
              <w:tblPrEx>
                <w:tblBorders>
                  <w:top w:val="single" w:color="000000" w:sz="12" w:space="0"/>
                  <w:left w:val="none" w:color="auto" w:sz="0" w:space="0"/>
                  <w:bottom w:val="single" w:color="000000" w:sz="12" w:space="0"/>
                  <w:right w:val="none" w:color="auto" w:sz="0" w:space="0"/>
                  <w:insideH w:val="single" w:color="000000" w:sz="6" w:space="0"/>
                  <w:insideV w:val="single" w:color="000000" w:sz="2" w:space="0"/>
                </w:tblBorders>
                <w:tblCellMar>
                  <w:top w:w="0" w:type="dxa"/>
                  <w:left w:w="108" w:type="dxa"/>
                  <w:bottom w:w="0" w:type="dxa"/>
                  <w:right w:w="108" w:type="dxa"/>
                </w:tblCellMar>
              </w:tblPrEx>
              <w:trPr>
                <w:trHeight w:val="0" w:hRule="atLeast"/>
                <w:jc w:val="center"/>
              </w:trPr>
              <w:tc>
                <w:tcPr>
                  <w:tcW w:w="643" w:type="dxa"/>
                  <w:noWrap w:val="0"/>
                  <w:vAlign w:val="center"/>
                </w:tcPr>
                <w:p w14:paraId="17A46CC4">
                  <w:pPr>
                    <w:pStyle w:val="61"/>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4</w:t>
                  </w:r>
                </w:p>
              </w:tc>
              <w:tc>
                <w:tcPr>
                  <w:tcW w:w="4853" w:type="dxa"/>
                  <w:noWrap w:val="0"/>
                  <w:vAlign w:val="center"/>
                </w:tcPr>
                <w:p w14:paraId="680AF6EF">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着力推进臭氧污染防治。大力推进挥发性有机物和氮氧化物源头协同减排，加强消耗臭氧层物质和氢氟碳化物环境管理，推进企业升级改造和区域环境综合整治。实施溶剂型工业涂料等清洁原料替代。</w:t>
                  </w:r>
                </w:p>
              </w:tc>
              <w:tc>
                <w:tcPr>
                  <w:tcW w:w="1850" w:type="dxa"/>
                  <w:noWrap w:val="0"/>
                  <w:vAlign w:val="center"/>
                </w:tcPr>
                <w:p w14:paraId="1143B157">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eastAsia="zh-CN"/>
                    </w:rPr>
                    <w:t>本项目</w:t>
                  </w:r>
                  <w:r>
                    <w:rPr>
                      <w:rFonts w:hint="eastAsia" w:ascii="Times New Roman" w:hAnsi="Times New Roman" w:eastAsia="宋体"/>
                      <w:color w:val="auto"/>
                      <w:sz w:val="21"/>
                      <w:szCs w:val="21"/>
                      <w:lang w:val="en-US" w:eastAsia="zh-CN"/>
                    </w:rPr>
                    <w:t>不涉及氮氧化物排放，挥发性有机物排放量满足总量控制指标要求。</w:t>
                  </w:r>
                </w:p>
              </w:tc>
              <w:tc>
                <w:tcPr>
                  <w:tcW w:w="693" w:type="dxa"/>
                  <w:noWrap w:val="0"/>
                  <w:vAlign w:val="center"/>
                </w:tcPr>
                <w:p w14:paraId="777618E3">
                  <w:pPr>
                    <w:pStyle w:val="61"/>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符合</w:t>
                  </w:r>
                </w:p>
              </w:tc>
            </w:tr>
            <w:tr w14:paraId="269EA5D1">
              <w:tblPrEx>
                <w:tblBorders>
                  <w:top w:val="single" w:color="000000" w:sz="12" w:space="0"/>
                  <w:left w:val="none" w:color="auto" w:sz="0" w:space="0"/>
                  <w:bottom w:val="single" w:color="000000" w:sz="12" w:space="0"/>
                  <w:right w:val="none" w:color="auto" w:sz="0" w:space="0"/>
                  <w:insideH w:val="single" w:color="000000" w:sz="6" w:space="0"/>
                  <w:insideV w:val="single" w:color="000000" w:sz="2" w:space="0"/>
                </w:tblBorders>
                <w:tblCellMar>
                  <w:top w:w="0" w:type="dxa"/>
                  <w:left w:w="108" w:type="dxa"/>
                  <w:bottom w:w="0" w:type="dxa"/>
                  <w:right w:w="108" w:type="dxa"/>
                </w:tblCellMar>
              </w:tblPrEx>
              <w:trPr>
                <w:trHeight w:val="0" w:hRule="atLeast"/>
                <w:jc w:val="center"/>
              </w:trPr>
              <w:tc>
                <w:tcPr>
                  <w:tcW w:w="643" w:type="dxa"/>
                  <w:noWrap w:val="0"/>
                  <w:vAlign w:val="center"/>
                </w:tcPr>
                <w:p w14:paraId="12EA2CBC">
                  <w:pPr>
                    <w:pStyle w:val="61"/>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5</w:t>
                  </w:r>
                </w:p>
              </w:tc>
              <w:tc>
                <w:tcPr>
                  <w:tcW w:w="4853" w:type="dxa"/>
                  <w:noWrap w:val="0"/>
                  <w:vAlign w:val="center"/>
                </w:tcPr>
                <w:p w14:paraId="185F46C5">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auto"/>
                      <w:sz w:val="21"/>
                      <w:szCs w:val="21"/>
                    </w:rPr>
                  </w:pPr>
                  <w:r>
                    <w:rPr>
                      <w:rFonts w:hint="default" w:ascii="Times New Roman" w:hAnsi="Times New Roman" w:eastAsia="宋体" w:cs="Times New Roman"/>
                      <w:color w:val="auto"/>
                      <w:sz w:val="21"/>
                      <w:szCs w:val="21"/>
                    </w:rPr>
                    <w:t>强化“四尘”防治。强化施工扬尘精细管控，落实施工现场扬尘治理“六个100%”要求。强化道路扬尘精细管控，提高城市道路机扫率。强化运输扬尘精细管控，规范铁路、公路、港口等货运管理。强化堆场扬尘精细管控。</w:t>
                  </w:r>
                </w:p>
              </w:tc>
              <w:tc>
                <w:tcPr>
                  <w:tcW w:w="1850" w:type="dxa"/>
                  <w:noWrap w:val="0"/>
                  <w:vAlign w:val="center"/>
                </w:tcPr>
                <w:p w14:paraId="7BAEA2F0">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eastAsia="zh-CN"/>
                    </w:rPr>
                    <w:t>本项目</w:t>
                  </w:r>
                  <w:r>
                    <w:rPr>
                      <w:rFonts w:hint="eastAsia" w:ascii="Times New Roman" w:hAnsi="Times New Roman" w:eastAsia="宋体"/>
                      <w:color w:val="auto"/>
                      <w:sz w:val="21"/>
                      <w:szCs w:val="21"/>
                      <w:lang w:val="en-US" w:eastAsia="zh-CN"/>
                    </w:rPr>
                    <w:t>施工期强化落实</w:t>
                  </w:r>
                  <w:r>
                    <w:rPr>
                      <w:rFonts w:hint="eastAsia" w:ascii="Times New Roman" w:hAnsi="Times New Roman" w:eastAsia="宋体"/>
                      <w:color w:val="auto"/>
                      <w:sz w:val="21"/>
                      <w:szCs w:val="21"/>
                    </w:rPr>
                    <w:t>施工现场扬尘治理</w:t>
                  </w:r>
                  <w:r>
                    <w:rPr>
                      <w:rFonts w:hint="default" w:ascii="Times New Roman" w:hAnsi="Times New Roman" w:eastAsia="宋体" w:cs="Times New Roman"/>
                      <w:color w:val="auto"/>
                      <w:sz w:val="21"/>
                      <w:szCs w:val="21"/>
                    </w:rPr>
                    <w:t>“</w:t>
                  </w:r>
                  <w:r>
                    <w:rPr>
                      <w:rFonts w:hint="eastAsia" w:ascii="Times New Roman" w:hAnsi="Times New Roman" w:eastAsia="宋体"/>
                      <w:color w:val="auto"/>
                      <w:sz w:val="21"/>
                      <w:szCs w:val="21"/>
                    </w:rPr>
                    <w:t>六个100%</w:t>
                  </w:r>
                  <w:r>
                    <w:rPr>
                      <w:rFonts w:hint="default" w:ascii="Times New Roman" w:hAnsi="Times New Roman" w:eastAsia="宋体" w:cs="Times New Roman"/>
                      <w:color w:val="auto"/>
                      <w:sz w:val="21"/>
                      <w:szCs w:val="21"/>
                    </w:rPr>
                    <w:t>”</w:t>
                  </w:r>
                  <w:r>
                    <w:rPr>
                      <w:rFonts w:hint="eastAsia" w:ascii="Times New Roman" w:hAnsi="Times New Roman" w:eastAsia="宋体"/>
                      <w:color w:val="auto"/>
                      <w:sz w:val="21"/>
                      <w:szCs w:val="21"/>
                    </w:rPr>
                    <w:t>要求。</w:t>
                  </w:r>
                </w:p>
              </w:tc>
              <w:tc>
                <w:tcPr>
                  <w:tcW w:w="693" w:type="dxa"/>
                  <w:noWrap w:val="0"/>
                  <w:vAlign w:val="center"/>
                </w:tcPr>
                <w:p w14:paraId="6BCEF613">
                  <w:pPr>
                    <w:pStyle w:val="61"/>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符合</w:t>
                  </w:r>
                </w:p>
              </w:tc>
            </w:tr>
            <w:tr w14:paraId="2619EA84">
              <w:tblPrEx>
                <w:tblBorders>
                  <w:top w:val="single" w:color="000000" w:sz="12" w:space="0"/>
                  <w:left w:val="none" w:color="auto" w:sz="0" w:space="0"/>
                  <w:bottom w:val="single" w:color="000000" w:sz="12" w:space="0"/>
                  <w:right w:val="none" w:color="auto" w:sz="0" w:space="0"/>
                  <w:insideH w:val="single" w:color="000000" w:sz="6" w:space="0"/>
                  <w:insideV w:val="single" w:color="000000" w:sz="2" w:space="0"/>
                </w:tblBorders>
                <w:tblCellMar>
                  <w:top w:w="0" w:type="dxa"/>
                  <w:left w:w="108" w:type="dxa"/>
                  <w:bottom w:w="0" w:type="dxa"/>
                  <w:right w:w="108" w:type="dxa"/>
                </w:tblCellMar>
              </w:tblPrEx>
              <w:trPr>
                <w:trHeight w:val="0" w:hRule="atLeast"/>
                <w:jc w:val="center"/>
              </w:trPr>
              <w:tc>
                <w:tcPr>
                  <w:tcW w:w="643" w:type="dxa"/>
                  <w:noWrap w:val="0"/>
                  <w:vAlign w:val="center"/>
                </w:tcPr>
                <w:p w14:paraId="7299B394">
                  <w:pPr>
                    <w:pStyle w:val="61"/>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6</w:t>
                  </w:r>
                </w:p>
              </w:tc>
              <w:tc>
                <w:tcPr>
                  <w:tcW w:w="4853" w:type="dxa"/>
                  <w:noWrap w:val="0"/>
                  <w:vAlign w:val="center"/>
                </w:tcPr>
                <w:p w14:paraId="5AEB30F1">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auto"/>
                      <w:sz w:val="21"/>
                      <w:szCs w:val="21"/>
                    </w:rPr>
                  </w:pPr>
                  <w:r>
                    <w:rPr>
                      <w:rFonts w:hint="default" w:ascii="Times New Roman" w:hAnsi="Times New Roman" w:eastAsia="宋体" w:cs="Times New Roman"/>
                      <w:color w:val="auto"/>
                      <w:sz w:val="21"/>
                      <w:szCs w:val="21"/>
                    </w:rPr>
                    <w:t>强化“三气”防治。强化工业废气精细管控，强化机动车尾气精细管控，持续打好柴油货车污染治理攻坚战，基本淘汰国三及以下排放标准汽车。强化燃煤锅炉废气精细管控，不再审批35蒸吨/小时及以下燃煤锅炉，不再新增燃煤导热油炉，鼓励现有燃煤锅炉、导热油炉改为清洁能源。推广工业园区集中供热，推动淘汰工业园区集中供热范围内分散燃煤锅炉。</w:t>
                  </w:r>
                </w:p>
              </w:tc>
              <w:tc>
                <w:tcPr>
                  <w:tcW w:w="1850" w:type="dxa"/>
                  <w:noWrap w:val="0"/>
                  <w:vAlign w:val="center"/>
                </w:tcPr>
                <w:p w14:paraId="594456CA">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hint="eastAsia" w:ascii="Times New Roman" w:hAnsi="Times New Roman" w:eastAsia="宋体"/>
                      <w:color w:val="auto"/>
                      <w:sz w:val="21"/>
                      <w:szCs w:val="21"/>
                      <w:highlight w:val="cyan"/>
                    </w:rPr>
                  </w:pPr>
                  <w:r>
                    <w:rPr>
                      <w:rFonts w:hint="eastAsia" w:ascii="Times New Roman" w:hAnsi="Times New Roman" w:eastAsia="宋体"/>
                      <w:color w:val="auto"/>
                      <w:sz w:val="21"/>
                      <w:szCs w:val="21"/>
                      <w:lang w:eastAsia="zh-CN"/>
                    </w:rPr>
                    <w:t>本项目</w:t>
                  </w:r>
                  <w:r>
                    <w:rPr>
                      <w:rFonts w:hint="eastAsia" w:ascii="Times New Roman" w:hAnsi="Times New Roman" w:eastAsia="宋体"/>
                      <w:color w:val="auto"/>
                      <w:sz w:val="21"/>
                      <w:szCs w:val="21"/>
                      <w:lang w:val="en-US" w:eastAsia="zh-CN"/>
                    </w:rPr>
                    <w:t>不涉及</w:t>
                  </w:r>
                  <w:r>
                    <w:rPr>
                      <w:rFonts w:hint="eastAsia" w:ascii="Times New Roman" w:hAnsi="Times New Roman" w:eastAsia="宋体"/>
                      <w:color w:val="auto"/>
                      <w:sz w:val="21"/>
                      <w:szCs w:val="21"/>
                    </w:rPr>
                    <w:t>燃煤锅炉</w:t>
                  </w:r>
                  <w:r>
                    <w:rPr>
                      <w:rFonts w:hint="eastAsia" w:ascii="Times New Roman" w:hAnsi="Times New Roman" w:eastAsia="宋体"/>
                      <w:color w:val="auto"/>
                      <w:sz w:val="21"/>
                      <w:szCs w:val="21"/>
                      <w:lang w:eastAsia="zh-CN"/>
                    </w:rPr>
                    <w:t>、</w:t>
                  </w:r>
                  <w:r>
                    <w:rPr>
                      <w:rFonts w:hint="eastAsia" w:ascii="Times New Roman" w:hAnsi="Times New Roman" w:eastAsia="宋体"/>
                      <w:color w:val="auto"/>
                      <w:sz w:val="21"/>
                      <w:szCs w:val="21"/>
                    </w:rPr>
                    <w:t>燃煤导热油炉。</w:t>
                  </w:r>
                </w:p>
              </w:tc>
              <w:tc>
                <w:tcPr>
                  <w:tcW w:w="693" w:type="dxa"/>
                  <w:noWrap w:val="0"/>
                  <w:vAlign w:val="center"/>
                </w:tcPr>
                <w:p w14:paraId="4C58003F">
                  <w:pPr>
                    <w:pStyle w:val="61"/>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符合</w:t>
                  </w:r>
                </w:p>
              </w:tc>
            </w:tr>
            <w:tr w14:paraId="6B4821FC">
              <w:tblPrEx>
                <w:tblBorders>
                  <w:top w:val="single" w:color="000000" w:sz="12" w:space="0"/>
                  <w:left w:val="none" w:color="auto" w:sz="0" w:space="0"/>
                  <w:bottom w:val="single" w:color="000000" w:sz="12" w:space="0"/>
                  <w:right w:val="none" w:color="auto" w:sz="0" w:space="0"/>
                  <w:insideH w:val="single" w:color="000000" w:sz="6" w:space="0"/>
                  <w:insideV w:val="single" w:color="000000" w:sz="2" w:space="0"/>
                </w:tblBorders>
                <w:tblCellMar>
                  <w:top w:w="0" w:type="dxa"/>
                  <w:left w:w="108" w:type="dxa"/>
                  <w:bottom w:w="0" w:type="dxa"/>
                  <w:right w:w="108" w:type="dxa"/>
                </w:tblCellMar>
              </w:tblPrEx>
              <w:trPr>
                <w:trHeight w:val="0" w:hRule="atLeast"/>
                <w:jc w:val="center"/>
              </w:trPr>
              <w:tc>
                <w:tcPr>
                  <w:tcW w:w="643" w:type="dxa"/>
                  <w:noWrap w:val="0"/>
                  <w:vAlign w:val="center"/>
                </w:tcPr>
                <w:p w14:paraId="684C6BD6">
                  <w:pPr>
                    <w:pStyle w:val="61"/>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7</w:t>
                  </w:r>
                </w:p>
              </w:tc>
              <w:tc>
                <w:tcPr>
                  <w:tcW w:w="4853" w:type="dxa"/>
                  <w:noWrap w:val="0"/>
                  <w:vAlign w:val="center"/>
                </w:tcPr>
                <w:p w14:paraId="482A2315">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加强污水收集处理。开展城市老旧破损和易造成积水内涝问题的污水管网、雨污合流制管网诊断修复更新，有序推进管网错接混接漏接改造。加快补齐县（市、区）污水收集处理能力缺口。持续提升工业园区污水收集处理水平，推进园区污水处理设施一级A提标改造。推进污泥减量化资源化无害化处置。</w:t>
                  </w:r>
                </w:p>
              </w:tc>
              <w:tc>
                <w:tcPr>
                  <w:tcW w:w="1850" w:type="dxa"/>
                  <w:noWrap w:val="0"/>
                  <w:vAlign w:val="center"/>
                </w:tcPr>
                <w:p w14:paraId="3D005AC5">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hint="default" w:ascii="Times New Roman" w:hAnsi="Times New Roman" w:eastAsia="宋体"/>
                      <w:color w:val="auto"/>
                      <w:sz w:val="21"/>
                      <w:szCs w:val="21"/>
                      <w:highlight w:val="cyan"/>
                      <w:lang w:val="en-US" w:eastAsia="zh-CN"/>
                    </w:rPr>
                  </w:pPr>
                  <w:r>
                    <w:rPr>
                      <w:rFonts w:hint="eastAsia" w:hAnsi="宋体" w:eastAsia="宋体" w:cs="宋体"/>
                      <w:color w:val="auto"/>
                      <w:sz w:val="21"/>
                      <w:szCs w:val="21"/>
                      <w:lang w:eastAsia="zh-CN"/>
                    </w:rPr>
                    <w:t>本项目</w:t>
                  </w:r>
                  <w:r>
                    <w:rPr>
                      <w:rFonts w:hint="eastAsia" w:hAnsi="宋体" w:eastAsia="宋体" w:cs="宋体"/>
                      <w:color w:val="auto"/>
                      <w:sz w:val="21"/>
                      <w:szCs w:val="21"/>
                      <w:lang w:val="en-US" w:eastAsia="zh-CN"/>
                    </w:rPr>
                    <w:t>外排废水主要为</w:t>
                  </w:r>
                  <w:r>
                    <w:rPr>
                      <w:rFonts w:hint="eastAsia" w:hAnsi="宋体" w:eastAsia="宋体" w:cs="宋体"/>
                      <w:color w:val="auto"/>
                      <w:sz w:val="21"/>
                      <w:szCs w:val="21"/>
                    </w:rPr>
                    <w:t>生活污水</w:t>
                  </w:r>
                  <w:r>
                    <w:rPr>
                      <w:rFonts w:hint="eastAsia" w:hAnsi="宋体" w:eastAsia="宋体" w:cs="宋体"/>
                      <w:color w:val="auto"/>
                      <w:sz w:val="21"/>
                      <w:szCs w:val="21"/>
                      <w:lang w:eastAsia="zh-CN"/>
                    </w:rPr>
                    <w:t>，</w:t>
                  </w:r>
                  <w:r>
                    <w:rPr>
                      <w:rFonts w:hint="eastAsia" w:hAnsi="宋体" w:eastAsia="宋体" w:cs="宋体"/>
                      <w:color w:val="auto"/>
                      <w:sz w:val="21"/>
                      <w:szCs w:val="21"/>
                      <w:lang w:val="en-US" w:eastAsia="zh-CN"/>
                    </w:rPr>
                    <w:t>生活污水经油水分离器+化粪池预处理达红心村生活污水处理站接管标准，经污水管网排入红心村生活污水处理站进一步处理后达标排放。</w:t>
                  </w:r>
                </w:p>
              </w:tc>
              <w:tc>
                <w:tcPr>
                  <w:tcW w:w="693" w:type="dxa"/>
                  <w:noWrap w:val="0"/>
                  <w:vAlign w:val="center"/>
                </w:tcPr>
                <w:p w14:paraId="4FF4AF28">
                  <w:pPr>
                    <w:pStyle w:val="61"/>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符合</w:t>
                  </w:r>
                </w:p>
              </w:tc>
            </w:tr>
            <w:tr w14:paraId="7E71D5D5">
              <w:tblPrEx>
                <w:tblBorders>
                  <w:top w:val="single" w:color="000000" w:sz="12" w:space="0"/>
                  <w:left w:val="none" w:color="auto" w:sz="0" w:space="0"/>
                  <w:bottom w:val="single" w:color="000000" w:sz="12" w:space="0"/>
                  <w:right w:val="none" w:color="auto" w:sz="0" w:space="0"/>
                  <w:insideH w:val="single" w:color="000000" w:sz="6" w:space="0"/>
                  <w:insideV w:val="single" w:color="000000" w:sz="2" w:space="0"/>
                </w:tblBorders>
                <w:tblCellMar>
                  <w:top w:w="0" w:type="dxa"/>
                  <w:left w:w="108" w:type="dxa"/>
                  <w:bottom w:w="0" w:type="dxa"/>
                  <w:right w:w="108" w:type="dxa"/>
                </w:tblCellMar>
              </w:tblPrEx>
              <w:trPr>
                <w:trHeight w:val="0" w:hRule="atLeast"/>
                <w:jc w:val="center"/>
              </w:trPr>
              <w:tc>
                <w:tcPr>
                  <w:tcW w:w="643" w:type="dxa"/>
                  <w:noWrap w:val="0"/>
                  <w:vAlign w:val="center"/>
                </w:tcPr>
                <w:p w14:paraId="60F02E6A">
                  <w:pPr>
                    <w:pStyle w:val="61"/>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8</w:t>
                  </w:r>
                </w:p>
              </w:tc>
              <w:tc>
                <w:tcPr>
                  <w:tcW w:w="4853" w:type="dxa"/>
                  <w:noWrap w:val="0"/>
                  <w:vAlign w:val="center"/>
                </w:tcPr>
                <w:p w14:paraId="699741C1">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推进耕地污染防治和安全利用。强化土壤污染源头控制，开展耕地污染成因识别和排查，持续推进耕地周边涉镉等重金属重点行业企业排查整治。推进农用地安全利用示范工作，建立受污染耕地安全利用成效跟踪机制，动态调整耕地土壤环境质量类别。到2025年，受污染耕地安全利用率达到93%以上。</w:t>
                  </w:r>
                </w:p>
              </w:tc>
              <w:tc>
                <w:tcPr>
                  <w:tcW w:w="1850" w:type="dxa"/>
                  <w:noWrap w:val="0"/>
                  <w:vAlign w:val="center"/>
                </w:tcPr>
                <w:p w14:paraId="79878E51">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lang w:eastAsia="zh-CN"/>
                    </w:rPr>
                    <w:t>本项目</w:t>
                  </w:r>
                  <w:r>
                    <w:rPr>
                      <w:rFonts w:hint="eastAsia" w:ascii="Times New Roman" w:hAnsi="Times New Roman" w:eastAsia="宋体"/>
                      <w:color w:val="auto"/>
                      <w:sz w:val="21"/>
                      <w:szCs w:val="21"/>
                      <w:lang w:val="en-US" w:eastAsia="zh-CN"/>
                    </w:rPr>
                    <w:t>用地性质为其他商服用地（加油加气充电）</w:t>
                  </w:r>
                  <w:r>
                    <w:rPr>
                      <w:rFonts w:hint="eastAsia" w:ascii="Times New Roman" w:hAnsi="Times New Roman" w:eastAsia="宋体"/>
                      <w:color w:val="auto"/>
                      <w:sz w:val="21"/>
                      <w:szCs w:val="21"/>
                    </w:rPr>
                    <w:t>。</w:t>
                  </w:r>
                </w:p>
              </w:tc>
              <w:tc>
                <w:tcPr>
                  <w:tcW w:w="693" w:type="dxa"/>
                  <w:noWrap w:val="0"/>
                  <w:vAlign w:val="center"/>
                </w:tcPr>
                <w:p w14:paraId="2B3430C1">
                  <w:pPr>
                    <w:pStyle w:val="61"/>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符合</w:t>
                  </w:r>
                </w:p>
              </w:tc>
            </w:tr>
            <w:tr w14:paraId="017D7AEE">
              <w:tblPrEx>
                <w:tblBorders>
                  <w:top w:val="single" w:color="000000" w:sz="12" w:space="0"/>
                  <w:left w:val="none" w:color="auto" w:sz="0" w:space="0"/>
                  <w:bottom w:val="single" w:color="000000" w:sz="12" w:space="0"/>
                  <w:right w:val="none" w:color="auto" w:sz="0" w:space="0"/>
                  <w:insideH w:val="single" w:color="000000" w:sz="6" w:space="0"/>
                  <w:insideV w:val="single" w:color="000000" w:sz="2" w:space="0"/>
                </w:tblBorders>
                <w:tblCellMar>
                  <w:top w:w="0" w:type="dxa"/>
                  <w:left w:w="108" w:type="dxa"/>
                  <w:bottom w:w="0" w:type="dxa"/>
                  <w:right w:w="108" w:type="dxa"/>
                </w:tblCellMar>
              </w:tblPrEx>
              <w:trPr>
                <w:trHeight w:val="0" w:hRule="atLeast"/>
                <w:jc w:val="center"/>
              </w:trPr>
              <w:tc>
                <w:tcPr>
                  <w:tcW w:w="643" w:type="dxa"/>
                  <w:noWrap w:val="0"/>
                  <w:vAlign w:val="center"/>
                </w:tcPr>
                <w:p w14:paraId="59214097">
                  <w:pPr>
                    <w:pStyle w:val="61"/>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9</w:t>
                  </w:r>
                </w:p>
              </w:tc>
              <w:tc>
                <w:tcPr>
                  <w:tcW w:w="4853" w:type="dxa"/>
                  <w:noWrap w:val="0"/>
                  <w:vAlign w:val="center"/>
                </w:tcPr>
                <w:p w14:paraId="4A6A1DF2">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推进建设用地风险管控和修复治理。从严管控重度污染地块规划用途，动态更新污染地块土壤环境管理信息，严格名录内地块建设用地准入管理。推进危险化学品生产企业搬迁改造和腾退地块风险管控与修复。</w:t>
                  </w:r>
                </w:p>
              </w:tc>
              <w:tc>
                <w:tcPr>
                  <w:tcW w:w="1850" w:type="dxa"/>
                  <w:noWrap w:val="0"/>
                  <w:vAlign w:val="center"/>
                </w:tcPr>
                <w:p w14:paraId="34D354FE">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lang w:eastAsia="zh-CN"/>
                    </w:rPr>
                    <w:t>本项目</w:t>
                  </w:r>
                  <w:r>
                    <w:rPr>
                      <w:rFonts w:hint="eastAsia" w:ascii="Times New Roman" w:hAnsi="Times New Roman" w:eastAsia="宋体"/>
                      <w:color w:val="auto"/>
                      <w:sz w:val="21"/>
                      <w:szCs w:val="21"/>
                      <w:lang w:val="en-US" w:eastAsia="zh-CN"/>
                    </w:rPr>
                    <w:t>为新建项目，项目地块不属于污染地块。</w:t>
                  </w:r>
                </w:p>
              </w:tc>
              <w:tc>
                <w:tcPr>
                  <w:tcW w:w="693" w:type="dxa"/>
                  <w:noWrap w:val="0"/>
                  <w:vAlign w:val="center"/>
                </w:tcPr>
                <w:p w14:paraId="39A10F9E">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color w:val="auto"/>
                      <w:sz w:val="21"/>
                      <w:szCs w:val="21"/>
                    </w:rPr>
                  </w:pPr>
                  <w:r>
                    <w:rPr>
                      <w:color w:val="auto"/>
                      <w:sz w:val="21"/>
                      <w:szCs w:val="21"/>
                    </w:rPr>
                    <w:t>符合</w:t>
                  </w:r>
                </w:p>
              </w:tc>
            </w:tr>
            <w:tr w14:paraId="7AE208E0">
              <w:tblPrEx>
                <w:tblBorders>
                  <w:top w:val="single" w:color="000000" w:sz="12" w:space="0"/>
                  <w:left w:val="none" w:color="auto" w:sz="0" w:space="0"/>
                  <w:bottom w:val="single" w:color="000000" w:sz="12" w:space="0"/>
                  <w:right w:val="none" w:color="auto" w:sz="0" w:space="0"/>
                  <w:insideH w:val="single" w:color="000000" w:sz="6" w:space="0"/>
                  <w:insideV w:val="single" w:color="000000" w:sz="2" w:space="0"/>
                </w:tblBorders>
                <w:tblCellMar>
                  <w:top w:w="0" w:type="dxa"/>
                  <w:left w:w="108" w:type="dxa"/>
                  <w:bottom w:w="0" w:type="dxa"/>
                  <w:right w:w="108" w:type="dxa"/>
                </w:tblCellMar>
              </w:tblPrEx>
              <w:trPr>
                <w:trHeight w:val="0" w:hRule="atLeast"/>
                <w:jc w:val="center"/>
              </w:trPr>
              <w:tc>
                <w:tcPr>
                  <w:tcW w:w="643" w:type="dxa"/>
                  <w:noWrap w:val="0"/>
                  <w:vAlign w:val="center"/>
                </w:tcPr>
                <w:p w14:paraId="29AAE161">
                  <w:pPr>
                    <w:pStyle w:val="61"/>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10</w:t>
                  </w:r>
                </w:p>
              </w:tc>
              <w:tc>
                <w:tcPr>
                  <w:tcW w:w="4853" w:type="dxa"/>
                  <w:noWrap w:val="0"/>
                  <w:vAlign w:val="center"/>
                </w:tcPr>
                <w:p w14:paraId="6BA7DC63">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推进地下水污染管控和修复。持续开展地下水环境状况调查评估，加强地下水型饮用水水源补给区划定和保护，健全地下水环境信息共享机制，逐步完善地下水监测网络体系与评价体系。推进化工园区等重点污染源地下水污染风险管控、长江经济带地下水环境状况调查及风险评估项目，实施土壤地下水污染协同防治。</w:t>
                  </w:r>
                </w:p>
              </w:tc>
              <w:tc>
                <w:tcPr>
                  <w:tcW w:w="1850" w:type="dxa"/>
                  <w:noWrap w:val="0"/>
                  <w:vAlign w:val="center"/>
                </w:tcPr>
                <w:p w14:paraId="76FE7561">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lang w:eastAsia="zh-CN"/>
                    </w:rPr>
                    <w:t>本项目</w:t>
                  </w:r>
                  <w:r>
                    <w:rPr>
                      <w:rFonts w:hint="eastAsia" w:ascii="Times New Roman" w:hAnsi="Times New Roman" w:eastAsia="宋体"/>
                      <w:color w:val="auto"/>
                      <w:sz w:val="21"/>
                      <w:szCs w:val="21"/>
                      <w:lang w:val="en-US" w:eastAsia="zh-CN"/>
                    </w:rPr>
                    <w:t>采取</w:t>
                  </w:r>
                  <w:r>
                    <w:rPr>
                      <w:rFonts w:hint="eastAsia" w:ascii="Times New Roman" w:hAnsi="Times New Roman" w:eastAsia="宋体"/>
                      <w:color w:val="auto"/>
                      <w:sz w:val="21"/>
                      <w:szCs w:val="21"/>
                    </w:rPr>
                    <w:t>分区防渗措施，建设运营对地下水影响较小。</w:t>
                  </w:r>
                </w:p>
              </w:tc>
              <w:tc>
                <w:tcPr>
                  <w:tcW w:w="693" w:type="dxa"/>
                  <w:noWrap w:val="0"/>
                  <w:vAlign w:val="center"/>
                </w:tcPr>
                <w:p w14:paraId="34B616EF">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color w:val="auto"/>
                      <w:sz w:val="21"/>
                      <w:szCs w:val="21"/>
                    </w:rPr>
                  </w:pPr>
                  <w:r>
                    <w:rPr>
                      <w:color w:val="auto"/>
                      <w:sz w:val="21"/>
                      <w:szCs w:val="21"/>
                    </w:rPr>
                    <w:t>符合</w:t>
                  </w:r>
                </w:p>
              </w:tc>
            </w:tr>
            <w:tr w14:paraId="2DCC1E2D">
              <w:tblPrEx>
                <w:tblBorders>
                  <w:top w:val="single" w:color="000000" w:sz="12" w:space="0"/>
                  <w:left w:val="none" w:color="auto" w:sz="0" w:space="0"/>
                  <w:bottom w:val="single" w:color="000000" w:sz="12" w:space="0"/>
                  <w:right w:val="none" w:color="auto" w:sz="0" w:space="0"/>
                  <w:insideH w:val="single" w:color="000000" w:sz="6" w:space="0"/>
                  <w:insideV w:val="single" w:color="000000" w:sz="2" w:space="0"/>
                </w:tblBorders>
                <w:tblCellMar>
                  <w:top w:w="0" w:type="dxa"/>
                  <w:left w:w="108" w:type="dxa"/>
                  <w:bottom w:w="0" w:type="dxa"/>
                  <w:right w:w="108" w:type="dxa"/>
                </w:tblCellMar>
              </w:tblPrEx>
              <w:trPr>
                <w:trHeight w:val="0" w:hRule="atLeast"/>
                <w:jc w:val="center"/>
              </w:trPr>
              <w:tc>
                <w:tcPr>
                  <w:tcW w:w="643" w:type="dxa"/>
                  <w:noWrap w:val="0"/>
                  <w:vAlign w:val="center"/>
                </w:tcPr>
                <w:p w14:paraId="1736E2A3">
                  <w:pPr>
                    <w:pStyle w:val="61"/>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11</w:t>
                  </w:r>
                </w:p>
              </w:tc>
              <w:tc>
                <w:tcPr>
                  <w:tcW w:w="4853" w:type="dxa"/>
                  <w:noWrap w:val="0"/>
                  <w:vAlign w:val="center"/>
                </w:tcPr>
                <w:p w14:paraId="34FA2D41">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auto"/>
                      <w:sz w:val="21"/>
                      <w:szCs w:val="21"/>
                    </w:rPr>
                  </w:pPr>
                  <w:r>
                    <w:rPr>
                      <w:rFonts w:hint="default" w:ascii="Times New Roman" w:hAnsi="Times New Roman" w:eastAsia="宋体" w:cs="Times New Roman"/>
                      <w:color w:val="auto"/>
                      <w:sz w:val="21"/>
                      <w:szCs w:val="21"/>
                    </w:rPr>
                    <w:t>提升危险废物收集与利用处置能力。按照“总量控制、适度超前”的原则布局危险废物利用处置设施。推进危险废物“点对点”定向利用。全面禁止进口“洋垃圾”。依法严厉打击危险废物非法转移、倾倒、处置等环境违法犯罪行为。加强医疗废物分类管理。</w:t>
                  </w:r>
                </w:p>
              </w:tc>
              <w:tc>
                <w:tcPr>
                  <w:tcW w:w="1850" w:type="dxa"/>
                  <w:noWrap w:val="0"/>
                  <w:vAlign w:val="center"/>
                </w:tcPr>
                <w:p w14:paraId="79000C34">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auto"/>
                      <w:sz w:val="21"/>
                      <w:szCs w:val="21"/>
                    </w:rPr>
                  </w:pPr>
                  <w:r>
                    <w:rPr>
                      <w:rFonts w:hint="eastAsia" w:ascii="Times New Roman" w:hAnsi="Times New Roman" w:eastAsia="宋体"/>
                      <w:color w:val="auto"/>
                      <w:sz w:val="21"/>
                      <w:szCs w:val="21"/>
                      <w:lang w:eastAsia="zh-CN"/>
                    </w:rPr>
                    <w:t>本项目</w:t>
                  </w:r>
                  <w:r>
                    <w:rPr>
                      <w:rFonts w:hint="eastAsia" w:ascii="Times New Roman" w:hAnsi="Times New Roman" w:eastAsia="宋体"/>
                      <w:color w:val="auto"/>
                      <w:sz w:val="21"/>
                      <w:szCs w:val="21"/>
                    </w:rPr>
                    <w:t>按危险废物相应标准暂存、转移</w:t>
                  </w:r>
                  <w:r>
                    <w:rPr>
                      <w:rFonts w:hint="eastAsia" w:ascii="Times New Roman" w:hAnsi="Times New Roman" w:eastAsia="宋体"/>
                      <w:color w:val="auto"/>
                      <w:sz w:val="21"/>
                      <w:szCs w:val="21"/>
                      <w:lang w:eastAsia="zh-CN"/>
                    </w:rPr>
                    <w:t>、</w:t>
                  </w:r>
                  <w:r>
                    <w:rPr>
                      <w:rFonts w:hint="eastAsia" w:ascii="Times New Roman" w:hAnsi="Times New Roman" w:eastAsia="宋体"/>
                      <w:color w:val="auto"/>
                      <w:sz w:val="21"/>
                      <w:szCs w:val="21"/>
                    </w:rPr>
                    <w:t>处置危险废物。</w:t>
                  </w:r>
                </w:p>
              </w:tc>
              <w:tc>
                <w:tcPr>
                  <w:tcW w:w="693" w:type="dxa"/>
                  <w:noWrap w:val="0"/>
                  <w:vAlign w:val="center"/>
                </w:tcPr>
                <w:p w14:paraId="0125D9B6">
                  <w:pPr>
                    <w:pStyle w:val="61"/>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符合</w:t>
                  </w:r>
                </w:p>
              </w:tc>
            </w:tr>
            <w:tr w14:paraId="232CFEB6">
              <w:tblPrEx>
                <w:tblBorders>
                  <w:top w:val="single" w:color="000000" w:sz="12" w:space="0"/>
                  <w:left w:val="none" w:color="auto" w:sz="0" w:space="0"/>
                  <w:bottom w:val="single" w:color="000000" w:sz="12" w:space="0"/>
                  <w:right w:val="none" w:color="auto" w:sz="0" w:space="0"/>
                  <w:insideH w:val="single" w:color="000000" w:sz="6" w:space="0"/>
                  <w:insideV w:val="single" w:color="000000" w:sz="2" w:space="0"/>
                </w:tblBorders>
                <w:tblCellMar>
                  <w:top w:w="0" w:type="dxa"/>
                  <w:left w:w="108" w:type="dxa"/>
                  <w:bottom w:w="0" w:type="dxa"/>
                  <w:right w:w="108" w:type="dxa"/>
                </w:tblCellMar>
              </w:tblPrEx>
              <w:trPr>
                <w:trHeight w:val="0" w:hRule="atLeast"/>
                <w:jc w:val="center"/>
              </w:trPr>
              <w:tc>
                <w:tcPr>
                  <w:tcW w:w="643" w:type="dxa"/>
                  <w:noWrap w:val="0"/>
                  <w:vAlign w:val="center"/>
                </w:tcPr>
                <w:p w14:paraId="234F2710">
                  <w:pPr>
                    <w:pStyle w:val="61"/>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12</w:t>
                  </w:r>
                </w:p>
              </w:tc>
              <w:tc>
                <w:tcPr>
                  <w:tcW w:w="4853" w:type="dxa"/>
                  <w:noWrap w:val="0"/>
                  <w:vAlign w:val="center"/>
                </w:tcPr>
                <w:p w14:paraId="05364F66">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开展重金属和尾矿库污染综合治理。推进重点重金属减排，加强重金属污染综合治理，推进重点行业企业废水总</w:t>
                  </w:r>
                  <w:r>
                    <w:rPr>
                      <w:rFonts w:hint="eastAsia" w:ascii="Times New Roman" w:hAnsi="Times New Roman" w:eastAsia="宋体"/>
                      <w:color w:val="auto"/>
                      <w:sz w:val="21"/>
                      <w:szCs w:val="21"/>
                      <w:lang w:val="en-US" w:eastAsia="zh-CN"/>
                    </w:rPr>
                    <w:t>铊</w:t>
                  </w:r>
                  <w:r>
                    <w:rPr>
                      <w:rFonts w:hint="eastAsia" w:ascii="Times New Roman" w:hAnsi="Times New Roman" w:eastAsia="宋体"/>
                      <w:color w:val="auto"/>
                      <w:sz w:val="21"/>
                      <w:szCs w:val="21"/>
                    </w:rPr>
                    <w:t>治理。加强尾矿库环境风险隐患排查治理。</w:t>
                  </w:r>
                </w:p>
              </w:tc>
              <w:tc>
                <w:tcPr>
                  <w:tcW w:w="1850" w:type="dxa"/>
                  <w:noWrap w:val="0"/>
                  <w:vAlign w:val="center"/>
                </w:tcPr>
                <w:p w14:paraId="52551C9F">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lang w:eastAsia="zh-CN"/>
                    </w:rPr>
                    <w:t>本项目</w:t>
                  </w:r>
                  <w:r>
                    <w:rPr>
                      <w:rFonts w:ascii="Times New Roman" w:hAnsi="Times New Roman" w:eastAsia="宋体"/>
                      <w:color w:val="auto"/>
                      <w:sz w:val="21"/>
                      <w:szCs w:val="21"/>
                    </w:rPr>
                    <w:t>不涉及重金属排放</w:t>
                  </w:r>
                  <w:r>
                    <w:rPr>
                      <w:rFonts w:hint="eastAsia" w:ascii="Times New Roman" w:hAnsi="Times New Roman" w:eastAsia="宋体"/>
                      <w:color w:val="auto"/>
                      <w:sz w:val="21"/>
                      <w:szCs w:val="21"/>
                    </w:rPr>
                    <w:t>。</w:t>
                  </w:r>
                </w:p>
              </w:tc>
              <w:tc>
                <w:tcPr>
                  <w:tcW w:w="693" w:type="dxa"/>
                  <w:noWrap w:val="0"/>
                  <w:vAlign w:val="center"/>
                </w:tcPr>
                <w:p w14:paraId="75806B1F">
                  <w:pPr>
                    <w:pStyle w:val="61"/>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符合</w:t>
                  </w:r>
                </w:p>
              </w:tc>
            </w:tr>
            <w:tr w14:paraId="7A308735">
              <w:tblPrEx>
                <w:tblBorders>
                  <w:top w:val="single" w:color="000000" w:sz="12" w:space="0"/>
                  <w:left w:val="none" w:color="auto" w:sz="0" w:space="0"/>
                  <w:bottom w:val="single" w:color="000000" w:sz="12" w:space="0"/>
                  <w:right w:val="none" w:color="auto" w:sz="0" w:space="0"/>
                  <w:insideH w:val="single" w:color="000000" w:sz="6" w:space="0"/>
                  <w:insideV w:val="single" w:color="000000" w:sz="2" w:space="0"/>
                </w:tblBorders>
                <w:tblCellMar>
                  <w:top w:w="0" w:type="dxa"/>
                  <w:left w:w="108" w:type="dxa"/>
                  <w:bottom w:w="0" w:type="dxa"/>
                  <w:right w:w="108" w:type="dxa"/>
                </w:tblCellMar>
              </w:tblPrEx>
              <w:trPr>
                <w:trHeight w:val="0" w:hRule="atLeast"/>
                <w:jc w:val="center"/>
              </w:trPr>
              <w:tc>
                <w:tcPr>
                  <w:tcW w:w="643" w:type="dxa"/>
                  <w:noWrap w:val="0"/>
                  <w:vAlign w:val="center"/>
                </w:tcPr>
                <w:p w14:paraId="6ADB7413">
                  <w:pPr>
                    <w:pStyle w:val="61"/>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13</w:t>
                  </w:r>
                </w:p>
              </w:tc>
              <w:tc>
                <w:tcPr>
                  <w:tcW w:w="4853" w:type="dxa"/>
                  <w:noWrap w:val="0"/>
                  <w:vAlign w:val="center"/>
                </w:tcPr>
                <w:p w14:paraId="0957A451">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确保核与辐射安全。强化核技术利用辐射安全监管，严格核技术利用项目行政许可。加强辐射事故应急能力建设。到2025年，全市放射源辐射事故年发生率低于1.3起/每万枚。</w:t>
                  </w:r>
                </w:p>
              </w:tc>
              <w:tc>
                <w:tcPr>
                  <w:tcW w:w="1850" w:type="dxa"/>
                  <w:noWrap w:val="0"/>
                  <w:vAlign w:val="center"/>
                </w:tcPr>
                <w:p w14:paraId="680CC093">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lang w:eastAsia="zh-CN"/>
                    </w:rPr>
                    <w:t>本项目</w:t>
                  </w:r>
                  <w:r>
                    <w:rPr>
                      <w:rFonts w:ascii="Times New Roman" w:hAnsi="Times New Roman" w:eastAsia="宋体"/>
                      <w:color w:val="auto"/>
                      <w:sz w:val="21"/>
                      <w:szCs w:val="21"/>
                    </w:rPr>
                    <w:t>不涉及核与辐射安全</w:t>
                  </w:r>
                  <w:r>
                    <w:rPr>
                      <w:rFonts w:hint="eastAsia" w:ascii="Times New Roman" w:hAnsi="Times New Roman" w:eastAsia="宋体"/>
                      <w:color w:val="auto"/>
                      <w:sz w:val="21"/>
                      <w:szCs w:val="21"/>
                    </w:rPr>
                    <w:t>。</w:t>
                  </w:r>
                </w:p>
              </w:tc>
              <w:tc>
                <w:tcPr>
                  <w:tcW w:w="693" w:type="dxa"/>
                  <w:noWrap w:val="0"/>
                  <w:vAlign w:val="center"/>
                </w:tcPr>
                <w:p w14:paraId="37033D93">
                  <w:pPr>
                    <w:pStyle w:val="61"/>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符合</w:t>
                  </w:r>
                </w:p>
              </w:tc>
            </w:tr>
          </w:tbl>
          <w:p w14:paraId="0239C65C">
            <w:pPr>
              <w:keepNext w:val="0"/>
              <w:keepLines w:val="0"/>
              <w:pageBreakBefore w:val="0"/>
              <w:widowControl w:val="0"/>
              <w:tabs>
                <w:tab w:val="left" w:pos="7821"/>
              </w:tabs>
              <w:kinsoku/>
              <w:wordWrap/>
              <w:overflowPunct/>
              <w:topLinePunct w:val="0"/>
              <w:autoSpaceDE/>
              <w:autoSpaceDN/>
              <w:bidi w:val="0"/>
              <w:adjustRightInd/>
              <w:snapToGrid/>
              <w:ind w:firstLine="496"/>
              <w:textAlignment w:val="auto"/>
              <w:rPr>
                <w:color w:val="FF0000"/>
                <w:sz w:val="24"/>
              </w:rPr>
            </w:pPr>
            <w:r>
              <w:rPr>
                <w:color w:val="auto"/>
                <w:sz w:val="24"/>
              </w:rPr>
              <w:t>综上所述，</w:t>
            </w:r>
            <w:r>
              <w:rPr>
                <w:rFonts w:hint="eastAsia"/>
                <w:color w:val="auto"/>
                <w:sz w:val="24"/>
                <w:lang w:eastAsia="zh-CN"/>
              </w:rPr>
              <w:t>本项目</w:t>
            </w:r>
            <w:r>
              <w:rPr>
                <w:color w:val="auto"/>
                <w:sz w:val="24"/>
              </w:rPr>
              <w:t>建设与</w:t>
            </w:r>
            <w:r>
              <w:rPr>
                <w:rFonts w:hint="eastAsia"/>
                <w:color w:val="auto"/>
                <w:sz w:val="24"/>
              </w:rPr>
              <w:t>《九江市深入打好污染防治攻坚战实施方案》（九发〔2022〕6号文）</w:t>
            </w:r>
            <w:r>
              <w:rPr>
                <w:color w:val="auto"/>
                <w:sz w:val="24"/>
              </w:rPr>
              <w:t>相符。</w:t>
            </w:r>
          </w:p>
          <w:p w14:paraId="64DE7B2E">
            <w:pPr>
              <w:pStyle w:val="54"/>
              <w:keepNext w:val="0"/>
              <w:keepLines w:val="0"/>
              <w:pageBreakBefore w:val="0"/>
              <w:widowControl w:val="0"/>
              <w:numPr>
                <w:ilvl w:val="0"/>
                <w:numId w:val="0"/>
              </w:numPr>
              <w:kinsoku/>
              <w:wordWrap/>
              <w:overflowPunct/>
              <w:topLinePunct w:val="0"/>
              <w:autoSpaceDE/>
              <w:autoSpaceDN/>
              <w:bidi w:val="0"/>
              <w:adjustRightInd/>
              <w:snapToGrid/>
              <w:ind w:left="0" w:leftChars="0" w:firstLine="482" w:firstLineChars="200"/>
              <w:textAlignment w:val="auto"/>
              <w:rPr>
                <w:rFonts w:hint="default"/>
                <w:b/>
                <w:color w:val="FF0000"/>
                <w:lang w:val="en-US" w:eastAsia="zh-CN"/>
              </w:rPr>
            </w:pPr>
            <w:r>
              <w:rPr>
                <w:rFonts w:hint="eastAsia"/>
                <w:b/>
                <w:color w:val="FF0000"/>
                <w:lang w:val="en-US" w:eastAsia="zh-CN"/>
              </w:rPr>
              <w:t>9、项目与《柴桑区“十四五”生态环境保护规划》相符性分析</w:t>
            </w:r>
          </w:p>
          <w:p w14:paraId="7F9A13DD">
            <w:pPr>
              <w:pStyle w:val="54"/>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b w:val="0"/>
                <w:bCs/>
                <w:color w:val="auto"/>
                <w:lang w:val="en-US" w:eastAsia="zh-CN"/>
              </w:rPr>
            </w:pPr>
            <w:r>
              <w:rPr>
                <w:rFonts w:hint="eastAsia"/>
                <w:b w:val="0"/>
                <w:bCs/>
                <w:color w:val="auto"/>
                <w:lang w:val="en-US" w:eastAsia="zh-CN"/>
              </w:rPr>
              <w:t>《规划》着眼谋划长远，立足干在当下</w:t>
            </w:r>
          </w:p>
          <w:p w14:paraId="7348255E">
            <w:pPr>
              <w:pStyle w:val="54"/>
              <w:keepNext w:val="0"/>
              <w:keepLines w:val="0"/>
              <w:pageBreakBefore w:val="0"/>
              <w:widowControl w:val="0"/>
              <w:numPr>
                <w:ilvl w:val="0"/>
                <w:numId w:val="0"/>
              </w:numPr>
              <w:kinsoku/>
              <w:wordWrap/>
              <w:overflowPunct/>
              <w:topLinePunct w:val="0"/>
              <w:autoSpaceDE/>
              <w:autoSpaceDN/>
              <w:bidi w:val="0"/>
              <w:adjustRightInd/>
              <w:snapToGrid/>
              <w:ind w:left="0" w:leftChars="0" w:firstLine="480" w:firstLineChars="200"/>
              <w:textAlignment w:val="auto"/>
              <w:rPr>
                <w:rFonts w:hint="eastAsia"/>
                <w:b w:val="0"/>
                <w:bCs/>
                <w:color w:val="auto"/>
                <w:lang w:val="en-US" w:eastAsia="zh-CN"/>
              </w:rPr>
            </w:pPr>
            <w:r>
              <w:rPr>
                <w:rFonts w:hint="eastAsia"/>
                <w:b w:val="0"/>
                <w:bCs/>
                <w:color w:val="auto"/>
                <w:lang w:val="en-US" w:eastAsia="zh-CN"/>
              </w:rPr>
              <w:t>《规划》统筹考虑“十四五”总体目标与2035年高标准建成长江经济带高质量发展美丽江西“柴桑样板”远景目标，紧密对接市“十四五”生态环境保护规划和区“十四五”规划纲要，确保总体要求、形势判断、总体目标、重点任务等保持一致。既着眼谋划长远，提出了一批打基础、利长远的战略目标和举措，又立足干在当下，明确了当期见效的重大政策、重点任务和重大工程。</w:t>
            </w:r>
          </w:p>
          <w:p w14:paraId="12EEF971">
            <w:pPr>
              <w:pStyle w:val="54"/>
              <w:keepNext w:val="0"/>
              <w:keepLines w:val="0"/>
              <w:pageBreakBefore w:val="0"/>
              <w:widowControl w:val="0"/>
              <w:numPr>
                <w:ilvl w:val="0"/>
                <w:numId w:val="0"/>
              </w:numPr>
              <w:kinsoku/>
              <w:wordWrap/>
              <w:overflowPunct/>
              <w:topLinePunct w:val="0"/>
              <w:autoSpaceDE/>
              <w:autoSpaceDN/>
              <w:bidi w:val="0"/>
              <w:adjustRightInd/>
              <w:snapToGrid/>
              <w:ind w:left="0" w:leftChars="0" w:firstLine="480" w:firstLineChars="200"/>
              <w:textAlignment w:val="auto"/>
              <w:rPr>
                <w:rFonts w:hint="eastAsia"/>
                <w:b w:val="0"/>
                <w:bCs/>
                <w:color w:val="auto"/>
                <w:lang w:val="en-US" w:eastAsia="zh-CN"/>
              </w:rPr>
            </w:pPr>
            <w:r>
              <w:rPr>
                <w:rFonts w:hint="eastAsia"/>
                <w:b w:val="0"/>
                <w:bCs/>
                <w:color w:val="auto"/>
                <w:lang w:val="en-US" w:eastAsia="zh-CN"/>
              </w:rPr>
              <w:t>《规划》还立足区情实际，在任务部署上体现柴桑特色，围绕区委“产业兴区、交通强区、文旅旺区、环境立区、幸福城区”五大战略，打造“赣北眉目地、兴旺大柴桑”奋斗目标，坚持以稳为主、稳中求进工作总基调，以改善生态环境质量为核心，以实现减污降碳协同增效为总抓手，深入打好污染防治攻坚战。</w:t>
            </w:r>
          </w:p>
          <w:p w14:paraId="44396B4E">
            <w:pPr>
              <w:pStyle w:val="54"/>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b w:val="0"/>
                <w:bCs/>
                <w:color w:val="auto"/>
                <w:lang w:val="en-US" w:eastAsia="zh-CN"/>
              </w:rPr>
            </w:pPr>
            <w:r>
              <w:rPr>
                <w:rFonts w:hint="eastAsia"/>
                <w:b w:val="0"/>
                <w:bCs/>
                <w:color w:val="auto"/>
                <w:lang w:val="en-US" w:eastAsia="zh-CN"/>
              </w:rPr>
              <w:t>《规划》坚持五项基本原则，聚焦五大维度指标</w:t>
            </w:r>
          </w:p>
          <w:p w14:paraId="6165DF5F">
            <w:pPr>
              <w:pStyle w:val="54"/>
              <w:keepNext w:val="0"/>
              <w:keepLines w:val="0"/>
              <w:pageBreakBefore w:val="0"/>
              <w:widowControl w:val="0"/>
              <w:numPr>
                <w:ilvl w:val="0"/>
                <w:numId w:val="0"/>
              </w:numPr>
              <w:kinsoku/>
              <w:wordWrap/>
              <w:overflowPunct/>
              <w:topLinePunct w:val="0"/>
              <w:autoSpaceDE/>
              <w:autoSpaceDN/>
              <w:bidi w:val="0"/>
              <w:adjustRightInd/>
              <w:snapToGrid/>
              <w:ind w:left="0" w:leftChars="0" w:firstLine="480" w:firstLineChars="200"/>
              <w:textAlignment w:val="auto"/>
              <w:rPr>
                <w:rFonts w:hint="eastAsia"/>
                <w:b w:val="0"/>
                <w:bCs/>
                <w:color w:val="auto"/>
                <w:lang w:val="en-US" w:eastAsia="zh-CN"/>
              </w:rPr>
            </w:pPr>
            <w:r>
              <w:rPr>
                <w:rFonts w:hint="eastAsia"/>
                <w:b w:val="0"/>
                <w:bCs/>
                <w:color w:val="auto"/>
                <w:lang w:val="en-US" w:eastAsia="zh-CN"/>
              </w:rPr>
              <w:t>《规划》坚持“生态优先、绿色发展”“以人为本、依法治污”“系统保护、精准施策”“深化改革、制度创新”“政府主导、社会共治”五项基本原则，书写“十四五”生态环境保护答卷。</w:t>
            </w:r>
          </w:p>
          <w:p w14:paraId="436411F0">
            <w:pPr>
              <w:pStyle w:val="54"/>
              <w:keepNext w:val="0"/>
              <w:keepLines w:val="0"/>
              <w:pageBreakBefore w:val="0"/>
              <w:widowControl w:val="0"/>
              <w:numPr>
                <w:ilvl w:val="0"/>
                <w:numId w:val="0"/>
              </w:numPr>
              <w:kinsoku/>
              <w:wordWrap/>
              <w:overflowPunct/>
              <w:topLinePunct w:val="0"/>
              <w:autoSpaceDE/>
              <w:autoSpaceDN/>
              <w:bidi w:val="0"/>
              <w:adjustRightInd/>
              <w:snapToGrid/>
              <w:ind w:left="0" w:leftChars="0" w:firstLine="480" w:firstLineChars="200"/>
              <w:textAlignment w:val="auto"/>
              <w:rPr>
                <w:rFonts w:hint="eastAsia"/>
                <w:b w:val="0"/>
                <w:bCs/>
                <w:color w:val="auto"/>
                <w:lang w:val="en-US" w:eastAsia="zh-CN"/>
              </w:rPr>
            </w:pPr>
            <w:r>
              <w:rPr>
                <w:rFonts w:hint="eastAsia"/>
                <w:b w:val="0"/>
                <w:bCs/>
                <w:color w:val="auto"/>
                <w:lang w:val="en-US" w:eastAsia="zh-CN"/>
              </w:rPr>
              <w:t>“十四五”期间，生态环境质量更高起点改善、生产生活方式更高质量转型、生态系统安全性更高水平保护、环境安全风险更高要求管控、环境治理体系和治理能力现代化建设更高标准推进，全区生态文明建设取得更大进步。</w:t>
            </w:r>
          </w:p>
          <w:p w14:paraId="58F85F8B">
            <w:pPr>
              <w:pStyle w:val="54"/>
              <w:keepNext w:val="0"/>
              <w:keepLines w:val="0"/>
              <w:pageBreakBefore w:val="0"/>
              <w:widowControl w:val="0"/>
              <w:numPr>
                <w:ilvl w:val="0"/>
                <w:numId w:val="0"/>
              </w:numPr>
              <w:kinsoku/>
              <w:wordWrap/>
              <w:overflowPunct/>
              <w:topLinePunct w:val="0"/>
              <w:autoSpaceDE/>
              <w:autoSpaceDN/>
              <w:bidi w:val="0"/>
              <w:adjustRightInd/>
              <w:snapToGrid/>
              <w:ind w:left="0" w:leftChars="0" w:firstLine="480" w:firstLineChars="200"/>
              <w:textAlignment w:val="auto"/>
              <w:rPr>
                <w:rFonts w:hint="eastAsia"/>
                <w:b w:val="0"/>
                <w:bCs/>
                <w:color w:val="auto"/>
                <w:lang w:val="en-US" w:eastAsia="zh-CN"/>
              </w:rPr>
            </w:pPr>
            <w:r>
              <w:rPr>
                <w:rFonts w:hint="eastAsia"/>
                <w:b w:val="0"/>
                <w:bCs/>
                <w:color w:val="auto"/>
                <w:lang w:val="en-US" w:eastAsia="zh-CN"/>
              </w:rPr>
              <w:t>《规划》围绕环境质量改善、应对气候变化、环境风险防控、生态保护、人居环境改善五大领域，设置25项指标，其中约束性指标15项，预期性指标10项，充分衔接市生态环境保护规划、区规划纲要，全力践行“作示范、勇争先”目标要求。</w:t>
            </w:r>
          </w:p>
          <w:p w14:paraId="5DFEAB3B">
            <w:pPr>
              <w:pStyle w:val="54"/>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b w:val="0"/>
                <w:bCs/>
                <w:color w:val="auto"/>
                <w:lang w:val="en-US" w:eastAsia="zh-CN"/>
              </w:rPr>
            </w:pPr>
            <w:r>
              <w:rPr>
                <w:rFonts w:hint="eastAsia"/>
                <w:b w:val="0"/>
                <w:bCs/>
                <w:color w:val="auto"/>
                <w:lang w:val="en-US" w:eastAsia="zh-CN"/>
              </w:rPr>
              <w:t>《规划》明确八大重点任务，实施八项重点工程</w:t>
            </w:r>
          </w:p>
          <w:p w14:paraId="73E7B1D1">
            <w:pPr>
              <w:pStyle w:val="54"/>
              <w:keepNext w:val="0"/>
              <w:keepLines w:val="0"/>
              <w:pageBreakBefore w:val="0"/>
              <w:widowControl w:val="0"/>
              <w:numPr>
                <w:ilvl w:val="0"/>
                <w:numId w:val="0"/>
              </w:numPr>
              <w:kinsoku/>
              <w:wordWrap/>
              <w:overflowPunct/>
              <w:topLinePunct w:val="0"/>
              <w:autoSpaceDE/>
              <w:autoSpaceDN/>
              <w:bidi w:val="0"/>
              <w:adjustRightInd/>
              <w:snapToGrid/>
              <w:ind w:left="0" w:leftChars="0" w:firstLine="480" w:firstLineChars="200"/>
              <w:textAlignment w:val="auto"/>
              <w:rPr>
                <w:rFonts w:hint="eastAsia"/>
                <w:b w:val="0"/>
                <w:bCs/>
                <w:color w:val="auto"/>
                <w:lang w:val="en-US" w:eastAsia="zh-CN"/>
              </w:rPr>
            </w:pPr>
            <w:r>
              <w:rPr>
                <w:rFonts w:hint="eastAsia"/>
                <w:b w:val="0"/>
                <w:bCs/>
                <w:color w:val="auto"/>
                <w:lang w:val="en-US" w:eastAsia="zh-CN"/>
              </w:rPr>
              <w:t>“十四五”全区生态环境保护工作存在三大挑战：统筹环境保护与经济协同发展仍有压力，生态环境质量与群众期待还有差距，现代环境治理体系还不够完善。</w:t>
            </w:r>
          </w:p>
          <w:p w14:paraId="418DA3CD">
            <w:pPr>
              <w:pStyle w:val="54"/>
              <w:keepNext w:val="0"/>
              <w:keepLines w:val="0"/>
              <w:pageBreakBefore w:val="0"/>
              <w:widowControl w:val="0"/>
              <w:numPr>
                <w:ilvl w:val="0"/>
                <w:numId w:val="0"/>
              </w:numPr>
              <w:kinsoku/>
              <w:wordWrap/>
              <w:overflowPunct/>
              <w:topLinePunct w:val="0"/>
              <w:autoSpaceDE/>
              <w:autoSpaceDN/>
              <w:bidi w:val="0"/>
              <w:adjustRightInd/>
              <w:snapToGrid/>
              <w:ind w:left="0" w:leftChars="0" w:firstLine="480" w:firstLineChars="200"/>
              <w:textAlignment w:val="auto"/>
              <w:rPr>
                <w:rFonts w:hint="eastAsia"/>
                <w:b w:val="0"/>
                <w:bCs/>
                <w:color w:val="auto"/>
                <w:lang w:val="en-US" w:eastAsia="zh-CN"/>
              </w:rPr>
            </w:pPr>
            <w:r>
              <w:rPr>
                <w:rFonts w:hint="eastAsia"/>
                <w:b w:val="0"/>
                <w:bCs/>
                <w:color w:val="auto"/>
                <w:lang w:val="en-US" w:eastAsia="zh-CN"/>
              </w:rPr>
              <w:t>同时，我区生态环境保护面临三大机遇：生态环境建设的战略地位愈加突出，推进高质量发展全面建设美丽中国的历史机遇愈发凸显，生态环境保护的社会氛围愈发浓烈。</w:t>
            </w:r>
          </w:p>
          <w:p w14:paraId="6E028C3D">
            <w:pPr>
              <w:pStyle w:val="54"/>
              <w:keepNext w:val="0"/>
              <w:keepLines w:val="0"/>
              <w:pageBreakBefore w:val="0"/>
              <w:widowControl w:val="0"/>
              <w:numPr>
                <w:ilvl w:val="0"/>
                <w:numId w:val="0"/>
              </w:numPr>
              <w:kinsoku/>
              <w:wordWrap/>
              <w:overflowPunct/>
              <w:topLinePunct w:val="0"/>
              <w:autoSpaceDE/>
              <w:autoSpaceDN/>
              <w:bidi w:val="0"/>
              <w:adjustRightInd/>
              <w:snapToGrid/>
              <w:ind w:left="0" w:leftChars="0" w:firstLine="480" w:firstLineChars="200"/>
              <w:textAlignment w:val="auto"/>
              <w:rPr>
                <w:rFonts w:hint="eastAsia"/>
                <w:b w:val="0"/>
                <w:bCs/>
                <w:color w:val="auto"/>
                <w:lang w:val="en-US" w:eastAsia="zh-CN"/>
              </w:rPr>
            </w:pPr>
            <w:r>
              <w:rPr>
                <w:rFonts w:hint="eastAsia"/>
                <w:b w:val="0"/>
                <w:bCs/>
                <w:color w:val="auto"/>
                <w:lang w:val="en-US" w:eastAsia="zh-CN"/>
              </w:rPr>
              <w:t>《规划》谋划全区生态环境保护工作八大重点任务：一是坚持生态优先，绿色低碳发展；二是控制温室气体排放，应对气候变化；三是加强协同控制，持续改善环境空气质量；四是坚持“三水统筹”，稳步提升水生态环境质量；五是强化源头防控，提升土壤和地下水环境质量；六是加强生态保护修复，推进生态文明建设；七是强化环境风险防控，严守环境安全底线；八是深化改革创新，构建现代化环境治理体系。</w:t>
            </w:r>
          </w:p>
          <w:p w14:paraId="6FAC17E5">
            <w:pPr>
              <w:pStyle w:val="54"/>
              <w:keepNext w:val="0"/>
              <w:keepLines w:val="0"/>
              <w:pageBreakBefore w:val="0"/>
              <w:widowControl w:val="0"/>
              <w:numPr>
                <w:ilvl w:val="0"/>
                <w:numId w:val="0"/>
              </w:numPr>
              <w:kinsoku/>
              <w:wordWrap/>
              <w:overflowPunct/>
              <w:topLinePunct w:val="0"/>
              <w:autoSpaceDE/>
              <w:autoSpaceDN/>
              <w:bidi w:val="0"/>
              <w:adjustRightInd/>
              <w:snapToGrid/>
              <w:ind w:left="0" w:leftChars="0" w:firstLine="480" w:firstLineChars="200"/>
              <w:textAlignment w:val="auto"/>
              <w:rPr>
                <w:rFonts w:hint="eastAsia"/>
                <w:b w:val="0"/>
                <w:bCs/>
                <w:color w:val="auto"/>
                <w:lang w:val="en-US" w:eastAsia="zh-CN"/>
              </w:rPr>
            </w:pPr>
            <w:r>
              <w:rPr>
                <w:rFonts w:hint="eastAsia"/>
                <w:b w:val="0"/>
                <w:bCs/>
                <w:color w:val="auto"/>
                <w:lang w:val="en-US" w:eastAsia="zh-CN"/>
              </w:rPr>
              <w:t>《规划》还提出我区生态环境保护八项重点工程：涉及水污染治理、大气环境综合治理、土壤风险防控和治理修复、绿色低碳循环发展、农村环境综合整治、农业面源污染防治、环境执法能力建设七大类。</w:t>
            </w:r>
          </w:p>
          <w:p w14:paraId="1889FE18">
            <w:pPr>
              <w:pStyle w:val="54"/>
              <w:keepNext w:val="0"/>
              <w:keepLines w:val="0"/>
              <w:pageBreakBefore w:val="0"/>
              <w:widowControl w:val="0"/>
              <w:numPr>
                <w:ilvl w:val="0"/>
                <w:numId w:val="0"/>
              </w:numPr>
              <w:kinsoku/>
              <w:wordWrap/>
              <w:overflowPunct/>
              <w:topLinePunct w:val="0"/>
              <w:autoSpaceDE/>
              <w:autoSpaceDN/>
              <w:bidi w:val="0"/>
              <w:adjustRightInd/>
              <w:snapToGrid/>
              <w:ind w:left="0" w:leftChars="0" w:firstLine="480" w:firstLineChars="200"/>
              <w:textAlignment w:val="auto"/>
              <w:rPr>
                <w:rFonts w:hint="eastAsia"/>
                <w:b/>
                <w:color w:val="auto"/>
                <w:lang w:val="en-US" w:eastAsia="zh-CN"/>
              </w:rPr>
            </w:pPr>
            <w:r>
              <w:rPr>
                <w:rFonts w:hint="eastAsia"/>
                <w:b w:val="0"/>
                <w:bCs/>
                <w:color w:val="auto"/>
                <w:lang w:val="en-US" w:eastAsia="zh-CN"/>
              </w:rPr>
              <w:t>未来，不仅要有产业兴旺、生活富裕，更要有蓝天白云、清水绿岸，柴桑将努力走好生态优先、绿色发展之路，持之以恒加强生态文明建设，让绿色成为柴桑高质量发展的靓丽底色！</w:t>
            </w:r>
          </w:p>
          <w:p w14:paraId="28ECFC7F">
            <w:pPr>
              <w:pStyle w:val="54"/>
              <w:keepNext w:val="0"/>
              <w:keepLines w:val="0"/>
              <w:pageBreakBefore w:val="0"/>
              <w:widowControl w:val="0"/>
              <w:numPr>
                <w:ilvl w:val="0"/>
                <w:numId w:val="0"/>
              </w:numPr>
              <w:kinsoku/>
              <w:wordWrap/>
              <w:overflowPunct/>
              <w:topLinePunct w:val="0"/>
              <w:autoSpaceDE/>
              <w:autoSpaceDN/>
              <w:bidi w:val="0"/>
              <w:adjustRightInd/>
              <w:snapToGrid/>
              <w:ind w:left="0" w:leftChars="0" w:firstLine="480" w:firstLineChars="200"/>
              <w:textAlignment w:val="auto"/>
              <w:rPr>
                <w:rFonts w:hint="eastAsia"/>
                <w:b/>
                <w:color w:val="auto"/>
                <w:lang w:val="en-US" w:eastAsia="zh-CN"/>
              </w:rPr>
            </w:pPr>
            <w:r>
              <w:rPr>
                <w:rFonts w:hint="eastAsia" w:ascii="Times New Roman" w:hAnsi="Times New Roman" w:cs="Times New Roman"/>
                <w:color w:val="auto"/>
                <w:sz w:val="24"/>
                <w:lang w:eastAsia="zh-CN"/>
              </w:rPr>
              <w:t>本项目位于</w:t>
            </w:r>
            <w:r>
              <w:rPr>
                <w:rFonts w:hint="eastAsia"/>
                <w:lang w:val="en-US" w:eastAsia="zh-CN"/>
              </w:rPr>
              <w:t>江西省九江市</w:t>
            </w:r>
            <w:r>
              <w:rPr>
                <w:rFonts w:hint="eastAsia"/>
                <w:lang w:eastAsia="zh-CN"/>
              </w:rPr>
              <w:t>柴桑区</w:t>
            </w:r>
            <w:r>
              <w:rPr>
                <w:rFonts w:hint="eastAsia"/>
              </w:rPr>
              <w:t>通江大道西侧、城门街道南垅新村南侧</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为机动车燃油零售项目，</w:t>
            </w:r>
            <w:r>
              <w:rPr>
                <w:rFonts w:hint="eastAsia" w:ascii="Times New Roman" w:hAnsi="Times New Roman" w:cs="Times New Roman"/>
                <w:color w:val="auto"/>
                <w:sz w:val="24"/>
                <w:lang w:eastAsia="zh-CN"/>
              </w:rPr>
              <w:t>不属于化学制浆造纸、印染、制革、电镀等排放含磷、氮、重金属等污染物的企业和项目，各</w:t>
            </w:r>
            <w:r>
              <w:rPr>
                <w:rFonts w:hint="eastAsia" w:ascii="Times New Roman" w:hAnsi="Times New Roman" w:cs="Times New Roman"/>
                <w:color w:val="auto"/>
                <w:sz w:val="24"/>
                <w:lang w:val="en-US" w:eastAsia="zh-CN"/>
              </w:rPr>
              <w:t>项</w:t>
            </w:r>
            <w:r>
              <w:rPr>
                <w:rFonts w:hint="eastAsia" w:ascii="Times New Roman" w:hAnsi="Times New Roman" w:cs="Times New Roman"/>
                <w:color w:val="auto"/>
                <w:sz w:val="24"/>
                <w:lang w:eastAsia="zh-CN"/>
              </w:rPr>
              <w:t>污染物经处理后均能达标排放，故项目建设符合</w:t>
            </w:r>
            <w:r>
              <w:rPr>
                <w:rFonts w:hint="eastAsia" w:ascii="Times New Roman" w:hAnsi="Times New Roman" w:cs="Times New Roman"/>
                <w:color w:val="auto"/>
                <w:sz w:val="24"/>
                <w:lang w:val="en-US" w:eastAsia="zh-CN"/>
              </w:rPr>
              <w:t>《柴桑区“十四五”生态环境保护规划》</w:t>
            </w:r>
            <w:r>
              <w:rPr>
                <w:rFonts w:hint="eastAsia" w:ascii="Times New Roman" w:hAnsi="Times New Roman" w:cs="Times New Roman"/>
                <w:color w:val="auto"/>
                <w:sz w:val="24"/>
                <w:lang w:eastAsia="zh-CN"/>
              </w:rPr>
              <w:t>。</w:t>
            </w:r>
          </w:p>
          <w:p w14:paraId="00618F2D">
            <w:pPr>
              <w:pStyle w:val="54"/>
              <w:keepNext w:val="0"/>
              <w:keepLines w:val="0"/>
              <w:pageBreakBefore w:val="0"/>
              <w:widowControl w:val="0"/>
              <w:numPr>
                <w:ilvl w:val="0"/>
                <w:numId w:val="0"/>
              </w:numPr>
              <w:kinsoku/>
              <w:wordWrap/>
              <w:overflowPunct/>
              <w:topLinePunct w:val="0"/>
              <w:autoSpaceDE/>
              <w:autoSpaceDN/>
              <w:bidi w:val="0"/>
              <w:adjustRightInd/>
              <w:snapToGrid/>
              <w:ind w:left="0" w:leftChars="0" w:firstLine="482" w:firstLineChars="200"/>
              <w:textAlignment w:val="auto"/>
              <w:rPr>
                <w:b/>
                <w:color w:val="auto"/>
              </w:rPr>
            </w:pPr>
            <w:r>
              <w:rPr>
                <w:rFonts w:hint="eastAsia"/>
                <w:b/>
                <w:color w:val="auto"/>
                <w:lang w:val="en-US" w:eastAsia="zh-CN"/>
              </w:rPr>
              <w:t>10、项目</w:t>
            </w:r>
            <w:r>
              <w:rPr>
                <w:b/>
                <w:color w:val="auto"/>
              </w:rPr>
              <w:t>与</w:t>
            </w:r>
            <w:r>
              <w:rPr>
                <w:rFonts w:hint="eastAsia"/>
                <w:b/>
                <w:color w:val="auto"/>
              </w:rPr>
              <w:t>《江西省生态环境厅关于印发江西省重点行业挥发性有机物综合治理方案的通知》（赣环大气〔2019〕20号）</w:t>
            </w:r>
            <w:r>
              <w:rPr>
                <w:rFonts w:hint="eastAsia"/>
                <w:b/>
                <w:color w:val="auto"/>
                <w:lang w:val="en-US" w:eastAsia="zh-CN"/>
              </w:rPr>
              <w:t>相符性</w:t>
            </w:r>
            <w:r>
              <w:rPr>
                <w:b/>
                <w:color w:val="auto"/>
              </w:rPr>
              <w:t>分析</w:t>
            </w:r>
          </w:p>
          <w:p w14:paraId="47D501B0">
            <w:pPr>
              <w:pStyle w:val="49"/>
              <w:keepNext w:val="0"/>
              <w:keepLines w:val="0"/>
              <w:pageBreakBefore w:val="0"/>
              <w:widowControl w:val="0"/>
              <w:kinsoku/>
              <w:wordWrap/>
              <w:overflowPunct/>
              <w:topLinePunct w:val="0"/>
              <w:autoSpaceDE/>
              <w:autoSpaceDN/>
              <w:bidi w:val="0"/>
              <w:adjustRightInd/>
              <w:snapToGrid/>
              <w:textAlignment w:val="auto"/>
              <w:rPr>
                <w:b/>
                <w:color w:val="FF0000"/>
              </w:rPr>
            </w:pPr>
            <w:r>
              <w:rPr>
                <w:b/>
                <w:color w:val="auto"/>
              </w:rPr>
              <w:t>表1-</w:t>
            </w:r>
            <w:r>
              <w:rPr>
                <w:rFonts w:hint="eastAsia"/>
                <w:b/>
                <w:color w:val="auto"/>
                <w:lang w:val="en-US" w:eastAsia="zh-CN"/>
              </w:rPr>
              <w:t>10   项目</w:t>
            </w:r>
            <w:r>
              <w:rPr>
                <w:rFonts w:hint="eastAsia"/>
                <w:b/>
                <w:color w:val="auto"/>
              </w:rPr>
              <w:t>与《江西省生态环境厅关于印发江西省重点行业挥发性有机物综合治理方案的通知》</w:t>
            </w:r>
            <w:r>
              <w:rPr>
                <w:rFonts w:hint="eastAsia"/>
                <w:b/>
                <w:color w:val="auto"/>
                <w:lang w:val="en-US" w:eastAsia="zh-CN"/>
              </w:rPr>
              <w:t>相符性</w:t>
            </w:r>
            <w:r>
              <w:rPr>
                <w:b/>
                <w:color w:val="auto"/>
              </w:rPr>
              <w:t>分析</w:t>
            </w:r>
          </w:p>
          <w:tbl>
            <w:tblPr>
              <w:tblStyle w:val="3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3"/>
              <w:gridCol w:w="4477"/>
              <w:gridCol w:w="2029"/>
              <w:gridCol w:w="650"/>
            </w:tblGrid>
            <w:tr w14:paraId="285FE5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549" w:type="pct"/>
                  <w:vAlign w:val="center"/>
                </w:tcPr>
                <w:p w14:paraId="2C10E134">
                  <w:pPr>
                    <w:pStyle w:val="49"/>
                    <w:keepNext w:val="0"/>
                    <w:keepLines w:val="0"/>
                    <w:pageBreakBefore w:val="0"/>
                    <w:widowControl w:val="0"/>
                    <w:kinsoku/>
                    <w:wordWrap/>
                    <w:overflowPunct/>
                    <w:topLinePunct w:val="0"/>
                    <w:autoSpaceDE/>
                    <w:autoSpaceDN/>
                    <w:bidi w:val="0"/>
                    <w:adjustRightInd/>
                    <w:snapToGrid w:val="0"/>
                    <w:textAlignment w:val="auto"/>
                    <w:rPr>
                      <w:b/>
                      <w:bCs/>
                      <w:color w:val="auto"/>
                    </w:rPr>
                  </w:pPr>
                  <w:r>
                    <w:rPr>
                      <w:b/>
                      <w:bCs/>
                      <w:color w:val="auto"/>
                    </w:rPr>
                    <w:t>规范</w:t>
                  </w:r>
                </w:p>
              </w:tc>
              <w:tc>
                <w:tcPr>
                  <w:tcW w:w="2783" w:type="pct"/>
                  <w:vAlign w:val="center"/>
                </w:tcPr>
                <w:p w14:paraId="2D8AFD3A">
                  <w:pPr>
                    <w:pStyle w:val="49"/>
                    <w:keepNext w:val="0"/>
                    <w:keepLines w:val="0"/>
                    <w:pageBreakBefore w:val="0"/>
                    <w:widowControl w:val="0"/>
                    <w:kinsoku/>
                    <w:wordWrap/>
                    <w:overflowPunct/>
                    <w:topLinePunct w:val="0"/>
                    <w:autoSpaceDE/>
                    <w:autoSpaceDN/>
                    <w:bidi w:val="0"/>
                    <w:adjustRightInd/>
                    <w:snapToGrid w:val="0"/>
                    <w:textAlignment w:val="auto"/>
                    <w:rPr>
                      <w:b/>
                      <w:bCs/>
                      <w:color w:val="auto"/>
                    </w:rPr>
                  </w:pPr>
                  <w:r>
                    <w:rPr>
                      <w:b/>
                      <w:bCs/>
                      <w:color w:val="auto"/>
                    </w:rPr>
                    <w:t>相关要求</w:t>
                  </w:r>
                </w:p>
              </w:tc>
              <w:tc>
                <w:tcPr>
                  <w:tcW w:w="1261" w:type="pct"/>
                  <w:vAlign w:val="center"/>
                </w:tcPr>
                <w:p w14:paraId="1839FD3A">
                  <w:pPr>
                    <w:pStyle w:val="49"/>
                    <w:keepNext w:val="0"/>
                    <w:keepLines w:val="0"/>
                    <w:pageBreakBefore w:val="0"/>
                    <w:widowControl w:val="0"/>
                    <w:kinsoku/>
                    <w:wordWrap/>
                    <w:overflowPunct/>
                    <w:topLinePunct w:val="0"/>
                    <w:autoSpaceDE/>
                    <w:autoSpaceDN/>
                    <w:bidi w:val="0"/>
                    <w:adjustRightInd/>
                    <w:snapToGrid w:val="0"/>
                    <w:textAlignment w:val="auto"/>
                    <w:rPr>
                      <w:rFonts w:hint="eastAsia" w:eastAsia="宋体"/>
                      <w:b/>
                      <w:bCs/>
                      <w:color w:val="auto"/>
                      <w:lang w:val="en-US" w:eastAsia="zh-CN"/>
                    </w:rPr>
                  </w:pPr>
                  <w:r>
                    <w:rPr>
                      <w:rFonts w:hint="eastAsia"/>
                      <w:b/>
                      <w:bCs/>
                      <w:color w:val="auto"/>
                      <w:lang w:val="en-US" w:eastAsia="zh-CN"/>
                    </w:rPr>
                    <w:t>相符</w:t>
                  </w:r>
                  <w:r>
                    <w:rPr>
                      <w:b/>
                      <w:bCs/>
                      <w:color w:val="auto"/>
                    </w:rPr>
                    <w:t>性</w:t>
                  </w:r>
                  <w:r>
                    <w:rPr>
                      <w:rFonts w:hint="eastAsia"/>
                      <w:b/>
                      <w:bCs/>
                      <w:color w:val="auto"/>
                      <w:lang w:val="en-US" w:eastAsia="zh-CN"/>
                    </w:rPr>
                    <w:t>分析</w:t>
                  </w:r>
                </w:p>
              </w:tc>
              <w:tc>
                <w:tcPr>
                  <w:tcW w:w="404" w:type="pct"/>
                  <w:vAlign w:val="center"/>
                </w:tcPr>
                <w:p w14:paraId="3784CD21">
                  <w:pPr>
                    <w:pStyle w:val="49"/>
                    <w:keepNext w:val="0"/>
                    <w:keepLines w:val="0"/>
                    <w:pageBreakBefore w:val="0"/>
                    <w:widowControl w:val="0"/>
                    <w:kinsoku/>
                    <w:wordWrap/>
                    <w:overflowPunct/>
                    <w:topLinePunct w:val="0"/>
                    <w:autoSpaceDE/>
                    <w:autoSpaceDN/>
                    <w:bidi w:val="0"/>
                    <w:adjustRightInd/>
                    <w:snapToGrid w:val="0"/>
                    <w:textAlignment w:val="auto"/>
                    <w:rPr>
                      <w:rFonts w:hint="eastAsia" w:eastAsia="宋体"/>
                      <w:b/>
                      <w:bCs/>
                      <w:color w:val="auto"/>
                      <w:lang w:val="en-US" w:eastAsia="zh-CN"/>
                    </w:rPr>
                  </w:pPr>
                  <w:r>
                    <w:rPr>
                      <w:rFonts w:hint="eastAsia"/>
                      <w:b/>
                      <w:bCs/>
                      <w:color w:val="auto"/>
                      <w:lang w:val="en-US" w:eastAsia="zh-CN"/>
                    </w:rPr>
                    <w:t>结论</w:t>
                  </w:r>
                </w:p>
              </w:tc>
            </w:tr>
            <w:tr w14:paraId="657EC3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9" w:type="pct"/>
                  <w:vMerge w:val="restart"/>
                  <w:vAlign w:val="center"/>
                </w:tcPr>
                <w:p w14:paraId="45DEA278">
                  <w:pPr>
                    <w:pStyle w:val="49"/>
                    <w:keepNext w:val="0"/>
                    <w:keepLines w:val="0"/>
                    <w:pageBreakBefore w:val="0"/>
                    <w:widowControl w:val="0"/>
                    <w:kinsoku/>
                    <w:wordWrap/>
                    <w:overflowPunct/>
                    <w:topLinePunct w:val="0"/>
                    <w:autoSpaceDE/>
                    <w:autoSpaceDN/>
                    <w:bidi w:val="0"/>
                    <w:adjustRightInd/>
                    <w:snapToGrid w:val="0"/>
                    <w:textAlignment w:val="auto"/>
                    <w:rPr>
                      <w:color w:val="auto"/>
                    </w:rPr>
                  </w:pPr>
                  <w:r>
                    <w:rPr>
                      <w:color w:val="auto"/>
                    </w:rPr>
                    <w:t>江西省生态环境厅关于印发江西省重点行业挥发性有机物综合治理方案</w:t>
                  </w:r>
                </w:p>
              </w:tc>
              <w:tc>
                <w:tcPr>
                  <w:tcW w:w="2783" w:type="pct"/>
                  <w:vAlign w:val="center"/>
                </w:tcPr>
                <w:p w14:paraId="5A326A06">
                  <w:pPr>
                    <w:pStyle w:val="49"/>
                    <w:keepNext w:val="0"/>
                    <w:keepLines w:val="0"/>
                    <w:pageBreakBefore w:val="0"/>
                    <w:widowControl w:val="0"/>
                    <w:kinsoku/>
                    <w:wordWrap/>
                    <w:overflowPunct/>
                    <w:topLinePunct w:val="0"/>
                    <w:autoSpaceDE/>
                    <w:autoSpaceDN/>
                    <w:bidi w:val="0"/>
                    <w:adjustRightInd/>
                    <w:snapToGrid w:val="0"/>
                    <w:ind w:firstLine="420" w:firstLineChars="200"/>
                    <w:jc w:val="both"/>
                    <w:textAlignment w:val="auto"/>
                    <w:rPr>
                      <w:color w:val="auto"/>
                    </w:rPr>
                  </w:pPr>
                  <w:r>
                    <w:rPr>
                      <w:color w:val="auto"/>
                    </w:rPr>
                    <w:t>全面加强无组织排放控制。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到2020年底前，涉及VOCs排放企业在保证安全、正常生产的前提下，收集设备覆盖率达100%，以物料衡算等方法计VOCs收集率不低于</w:t>
                  </w:r>
                  <w:r>
                    <w:rPr>
                      <w:rFonts w:hint="eastAsia"/>
                      <w:color w:val="auto"/>
                    </w:rPr>
                    <w:t>7</w:t>
                  </w:r>
                  <w:r>
                    <w:rPr>
                      <w:color w:val="auto"/>
                    </w:rPr>
                    <w:t>5%。</w:t>
                  </w:r>
                </w:p>
              </w:tc>
              <w:tc>
                <w:tcPr>
                  <w:tcW w:w="1261" w:type="pct"/>
                  <w:vAlign w:val="center"/>
                </w:tcPr>
                <w:p w14:paraId="320DC144">
                  <w:pPr>
                    <w:pStyle w:val="49"/>
                    <w:keepNext w:val="0"/>
                    <w:keepLines w:val="0"/>
                    <w:pageBreakBefore w:val="0"/>
                    <w:widowControl w:val="0"/>
                    <w:kinsoku/>
                    <w:wordWrap/>
                    <w:overflowPunct/>
                    <w:topLinePunct w:val="0"/>
                    <w:autoSpaceDE/>
                    <w:autoSpaceDN/>
                    <w:bidi w:val="0"/>
                    <w:adjustRightInd/>
                    <w:snapToGrid w:val="0"/>
                    <w:ind w:firstLine="420" w:firstLineChars="200"/>
                    <w:jc w:val="both"/>
                    <w:textAlignment w:val="auto"/>
                    <w:rPr>
                      <w:color w:val="auto"/>
                    </w:rPr>
                  </w:pPr>
                  <w:r>
                    <w:rPr>
                      <w:rFonts w:hint="eastAsia"/>
                      <w:color w:val="auto"/>
                      <w:lang w:val="en-US" w:eastAsia="zh-CN"/>
                    </w:rPr>
                    <w:t>本项目设置二级</w:t>
                  </w:r>
                  <w:r>
                    <w:rPr>
                      <w:rFonts w:hint="eastAsia"/>
                      <w:color w:val="auto"/>
                    </w:rPr>
                    <w:t>油气回收</w:t>
                  </w:r>
                  <w:r>
                    <w:rPr>
                      <w:rFonts w:hint="eastAsia"/>
                      <w:color w:val="auto"/>
                      <w:lang w:val="en-US" w:eastAsia="zh-CN"/>
                    </w:rPr>
                    <w:t>系统</w:t>
                  </w:r>
                  <w:r>
                    <w:rPr>
                      <w:rFonts w:hint="eastAsia"/>
                      <w:color w:val="auto"/>
                    </w:rPr>
                    <w:t>，收集效率不低于75%。</w:t>
                  </w:r>
                </w:p>
              </w:tc>
              <w:tc>
                <w:tcPr>
                  <w:tcW w:w="404" w:type="pct"/>
                  <w:vAlign w:val="center"/>
                </w:tcPr>
                <w:p w14:paraId="61A8928D">
                  <w:pPr>
                    <w:pStyle w:val="49"/>
                    <w:keepNext w:val="0"/>
                    <w:keepLines w:val="0"/>
                    <w:pageBreakBefore w:val="0"/>
                    <w:widowControl w:val="0"/>
                    <w:kinsoku/>
                    <w:wordWrap/>
                    <w:overflowPunct/>
                    <w:topLinePunct w:val="0"/>
                    <w:autoSpaceDE/>
                    <w:autoSpaceDN/>
                    <w:bidi w:val="0"/>
                    <w:adjustRightInd/>
                    <w:snapToGrid w:val="0"/>
                    <w:textAlignment w:val="auto"/>
                    <w:rPr>
                      <w:color w:val="auto"/>
                    </w:rPr>
                  </w:pPr>
                  <w:r>
                    <w:rPr>
                      <w:color w:val="auto"/>
                    </w:rPr>
                    <w:t>符合</w:t>
                  </w:r>
                </w:p>
              </w:tc>
            </w:tr>
            <w:tr w14:paraId="796CEA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9" w:type="pct"/>
                  <w:vMerge w:val="continue"/>
                  <w:vAlign w:val="center"/>
                </w:tcPr>
                <w:p w14:paraId="71D85E82">
                  <w:pPr>
                    <w:pStyle w:val="49"/>
                    <w:keepNext w:val="0"/>
                    <w:keepLines w:val="0"/>
                    <w:pageBreakBefore w:val="0"/>
                    <w:widowControl w:val="0"/>
                    <w:kinsoku/>
                    <w:wordWrap/>
                    <w:overflowPunct/>
                    <w:topLinePunct w:val="0"/>
                    <w:autoSpaceDE/>
                    <w:autoSpaceDN/>
                    <w:bidi w:val="0"/>
                    <w:adjustRightInd/>
                    <w:snapToGrid w:val="0"/>
                    <w:textAlignment w:val="auto"/>
                    <w:rPr>
                      <w:color w:val="auto"/>
                    </w:rPr>
                  </w:pPr>
                </w:p>
              </w:tc>
              <w:tc>
                <w:tcPr>
                  <w:tcW w:w="2783" w:type="pct"/>
                  <w:vAlign w:val="center"/>
                </w:tcPr>
                <w:p w14:paraId="7B1E3FFC">
                  <w:pPr>
                    <w:pStyle w:val="49"/>
                    <w:keepNext w:val="0"/>
                    <w:keepLines w:val="0"/>
                    <w:pageBreakBefore w:val="0"/>
                    <w:widowControl w:val="0"/>
                    <w:kinsoku/>
                    <w:wordWrap/>
                    <w:overflowPunct/>
                    <w:topLinePunct w:val="0"/>
                    <w:autoSpaceDE/>
                    <w:autoSpaceDN/>
                    <w:bidi w:val="0"/>
                    <w:adjustRightInd/>
                    <w:snapToGrid w:val="0"/>
                    <w:ind w:firstLine="420" w:firstLineChars="200"/>
                    <w:jc w:val="both"/>
                    <w:textAlignment w:val="auto"/>
                    <w:rPr>
                      <w:color w:val="auto"/>
                    </w:rPr>
                  </w:pPr>
                  <w:r>
                    <w:rPr>
                      <w:color w:val="auto"/>
                    </w:rPr>
                    <w:t>推进建设适宜高效的治污设施。推进企业新建治污设施或现有治污设施改造，对生产过程中通过排气筒所排放的有组织VOCs废气，应根据生产废气的产生量、污染物的组分和性质、温度、压力等因素进行综合分析后选择适宜的工艺路线进行治理。在不影响企业正常生产的前提下，要求治理设备必须同时设置前置采样口和后置采样口，企业不得以未设置采样口为由逃避监测。采用一次性活性炭吸附技术的，要定期更换活性炭，废旧活性炭应再生或处理处置。</w:t>
                  </w:r>
                </w:p>
              </w:tc>
              <w:tc>
                <w:tcPr>
                  <w:tcW w:w="1261" w:type="pct"/>
                  <w:vAlign w:val="center"/>
                </w:tcPr>
                <w:p w14:paraId="3532CA4C">
                  <w:pPr>
                    <w:pStyle w:val="49"/>
                    <w:keepNext w:val="0"/>
                    <w:keepLines w:val="0"/>
                    <w:pageBreakBefore w:val="0"/>
                    <w:widowControl w:val="0"/>
                    <w:kinsoku/>
                    <w:wordWrap/>
                    <w:overflowPunct/>
                    <w:topLinePunct w:val="0"/>
                    <w:autoSpaceDE/>
                    <w:autoSpaceDN/>
                    <w:bidi w:val="0"/>
                    <w:adjustRightInd/>
                    <w:snapToGrid w:val="0"/>
                    <w:ind w:firstLine="420" w:firstLineChars="200"/>
                    <w:jc w:val="both"/>
                    <w:textAlignment w:val="auto"/>
                    <w:rPr>
                      <w:color w:val="auto"/>
                    </w:rPr>
                  </w:pPr>
                  <w:r>
                    <w:rPr>
                      <w:rFonts w:hint="eastAsia"/>
                      <w:color w:val="auto"/>
                    </w:rPr>
                    <w:t>本项目产生的挥发性有机物采取</w:t>
                  </w:r>
                  <w:r>
                    <w:rPr>
                      <w:rFonts w:hint="eastAsia"/>
                      <w:color w:val="auto"/>
                      <w:lang w:val="en-US" w:eastAsia="zh-CN"/>
                    </w:rPr>
                    <w:t>二级</w:t>
                  </w:r>
                  <w:r>
                    <w:rPr>
                      <w:rFonts w:hint="eastAsia"/>
                      <w:color w:val="auto"/>
                    </w:rPr>
                    <w:t>油气回收</w:t>
                  </w:r>
                  <w:r>
                    <w:rPr>
                      <w:rFonts w:hint="eastAsia"/>
                      <w:color w:val="auto"/>
                      <w:lang w:val="en-US" w:eastAsia="zh-CN"/>
                    </w:rPr>
                    <w:t>系统</w:t>
                  </w:r>
                  <w:r>
                    <w:rPr>
                      <w:rFonts w:hint="eastAsia"/>
                      <w:color w:val="auto"/>
                    </w:rPr>
                    <w:t>进行处置，油气回收</w:t>
                  </w:r>
                  <w:r>
                    <w:rPr>
                      <w:rFonts w:hint="eastAsia"/>
                      <w:color w:val="auto"/>
                      <w:lang w:val="en-US" w:eastAsia="zh-CN"/>
                    </w:rPr>
                    <w:t>系统</w:t>
                  </w:r>
                  <w:r>
                    <w:rPr>
                      <w:rFonts w:hint="eastAsia"/>
                      <w:color w:val="auto"/>
                    </w:rPr>
                    <w:t>属于常用可行措施。</w:t>
                  </w:r>
                </w:p>
              </w:tc>
              <w:tc>
                <w:tcPr>
                  <w:tcW w:w="404" w:type="pct"/>
                  <w:vAlign w:val="center"/>
                </w:tcPr>
                <w:p w14:paraId="1E4DE3B2">
                  <w:pPr>
                    <w:pStyle w:val="49"/>
                    <w:keepNext w:val="0"/>
                    <w:keepLines w:val="0"/>
                    <w:pageBreakBefore w:val="0"/>
                    <w:widowControl w:val="0"/>
                    <w:kinsoku/>
                    <w:wordWrap/>
                    <w:overflowPunct/>
                    <w:topLinePunct w:val="0"/>
                    <w:autoSpaceDE/>
                    <w:autoSpaceDN/>
                    <w:bidi w:val="0"/>
                    <w:adjustRightInd/>
                    <w:snapToGrid w:val="0"/>
                    <w:textAlignment w:val="auto"/>
                    <w:rPr>
                      <w:color w:val="auto"/>
                    </w:rPr>
                  </w:pPr>
                  <w:r>
                    <w:rPr>
                      <w:color w:val="auto"/>
                    </w:rPr>
                    <w:t>符合</w:t>
                  </w:r>
                </w:p>
              </w:tc>
            </w:tr>
          </w:tbl>
          <w:p w14:paraId="2EE55EF8">
            <w:pPr>
              <w:keepNext w:val="0"/>
              <w:keepLines w:val="0"/>
              <w:pageBreakBefore w:val="0"/>
              <w:widowControl w:val="0"/>
              <w:kinsoku/>
              <w:wordWrap/>
              <w:overflowPunct/>
              <w:topLinePunct w:val="0"/>
              <w:autoSpaceDE/>
              <w:autoSpaceDN/>
              <w:bidi w:val="0"/>
              <w:adjustRightInd/>
              <w:snapToGrid/>
              <w:ind w:firstLine="480"/>
              <w:textAlignment w:val="auto"/>
              <w:rPr>
                <w:color w:val="auto"/>
                <w:kern w:val="0"/>
                <w:lang w:bidi="en-US"/>
              </w:rPr>
            </w:pPr>
            <w:r>
              <w:rPr>
                <w:rFonts w:hint="eastAsia" w:eastAsia="宋体"/>
                <w:color w:val="auto"/>
                <w:lang w:val="en-US" w:eastAsia="zh-CN"/>
              </w:rPr>
              <w:t>综上所述，本</w:t>
            </w:r>
            <w:r>
              <w:rPr>
                <w:rFonts w:eastAsia="Calibri"/>
                <w:color w:val="auto"/>
              </w:rPr>
              <w:t>项目</w:t>
            </w:r>
            <w:r>
              <w:rPr>
                <w:rFonts w:hint="eastAsia" w:eastAsia="宋体"/>
                <w:color w:val="auto"/>
                <w:lang w:val="en-US" w:eastAsia="zh-CN"/>
              </w:rPr>
              <w:t>建设</w:t>
            </w:r>
            <w:r>
              <w:rPr>
                <w:rFonts w:eastAsia="Calibri"/>
                <w:color w:val="auto"/>
              </w:rPr>
              <w:t>与</w:t>
            </w:r>
            <w:r>
              <w:rPr>
                <w:rFonts w:hint="eastAsia" w:eastAsia="Calibri"/>
                <w:color w:val="auto"/>
              </w:rPr>
              <w:t>《江西省生态环境厅关于印发江西省重点行业挥发性有机物综合治理方案的通知》（赣环大气〔2019〕20号）</w:t>
            </w:r>
            <w:r>
              <w:rPr>
                <w:rFonts w:hint="eastAsia" w:eastAsia="Calibri"/>
                <w:color w:val="auto"/>
                <w:lang w:val="en-US" w:eastAsia="zh-CN"/>
              </w:rPr>
              <w:t>相符</w:t>
            </w:r>
            <w:r>
              <w:rPr>
                <w:rFonts w:eastAsia="Calibri"/>
                <w:color w:val="auto"/>
              </w:rPr>
              <w:t>。</w:t>
            </w:r>
          </w:p>
          <w:p w14:paraId="2FEC6023">
            <w:pPr>
              <w:pStyle w:val="54"/>
              <w:keepNext w:val="0"/>
              <w:keepLines w:val="0"/>
              <w:pageBreakBefore w:val="0"/>
              <w:widowControl w:val="0"/>
              <w:numPr>
                <w:ilvl w:val="0"/>
                <w:numId w:val="0"/>
              </w:numPr>
              <w:kinsoku/>
              <w:wordWrap/>
              <w:overflowPunct/>
              <w:topLinePunct w:val="0"/>
              <w:autoSpaceDE/>
              <w:autoSpaceDN/>
              <w:bidi w:val="0"/>
              <w:adjustRightInd/>
              <w:snapToGrid/>
              <w:ind w:left="0" w:leftChars="0" w:firstLine="482" w:firstLineChars="200"/>
              <w:textAlignment w:val="auto"/>
              <w:rPr>
                <w:b/>
                <w:color w:val="FF0000"/>
              </w:rPr>
            </w:pPr>
            <w:r>
              <w:rPr>
                <w:rFonts w:hint="eastAsia"/>
                <w:b/>
                <w:color w:val="auto"/>
                <w:lang w:val="en-US" w:eastAsia="zh-CN"/>
              </w:rPr>
              <w:t>11、项目</w:t>
            </w:r>
            <w:r>
              <w:rPr>
                <w:rFonts w:hint="eastAsia"/>
                <w:b/>
                <w:color w:val="auto"/>
              </w:rPr>
              <w:t>与</w:t>
            </w:r>
            <w:r>
              <w:rPr>
                <w:b/>
                <w:color w:val="auto"/>
              </w:rPr>
              <w:t>《重点行业挥发性有机物综合治理方案》</w:t>
            </w:r>
            <w:r>
              <w:rPr>
                <w:rFonts w:hint="eastAsia"/>
                <w:b/>
                <w:color w:val="auto"/>
              </w:rPr>
              <w:t>（环大气〔2019〕53号）</w:t>
            </w:r>
            <w:r>
              <w:rPr>
                <w:rFonts w:hint="eastAsia"/>
                <w:b/>
                <w:color w:val="auto"/>
                <w:lang w:val="en-US" w:eastAsia="zh-CN"/>
              </w:rPr>
              <w:t>相符</w:t>
            </w:r>
            <w:r>
              <w:rPr>
                <w:b/>
                <w:color w:val="auto"/>
              </w:rPr>
              <w:t>性分析</w:t>
            </w:r>
          </w:p>
          <w:p w14:paraId="01650975">
            <w:pPr>
              <w:pStyle w:val="49"/>
              <w:keepNext w:val="0"/>
              <w:keepLines w:val="0"/>
              <w:pageBreakBefore w:val="0"/>
              <w:widowControl w:val="0"/>
              <w:kinsoku/>
              <w:wordWrap/>
              <w:overflowPunct/>
              <w:topLinePunct w:val="0"/>
              <w:autoSpaceDE/>
              <w:autoSpaceDN/>
              <w:bidi w:val="0"/>
              <w:adjustRightInd/>
              <w:snapToGrid/>
              <w:textAlignment w:val="auto"/>
              <w:rPr>
                <w:b/>
                <w:color w:val="auto"/>
              </w:rPr>
            </w:pPr>
            <w:r>
              <w:rPr>
                <w:rFonts w:hint="eastAsia"/>
                <w:b/>
                <w:color w:val="auto"/>
              </w:rPr>
              <w:t>表</w:t>
            </w:r>
            <w:r>
              <w:rPr>
                <w:b/>
                <w:color w:val="auto"/>
              </w:rPr>
              <w:t>1-</w:t>
            </w:r>
            <w:r>
              <w:rPr>
                <w:rFonts w:hint="eastAsia"/>
                <w:b/>
                <w:color w:val="auto"/>
                <w:lang w:val="en-US" w:eastAsia="zh-CN"/>
              </w:rPr>
              <w:t>11   项目</w:t>
            </w:r>
            <w:r>
              <w:rPr>
                <w:b/>
                <w:color w:val="auto"/>
              </w:rPr>
              <w:t>与</w:t>
            </w:r>
            <w:r>
              <w:rPr>
                <w:rFonts w:hint="eastAsia"/>
                <w:b/>
                <w:color w:val="auto"/>
              </w:rPr>
              <w:t>《重点行业挥发性有机物综合治理方案》</w:t>
            </w:r>
            <w:r>
              <w:rPr>
                <w:rFonts w:hint="eastAsia"/>
                <w:b/>
                <w:color w:val="auto"/>
                <w:lang w:val="en-US" w:eastAsia="zh-CN"/>
              </w:rPr>
              <w:t>相符性</w:t>
            </w:r>
            <w:r>
              <w:rPr>
                <w:rFonts w:hint="eastAsia"/>
                <w:b/>
                <w:color w:val="auto"/>
              </w:rPr>
              <w:t>分析</w:t>
            </w:r>
          </w:p>
          <w:tbl>
            <w:tblPr>
              <w:tblStyle w:val="3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99"/>
              <w:gridCol w:w="4144"/>
              <w:gridCol w:w="2331"/>
              <w:gridCol w:w="662"/>
            </w:tblGrid>
            <w:tr w14:paraId="4E94E5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37" w:type="pct"/>
                  <w:gridSpan w:val="2"/>
                  <w:vAlign w:val="center"/>
                </w:tcPr>
                <w:p w14:paraId="7945B1CB">
                  <w:pPr>
                    <w:pStyle w:val="49"/>
                    <w:keepNext w:val="0"/>
                    <w:keepLines w:val="0"/>
                    <w:pageBreakBefore w:val="0"/>
                    <w:widowControl w:val="0"/>
                    <w:kinsoku/>
                    <w:wordWrap/>
                    <w:overflowPunct/>
                    <w:topLinePunct w:val="0"/>
                    <w:autoSpaceDE/>
                    <w:autoSpaceDN/>
                    <w:bidi w:val="0"/>
                    <w:adjustRightInd/>
                    <w:snapToGrid w:val="0"/>
                    <w:textAlignment w:val="auto"/>
                    <w:rPr>
                      <w:b/>
                      <w:color w:val="auto"/>
                    </w:rPr>
                  </w:pPr>
                  <w:r>
                    <w:rPr>
                      <w:rFonts w:hint="eastAsia"/>
                      <w:b/>
                      <w:color w:val="auto"/>
                    </w:rPr>
                    <w:t>相关要求</w:t>
                  </w:r>
                </w:p>
              </w:tc>
              <w:tc>
                <w:tcPr>
                  <w:tcW w:w="1450" w:type="pct"/>
                  <w:vAlign w:val="center"/>
                </w:tcPr>
                <w:p w14:paraId="21DF68BB">
                  <w:pPr>
                    <w:pStyle w:val="49"/>
                    <w:keepNext w:val="0"/>
                    <w:keepLines w:val="0"/>
                    <w:pageBreakBefore w:val="0"/>
                    <w:widowControl w:val="0"/>
                    <w:kinsoku/>
                    <w:wordWrap/>
                    <w:overflowPunct/>
                    <w:topLinePunct w:val="0"/>
                    <w:autoSpaceDE/>
                    <w:autoSpaceDN/>
                    <w:bidi w:val="0"/>
                    <w:adjustRightInd/>
                    <w:snapToGrid w:val="0"/>
                    <w:textAlignment w:val="auto"/>
                    <w:rPr>
                      <w:b/>
                      <w:color w:val="auto"/>
                    </w:rPr>
                  </w:pPr>
                  <w:r>
                    <w:rPr>
                      <w:rFonts w:hint="eastAsia"/>
                      <w:b/>
                      <w:color w:val="auto"/>
                      <w:lang w:val="en-US" w:eastAsia="zh-CN"/>
                    </w:rPr>
                    <w:t>相符</w:t>
                  </w:r>
                  <w:r>
                    <w:rPr>
                      <w:rFonts w:hint="eastAsia"/>
                      <w:b/>
                      <w:color w:val="auto"/>
                    </w:rPr>
                    <w:t>性</w:t>
                  </w:r>
                  <w:r>
                    <w:rPr>
                      <w:b/>
                      <w:color w:val="auto"/>
                    </w:rPr>
                    <w:t>分析</w:t>
                  </w:r>
                </w:p>
              </w:tc>
              <w:tc>
                <w:tcPr>
                  <w:tcW w:w="412" w:type="pct"/>
                  <w:vAlign w:val="center"/>
                </w:tcPr>
                <w:p w14:paraId="716F13D0">
                  <w:pPr>
                    <w:pStyle w:val="49"/>
                    <w:keepNext w:val="0"/>
                    <w:keepLines w:val="0"/>
                    <w:pageBreakBefore w:val="0"/>
                    <w:widowControl w:val="0"/>
                    <w:kinsoku/>
                    <w:wordWrap/>
                    <w:overflowPunct/>
                    <w:topLinePunct w:val="0"/>
                    <w:autoSpaceDE/>
                    <w:autoSpaceDN/>
                    <w:bidi w:val="0"/>
                    <w:adjustRightInd/>
                    <w:snapToGrid w:val="0"/>
                    <w:textAlignment w:val="auto"/>
                    <w:rPr>
                      <w:rFonts w:hint="eastAsia" w:eastAsia="宋体"/>
                      <w:b/>
                      <w:color w:val="auto"/>
                      <w:lang w:val="en-US" w:eastAsia="zh-CN"/>
                    </w:rPr>
                  </w:pPr>
                  <w:r>
                    <w:rPr>
                      <w:rFonts w:hint="eastAsia"/>
                      <w:b/>
                      <w:color w:val="auto"/>
                      <w:lang w:val="en-US" w:eastAsia="zh-CN"/>
                    </w:rPr>
                    <w:t>结论</w:t>
                  </w:r>
                </w:p>
              </w:tc>
            </w:tr>
            <w:tr w14:paraId="386BC2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9" w:type="pct"/>
                  <w:vMerge w:val="restart"/>
                  <w:vAlign w:val="center"/>
                </w:tcPr>
                <w:p w14:paraId="6D002956">
                  <w:pPr>
                    <w:pStyle w:val="49"/>
                    <w:keepNext w:val="0"/>
                    <w:keepLines w:val="0"/>
                    <w:pageBreakBefore w:val="0"/>
                    <w:widowControl w:val="0"/>
                    <w:kinsoku/>
                    <w:wordWrap/>
                    <w:overflowPunct/>
                    <w:topLinePunct w:val="0"/>
                    <w:autoSpaceDE/>
                    <w:autoSpaceDN/>
                    <w:bidi w:val="0"/>
                    <w:adjustRightInd/>
                    <w:snapToGrid w:val="0"/>
                    <w:textAlignment w:val="auto"/>
                    <w:rPr>
                      <w:rFonts w:hint="eastAsia"/>
                      <w:color w:val="auto"/>
                    </w:rPr>
                  </w:pPr>
                  <w:r>
                    <w:rPr>
                      <w:rFonts w:ascii="Times New Roman" w:hAnsi="Times New Roman"/>
                      <w:color w:val="auto"/>
                      <w:sz w:val="21"/>
                      <w:szCs w:val="21"/>
                    </w:rPr>
                    <w:t>《重点行业挥发性有机物综合治理方案》VOCs综合治理</w:t>
                  </w:r>
                </w:p>
              </w:tc>
              <w:tc>
                <w:tcPr>
                  <w:tcW w:w="2577" w:type="pct"/>
                  <w:vAlign w:val="center"/>
                </w:tcPr>
                <w:p w14:paraId="10DE2B01">
                  <w:pPr>
                    <w:pStyle w:val="49"/>
                    <w:keepNext w:val="0"/>
                    <w:keepLines w:val="0"/>
                    <w:pageBreakBefore w:val="0"/>
                    <w:widowControl w:val="0"/>
                    <w:kinsoku/>
                    <w:wordWrap/>
                    <w:overflowPunct/>
                    <w:topLinePunct w:val="0"/>
                    <w:autoSpaceDE/>
                    <w:autoSpaceDN/>
                    <w:bidi w:val="0"/>
                    <w:adjustRightInd/>
                    <w:snapToGrid w:val="0"/>
                    <w:ind w:firstLine="420" w:firstLineChars="200"/>
                    <w:jc w:val="both"/>
                    <w:textAlignment w:val="auto"/>
                    <w:rPr>
                      <w:color w:val="auto"/>
                    </w:rPr>
                  </w:pPr>
                  <w:r>
                    <w:rPr>
                      <w:rFonts w:hint="eastAsia"/>
                      <w:color w:val="auto"/>
                    </w:rPr>
                    <w:t>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p>
              </w:tc>
              <w:tc>
                <w:tcPr>
                  <w:tcW w:w="1450" w:type="pct"/>
                  <w:vAlign w:val="center"/>
                </w:tcPr>
                <w:p w14:paraId="18395B8B">
                  <w:pPr>
                    <w:pStyle w:val="49"/>
                    <w:keepNext w:val="0"/>
                    <w:keepLines w:val="0"/>
                    <w:pageBreakBefore w:val="0"/>
                    <w:widowControl w:val="0"/>
                    <w:kinsoku/>
                    <w:wordWrap/>
                    <w:overflowPunct/>
                    <w:topLinePunct w:val="0"/>
                    <w:autoSpaceDE/>
                    <w:autoSpaceDN/>
                    <w:bidi w:val="0"/>
                    <w:adjustRightInd/>
                    <w:snapToGrid w:val="0"/>
                    <w:ind w:firstLine="420" w:firstLineChars="200"/>
                    <w:jc w:val="both"/>
                    <w:textAlignment w:val="auto"/>
                    <w:rPr>
                      <w:color w:val="auto"/>
                    </w:rPr>
                  </w:pPr>
                  <w:r>
                    <w:rPr>
                      <w:rFonts w:hint="eastAsia"/>
                      <w:color w:val="auto"/>
                      <w:lang w:val="en-US" w:eastAsia="zh-CN"/>
                    </w:rPr>
                    <w:t>本项目</w:t>
                  </w:r>
                  <w:r>
                    <w:rPr>
                      <w:rFonts w:hint="eastAsia"/>
                      <w:color w:val="auto"/>
                    </w:rPr>
                    <w:t>卸油和加油时油品均在密闭设备及管线中储存、转移和输送，并设</w:t>
                  </w:r>
                  <w:r>
                    <w:rPr>
                      <w:rFonts w:hint="eastAsia"/>
                      <w:color w:val="auto"/>
                      <w:lang w:val="en-US" w:eastAsia="zh-CN"/>
                    </w:rPr>
                    <w:t>置二级</w:t>
                  </w:r>
                  <w:r>
                    <w:rPr>
                      <w:rFonts w:hint="eastAsia"/>
                      <w:color w:val="auto"/>
                    </w:rPr>
                    <w:t>油气回收系统，可有效削减挥发性有机物的无组织排放。</w:t>
                  </w:r>
                </w:p>
              </w:tc>
              <w:tc>
                <w:tcPr>
                  <w:tcW w:w="412" w:type="pct"/>
                  <w:vAlign w:val="center"/>
                </w:tcPr>
                <w:p w14:paraId="2691809B">
                  <w:pPr>
                    <w:pStyle w:val="49"/>
                    <w:keepNext w:val="0"/>
                    <w:keepLines w:val="0"/>
                    <w:pageBreakBefore w:val="0"/>
                    <w:widowControl w:val="0"/>
                    <w:kinsoku/>
                    <w:wordWrap/>
                    <w:overflowPunct/>
                    <w:topLinePunct w:val="0"/>
                    <w:autoSpaceDE/>
                    <w:autoSpaceDN/>
                    <w:bidi w:val="0"/>
                    <w:adjustRightInd/>
                    <w:snapToGrid w:val="0"/>
                    <w:textAlignment w:val="auto"/>
                    <w:rPr>
                      <w:color w:val="auto"/>
                    </w:rPr>
                  </w:pPr>
                  <w:r>
                    <w:rPr>
                      <w:color w:val="auto"/>
                    </w:rPr>
                    <w:t>符合</w:t>
                  </w:r>
                </w:p>
              </w:tc>
            </w:tr>
            <w:tr w14:paraId="240F4D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9" w:type="pct"/>
                  <w:vMerge w:val="continue"/>
                  <w:vAlign w:val="center"/>
                </w:tcPr>
                <w:p w14:paraId="79150CFB">
                  <w:pPr>
                    <w:pStyle w:val="49"/>
                    <w:keepNext w:val="0"/>
                    <w:keepLines w:val="0"/>
                    <w:pageBreakBefore w:val="0"/>
                    <w:widowControl w:val="0"/>
                    <w:kinsoku/>
                    <w:wordWrap/>
                    <w:overflowPunct/>
                    <w:topLinePunct w:val="0"/>
                    <w:autoSpaceDE/>
                    <w:autoSpaceDN/>
                    <w:bidi w:val="0"/>
                    <w:adjustRightInd/>
                    <w:snapToGrid w:val="0"/>
                    <w:textAlignment w:val="auto"/>
                    <w:rPr>
                      <w:rFonts w:hint="eastAsia"/>
                      <w:color w:val="auto"/>
                    </w:rPr>
                  </w:pPr>
                </w:p>
              </w:tc>
              <w:tc>
                <w:tcPr>
                  <w:tcW w:w="2577" w:type="pct"/>
                  <w:vAlign w:val="center"/>
                </w:tcPr>
                <w:p w14:paraId="768E00CE">
                  <w:pPr>
                    <w:pStyle w:val="49"/>
                    <w:keepNext w:val="0"/>
                    <w:keepLines w:val="0"/>
                    <w:pageBreakBefore w:val="0"/>
                    <w:widowControl w:val="0"/>
                    <w:kinsoku/>
                    <w:wordWrap/>
                    <w:overflowPunct/>
                    <w:topLinePunct w:val="0"/>
                    <w:autoSpaceDE/>
                    <w:autoSpaceDN/>
                    <w:bidi w:val="0"/>
                    <w:adjustRightInd/>
                    <w:snapToGrid w:val="0"/>
                    <w:ind w:firstLine="420" w:firstLineChars="200"/>
                    <w:jc w:val="both"/>
                    <w:textAlignment w:val="auto"/>
                    <w:rPr>
                      <w:color w:val="auto"/>
                    </w:rPr>
                  </w:pPr>
                  <w:r>
                    <w:rPr>
                      <w:rFonts w:hint="eastAsia"/>
                      <w:color w:val="auto"/>
                    </w:rPr>
                    <w:t>加强设备与场所密闭管理。舍VOCs物料应储存于密闭容器、包装袋，高效密封储罐，封闭式储库、料仓等。含VOCs物料转移和输送，应采用密闭管道或密闭容器、罐车等。高VOCs含量废水</w:t>
                  </w:r>
                  <w:r>
                    <w:rPr>
                      <w:rFonts w:hint="eastAsia"/>
                      <w:color w:val="auto"/>
                      <w:lang w:eastAsia="zh-CN"/>
                    </w:rPr>
                    <w:t>（</w:t>
                  </w:r>
                  <w:r>
                    <w:rPr>
                      <w:rFonts w:hint="eastAsia"/>
                      <w:color w:val="auto"/>
                    </w:rPr>
                    <w:t>废水液面上方100毫米处VOCs检测浓度超过200ppm</w:t>
                  </w:r>
                  <w:r>
                    <w:rPr>
                      <w:rFonts w:hint="eastAsia"/>
                      <w:color w:val="auto"/>
                      <w:lang w:eastAsia="zh-CN"/>
                    </w:rPr>
                    <w:t>，</w:t>
                  </w:r>
                  <w:r>
                    <w:rPr>
                      <w:rFonts w:hint="eastAsia"/>
                      <w:color w:val="auto"/>
                    </w:rPr>
                    <w:t>其中，重点区域超过100ppm</w:t>
                  </w:r>
                  <w:r>
                    <w:rPr>
                      <w:rFonts w:hint="eastAsia"/>
                      <w:color w:val="auto"/>
                      <w:lang w:eastAsia="zh-CN"/>
                    </w:rPr>
                    <w:t>，</w:t>
                  </w:r>
                  <w:r>
                    <w:rPr>
                      <w:rFonts w:hint="eastAsia"/>
                      <w:color w:val="auto"/>
                    </w:rPr>
                    <w:t>以碳计</w:t>
                  </w:r>
                  <w:r>
                    <w:rPr>
                      <w:rFonts w:hint="eastAsia"/>
                      <w:color w:val="auto"/>
                      <w:lang w:eastAsia="zh-CN"/>
                    </w:rPr>
                    <w:t>）</w:t>
                  </w:r>
                  <w:r>
                    <w:rPr>
                      <w:rFonts w:hint="eastAsia"/>
                      <w:color w:val="auto"/>
                    </w:rPr>
                    <w:t>的集输、储存和处理过程，应加盖密闭。含VOCs物料生产和使用过程，应采取有效收集</w:t>
                  </w:r>
                  <w:r>
                    <w:rPr>
                      <w:rFonts w:hint="eastAsia"/>
                      <w:color w:val="auto"/>
                      <w:lang w:eastAsia="zh-CN"/>
                    </w:rPr>
                    <w:t>措施或</w:t>
                  </w:r>
                  <w:r>
                    <w:rPr>
                      <w:rFonts w:hint="eastAsia"/>
                      <w:color w:val="auto"/>
                    </w:rPr>
                    <w:t>在密闭空间中操作。</w:t>
                  </w:r>
                </w:p>
              </w:tc>
              <w:tc>
                <w:tcPr>
                  <w:tcW w:w="1450" w:type="pct"/>
                  <w:vAlign w:val="center"/>
                </w:tcPr>
                <w:p w14:paraId="3AC62D63">
                  <w:pPr>
                    <w:pStyle w:val="49"/>
                    <w:keepNext w:val="0"/>
                    <w:keepLines w:val="0"/>
                    <w:pageBreakBefore w:val="0"/>
                    <w:widowControl w:val="0"/>
                    <w:kinsoku/>
                    <w:wordWrap/>
                    <w:overflowPunct/>
                    <w:topLinePunct w:val="0"/>
                    <w:autoSpaceDE/>
                    <w:autoSpaceDN/>
                    <w:bidi w:val="0"/>
                    <w:adjustRightInd/>
                    <w:snapToGrid w:val="0"/>
                    <w:ind w:firstLine="420" w:firstLineChars="200"/>
                    <w:jc w:val="both"/>
                    <w:textAlignment w:val="auto"/>
                    <w:rPr>
                      <w:color w:val="auto"/>
                    </w:rPr>
                  </w:pPr>
                  <w:r>
                    <w:rPr>
                      <w:rFonts w:hint="eastAsia"/>
                      <w:color w:val="auto"/>
                      <w:lang w:val="en-US" w:eastAsia="zh-CN"/>
                    </w:rPr>
                    <w:t>本项目油品</w:t>
                  </w:r>
                  <w:r>
                    <w:rPr>
                      <w:rFonts w:hint="eastAsia"/>
                      <w:color w:val="auto"/>
                    </w:rPr>
                    <w:t>储存于密闭双层</w:t>
                  </w:r>
                  <w:r>
                    <w:rPr>
                      <w:rFonts w:hint="eastAsia"/>
                      <w:color w:val="auto"/>
                      <w:lang w:val="en-US" w:eastAsia="zh-CN"/>
                    </w:rPr>
                    <w:t>储</w:t>
                  </w:r>
                  <w:r>
                    <w:rPr>
                      <w:rFonts w:hint="eastAsia"/>
                      <w:color w:val="auto"/>
                    </w:rPr>
                    <w:t>油罐中，卸油和加油时油品均在密闭设备及管线中储存、转移和输送。</w:t>
                  </w:r>
                </w:p>
              </w:tc>
              <w:tc>
                <w:tcPr>
                  <w:tcW w:w="412" w:type="pct"/>
                  <w:vAlign w:val="center"/>
                </w:tcPr>
                <w:p w14:paraId="5EBC0601">
                  <w:pPr>
                    <w:pStyle w:val="49"/>
                    <w:keepNext w:val="0"/>
                    <w:keepLines w:val="0"/>
                    <w:pageBreakBefore w:val="0"/>
                    <w:widowControl w:val="0"/>
                    <w:kinsoku/>
                    <w:wordWrap/>
                    <w:overflowPunct/>
                    <w:topLinePunct w:val="0"/>
                    <w:autoSpaceDE/>
                    <w:autoSpaceDN/>
                    <w:bidi w:val="0"/>
                    <w:adjustRightInd/>
                    <w:snapToGrid w:val="0"/>
                    <w:textAlignment w:val="auto"/>
                    <w:rPr>
                      <w:color w:val="auto"/>
                    </w:rPr>
                  </w:pPr>
                  <w:r>
                    <w:rPr>
                      <w:color w:val="auto"/>
                    </w:rPr>
                    <w:t>符合</w:t>
                  </w:r>
                </w:p>
              </w:tc>
            </w:tr>
            <w:tr w14:paraId="449F4B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9" w:type="pct"/>
                  <w:vMerge w:val="continue"/>
                  <w:vAlign w:val="center"/>
                </w:tcPr>
                <w:p w14:paraId="48436260">
                  <w:pPr>
                    <w:pStyle w:val="49"/>
                    <w:keepNext w:val="0"/>
                    <w:keepLines w:val="0"/>
                    <w:pageBreakBefore w:val="0"/>
                    <w:widowControl w:val="0"/>
                    <w:kinsoku/>
                    <w:wordWrap/>
                    <w:overflowPunct/>
                    <w:topLinePunct w:val="0"/>
                    <w:autoSpaceDE/>
                    <w:autoSpaceDN/>
                    <w:bidi w:val="0"/>
                    <w:adjustRightInd/>
                    <w:snapToGrid w:val="0"/>
                    <w:textAlignment w:val="auto"/>
                    <w:rPr>
                      <w:rFonts w:hint="eastAsia"/>
                      <w:color w:val="auto"/>
                    </w:rPr>
                  </w:pPr>
                </w:p>
              </w:tc>
              <w:tc>
                <w:tcPr>
                  <w:tcW w:w="2577" w:type="pct"/>
                  <w:vAlign w:val="center"/>
                </w:tcPr>
                <w:p w14:paraId="20E2853B">
                  <w:pPr>
                    <w:pStyle w:val="49"/>
                    <w:keepNext w:val="0"/>
                    <w:keepLines w:val="0"/>
                    <w:pageBreakBefore w:val="0"/>
                    <w:widowControl w:val="0"/>
                    <w:kinsoku/>
                    <w:wordWrap/>
                    <w:overflowPunct/>
                    <w:topLinePunct w:val="0"/>
                    <w:autoSpaceDE/>
                    <w:autoSpaceDN/>
                    <w:bidi w:val="0"/>
                    <w:adjustRightInd/>
                    <w:snapToGrid w:val="0"/>
                    <w:ind w:firstLine="420" w:firstLineChars="200"/>
                    <w:jc w:val="both"/>
                    <w:textAlignment w:val="auto"/>
                    <w:rPr>
                      <w:color w:val="auto"/>
                    </w:rPr>
                  </w:pPr>
                  <w:r>
                    <w:rPr>
                      <w:rFonts w:hint="eastAsia"/>
                      <w:color w:val="auto"/>
                    </w:rPr>
                    <w:t>推进使用先进生产工艺。通过采用全密闭、连续化、自动化等生产技术，以及高效工艺与设备等，减少工艺过程无组织排放。挥发性有机液体</w:t>
                  </w:r>
                  <w:r>
                    <w:rPr>
                      <w:rFonts w:hint="eastAsia"/>
                      <w:color w:val="auto"/>
                      <w:lang w:eastAsia="zh-CN"/>
                    </w:rPr>
                    <w:t>装载</w:t>
                  </w:r>
                  <w:r>
                    <w:rPr>
                      <w:rFonts w:hint="eastAsia"/>
                      <w:color w:val="auto"/>
                    </w:rPr>
                    <w:t>优先采用底部装载方式。石化、化工行业重点推进使用低（无）泄漏的泵、压缩机、过滤机、离心机、干燥设备等，推广采用油品在线调和技术、密闭式循环水冷却系统等。</w:t>
                  </w:r>
                </w:p>
              </w:tc>
              <w:tc>
                <w:tcPr>
                  <w:tcW w:w="1450" w:type="pct"/>
                  <w:vAlign w:val="center"/>
                </w:tcPr>
                <w:p w14:paraId="0E6BA0FB">
                  <w:pPr>
                    <w:pStyle w:val="49"/>
                    <w:keepNext w:val="0"/>
                    <w:keepLines w:val="0"/>
                    <w:pageBreakBefore w:val="0"/>
                    <w:widowControl w:val="0"/>
                    <w:kinsoku/>
                    <w:wordWrap/>
                    <w:overflowPunct/>
                    <w:topLinePunct w:val="0"/>
                    <w:autoSpaceDE/>
                    <w:autoSpaceDN/>
                    <w:bidi w:val="0"/>
                    <w:adjustRightInd/>
                    <w:snapToGrid w:val="0"/>
                    <w:ind w:firstLine="420" w:firstLineChars="200"/>
                    <w:jc w:val="both"/>
                    <w:textAlignment w:val="auto"/>
                    <w:rPr>
                      <w:color w:val="auto"/>
                    </w:rPr>
                  </w:pPr>
                  <w:r>
                    <w:rPr>
                      <w:rFonts w:hint="eastAsia"/>
                      <w:color w:val="auto"/>
                    </w:rPr>
                    <w:t>本项目采用全密闭、连续化、自动化等生产技术，以及高效工艺与设备，使用无泄漏的潜油泵。</w:t>
                  </w:r>
                </w:p>
              </w:tc>
              <w:tc>
                <w:tcPr>
                  <w:tcW w:w="412" w:type="pct"/>
                  <w:vAlign w:val="center"/>
                </w:tcPr>
                <w:p w14:paraId="4AB88506">
                  <w:pPr>
                    <w:pStyle w:val="49"/>
                    <w:keepNext w:val="0"/>
                    <w:keepLines w:val="0"/>
                    <w:pageBreakBefore w:val="0"/>
                    <w:widowControl w:val="0"/>
                    <w:kinsoku/>
                    <w:wordWrap/>
                    <w:overflowPunct/>
                    <w:topLinePunct w:val="0"/>
                    <w:autoSpaceDE/>
                    <w:autoSpaceDN/>
                    <w:bidi w:val="0"/>
                    <w:adjustRightInd/>
                    <w:snapToGrid w:val="0"/>
                    <w:textAlignment w:val="auto"/>
                    <w:rPr>
                      <w:color w:val="auto"/>
                    </w:rPr>
                  </w:pPr>
                  <w:r>
                    <w:rPr>
                      <w:color w:val="auto"/>
                    </w:rPr>
                    <w:t>符合</w:t>
                  </w:r>
                </w:p>
              </w:tc>
            </w:tr>
            <w:tr w14:paraId="61C1EF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9" w:type="pct"/>
                  <w:vMerge w:val="continue"/>
                  <w:vAlign w:val="center"/>
                </w:tcPr>
                <w:p w14:paraId="5F49084E">
                  <w:pPr>
                    <w:pStyle w:val="49"/>
                    <w:keepNext w:val="0"/>
                    <w:keepLines w:val="0"/>
                    <w:pageBreakBefore w:val="0"/>
                    <w:widowControl w:val="0"/>
                    <w:kinsoku/>
                    <w:wordWrap/>
                    <w:overflowPunct/>
                    <w:topLinePunct w:val="0"/>
                    <w:autoSpaceDE/>
                    <w:autoSpaceDN/>
                    <w:bidi w:val="0"/>
                    <w:adjustRightInd/>
                    <w:snapToGrid w:val="0"/>
                    <w:textAlignment w:val="auto"/>
                    <w:rPr>
                      <w:rFonts w:hint="eastAsia"/>
                      <w:color w:val="auto"/>
                    </w:rPr>
                  </w:pPr>
                </w:p>
              </w:tc>
              <w:tc>
                <w:tcPr>
                  <w:tcW w:w="2577" w:type="pct"/>
                  <w:vAlign w:val="center"/>
                </w:tcPr>
                <w:p w14:paraId="71083B6C">
                  <w:pPr>
                    <w:pStyle w:val="49"/>
                    <w:keepNext w:val="0"/>
                    <w:keepLines w:val="0"/>
                    <w:pageBreakBefore w:val="0"/>
                    <w:widowControl w:val="0"/>
                    <w:kinsoku/>
                    <w:wordWrap/>
                    <w:overflowPunct/>
                    <w:topLinePunct w:val="0"/>
                    <w:autoSpaceDE/>
                    <w:autoSpaceDN/>
                    <w:bidi w:val="0"/>
                    <w:adjustRightInd/>
                    <w:snapToGrid w:val="0"/>
                    <w:ind w:firstLine="420" w:firstLineChars="200"/>
                    <w:jc w:val="both"/>
                    <w:textAlignment w:val="auto"/>
                    <w:rPr>
                      <w:color w:val="auto"/>
                    </w:rPr>
                  </w:pPr>
                  <w:r>
                    <w:rPr>
                      <w:rFonts w:hint="eastAsia"/>
                      <w:color w:val="auto"/>
                    </w:rPr>
                    <w:t>提高废气收集率。遵循</w:t>
                  </w:r>
                  <w:r>
                    <w:rPr>
                      <w:rFonts w:hint="default" w:ascii="Times New Roman" w:hAnsi="Times New Roman" w:cs="Times New Roman"/>
                      <w:color w:val="auto"/>
                    </w:rPr>
                    <w:t>“</w:t>
                  </w:r>
                  <w:r>
                    <w:rPr>
                      <w:rFonts w:hint="eastAsia"/>
                      <w:color w:val="auto"/>
                    </w:rPr>
                    <w:t>应收尽收、分质收集</w:t>
                  </w:r>
                  <w:r>
                    <w:rPr>
                      <w:rFonts w:hint="default" w:ascii="Times New Roman" w:hAnsi="Times New Roman" w:cs="Times New Roman"/>
                      <w:color w:val="auto"/>
                    </w:rPr>
                    <w:t>”</w:t>
                  </w:r>
                  <w:r>
                    <w:rPr>
                      <w:rFonts w:hint="eastAsia"/>
                      <w:color w:val="auto"/>
                    </w:rPr>
                    <w:t>的原则，科学设计废气收集系统，将无组织排放转变为有组织排放进行控制。采用全密闭集气罩或密闭空间的，除行业有特殊要求外，应保持微负压状态，并根据相关规范合理设置通风量。</w:t>
                  </w:r>
                </w:p>
              </w:tc>
              <w:tc>
                <w:tcPr>
                  <w:tcW w:w="1450" w:type="pct"/>
                  <w:vAlign w:val="center"/>
                </w:tcPr>
                <w:p w14:paraId="49594CCF">
                  <w:pPr>
                    <w:pStyle w:val="49"/>
                    <w:keepNext w:val="0"/>
                    <w:keepLines w:val="0"/>
                    <w:pageBreakBefore w:val="0"/>
                    <w:widowControl w:val="0"/>
                    <w:kinsoku/>
                    <w:wordWrap/>
                    <w:overflowPunct/>
                    <w:topLinePunct w:val="0"/>
                    <w:autoSpaceDE/>
                    <w:autoSpaceDN/>
                    <w:bidi w:val="0"/>
                    <w:adjustRightInd/>
                    <w:snapToGrid w:val="0"/>
                    <w:ind w:firstLine="420" w:firstLineChars="200"/>
                    <w:jc w:val="both"/>
                    <w:textAlignment w:val="auto"/>
                    <w:rPr>
                      <w:color w:val="auto"/>
                    </w:rPr>
                  </w:pPr>
                  <w:r>
                    <w:rPr>
                      <w:rFonts w:hint="eastAsia"/>
                      <w:color w:val="auto"/>
                      <w:lang w:val="en-US" w:eastAsia="zh-CN"/>
                    </w:rPr>
                    <w:t>本项目产生的挥发性有机物采取二级油气回收系统进行处置</w:t>
                  </w:r>
                  <w:r>
                    <w:rPr>
                      <w:rFonts w:hint="eastAsia"/>
                      <w:color w:val="auto"/>
                    </w:rPr>
                    <w:t>。</w:t>
                  </w:r>
                </w:p>
              </w:tc>
              <w:tc>
                <w:tcPr>
                  <w:tcW w:w="412" w:type="pct"/>
                  <w:vAlign w:val="center"/>
                </w:tcPr>
                <w:p w14:paraId="6016315D">
                  <w:pPr>
                    <w:pStyle w:val="49"/>
                    <w:keepNext w:val="0"/>
                    <w:keepLines w:val="0"/>
                    <w:pageBreakBefore w:val="0"/>
                    <w:widowControl w:val="0"/>
                    <w:kinsoku/>
                    <w:wordWrap/>
                    <w:overflowPunct/>
                    <w:topLinePunct w:val="0"/>
                    <w:autoSpaceDE/>
                    <w:autoSpaceDN/>
                    <w:bidi w:val="0"/>
                    <w:adjustRightInd/>
                    <w:snapToGrid w:val="0"/>
                    <w:textAlignment w:val="auto"/>
                    <w:rPr>
                      <w:color w:val="auto"/>
                    </w:rPr>
                  </w:pPr>
                  <w:r>
                    <w:rPr>
                      <w:color w:val="auto"/>
                    </w:rPr>
                    <w:t>符合</w:t>
                  </w:r>
                </w:p>
              </w:tc>
            </w:tr>
            <w:tr w14:paraId="612501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9" w:type="pct"/>
                  <w:vMerge w:val="continue"/>
                  <w:vAlign w:val="center"/>
                </w:tcPr>
                <w:p w14:paraId="179787DC">
                  <w:pPr>
                    <w:pStyle w:val="49"/>
                    <w:keepNext w:val="0"/>
                    <w:keepLines w:val="0"/>
                    <w:pageBreakBefore w:val="0"/>
                    <w:widowControl w:val="0"/>
                    <w:kinsoku/>
                    <w:wordWrap/>
                    <w:overflowPunct/>
                    <w:topLinePunct w:val="0"/>
                    <w:autoSpaceDE/>
                    <w:autoSpaceDN/>
                    <w:bidi w:val="0"/>
                    <w:adjustRightInd/>
                    <w:snapToGrid w:val="0"/>
                    <w:textAlignment w:val="auto"/>
                    <w:rPr>
                      <w:rFonts w:hint="eastAsia"/>
                      <w:color w:val="auto"/>
                    </w:rPr>
                  </w:pPr>
                </w:p>
              </w:tc>
              <w:tc>
                <w:tcPr>
                  <w:tcW w:w="2577" w:type="pct"/>
                  <w:vAlign w:val="center"/>
                </w:tcPr>
                <w:p w14:paraId="64C0C843">
                  <w:pPr>
                    <w:pStyle w:val="49"/>
                    <w:keepNext w:val="0"/>
                    <w:keepLines w:val="0"/>
                    <w:pageBreakBefore w:val="0"/>
                    <w:widowControl w:val="0"/>
                    <w:kinsoku/>
                    <w:wordWrap/>
                    <w:overflowPunct/>
                    <w:topLinePunct w:val="0"/>
                    <w:autoSpaceDE/>
                    <w:autoSpaceDN/>
                    <w:bidi w:val="0"/>
                    <w:adjustRightInd/>
                    <w:snapToGrid w:val="0"/>
                    <w:ind w:firstLine="420" w:firstLineChars="200"/>
                    <w:jc w:val="both"/>
                    <w:textAlignment w:val="auto"/>
                    <w:rPr>
                      <w:color w:val="auto"/>
                    </w:rPr>
                  </w:pPr>
                  <w:r>
                    <w:rPr>
                      <w:rFonts w:hint="eastAsia"/>
                      <w:color w:val="auto"/>
                    </w:rPr>
                    <w:t>加强设备与管线组件泄漏控制。企业中载有气态、液态VOCs物料的设备与管线组件，密封点数量大于等于2000个的，应按要求开展LDAR工作。石化企业按行业排放标准规定执行。</w:t>
                  </w:r>
                </w:p>
              </w:tc>
              <w:tc>
                <w:tcPr>
                  <w:tcW w:w="1450" w:type="pct"/>
                  <w:vAlign w:val="center"/>
                </w:tcPr>
                <w:p w14:paraId="1AC9FAC0">
                  <w:pPr>
                    <w:pStyle w:val="49"/>
                    <w:keepNext w:val="0"/>
                    <w:keepLines w:val="0"/>
                    <w:pageBreakBefore w:val="0"/>
                    <w:widowControl w:val="0"/>
                    <w:kinsoku/>
                    <w:wordWrap/>
                    <w:overflowPunct/>
                    <w:topLinePunct w:val="0"/>
                    <w:autoSpaceDE/>
                    <w:autoSpaceDN/>
                    <w:bidi w:val="0"/>
                    <w:adjustRightInd/>
                    <w:snapToGrid w:val="0"/>
                    <w:ind w:firstLine="420" w:firstLineChars="200"/>
                    <w:jc w:val="both"/>
                    <w:textAlignment w:val="auto"/>
                    <w:rPr>
                      <w:color w:val="auto"/>
                    </w:rPr>
                  </w:pPr>
                  <w:r>
                    <w:rPr>
                      <w:rFonts w:hint="eastAsia"/>
                      <w:color w:val="auto"/>
                    </w:rPr>
                    <w:t>本项目按《加油站大气污染物排放标准》（GB20952-2020）规定执行。</w:t>
                  </w:r>
                </w:p>
              </w:tc>
              <w:tc>
                <w:tcPr>
                  <w:tcW w:w="412" w:type="pct"/>
                  <w:vAlign w:val="center"/>
                </w:tcPr>
                <w:p w14:paraId="3B638852">
                  <w:pPr>
                    <w:pStyle w:val="49"/>
                    <w:keepNext w:val="0"/>
                    <w:keepLines w:val="0"/>
                    <w:pageBreakBefore w:val="0"/>
                    <w:widowControl w:val="0"/>
                    <w:kinsoku/>
                    <w:wordWrap/>
                    <w:overflowPunct/>
                    <w:topLinePunct w:val="0"/>
                    <w:autoSpaceDE/>
                    <w:autoSpaceDN/>
                    <w:bidi w:val="0"/>
                    <w:adjustRightInd/>
                    <w:snapToGrid w:val="0"/>
                    <w:textAlignment w:val="auto"/>
                    <w:rPr>
                      <w:color w:val="auto"/>
                    </w:rPr>
                  </w:pPr>
                  <w:r>
                    <w:rPr>
                      <w:color w:val="auto"/>
                    </w:rPr>
                    <w:t>符合</w:t>
                  </w:r>
                </w:p>
              </w:tc>
            </w:tr>
            <w:tr w14:paraId="15AEB5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9" w:type="pct"/>
                  <w:vMerge w:val="continue"/>
                  <w:vAlign w:val="center"/>
                </w:tcPr>
                <w:p w14:paraId="46486891">
                  <w:pPr>
                    <w:pStyle w:val="49"/>
                    <w:keepNext w:val="0"/>
                    <w:keepLines w:val="0"/>
                    <w:pageBreakBefore w:val="0"/>
                    <w:widowControl w:val="0"/>
                    <w:kinsoku/>
                    <w:wordWrap/>
                    <w:overflowPunct/>
                    <w:topLinePunct w:val="0"/>
                    <w:autoSpaceDE/>
                    <w:autoSpaceDN/>
                    <w:bidi w:val="0"/>
                    <w:adjustRightInd/>
                    <w:snapToGrid w:val="0"/>
                    <w:textAlignment w:val="auto"/>
                    <w:rPr>
                      <w:rFonts w:hint="eastAsia"/>
                      <w:color w:val="auto"/>
                    </w:rPr>
                  </w:pPr>
                </w:p>
              </w:tc>
              <w:tc>
                <w:tcPr>
                  <w:tcW w:w="2577" w:type="pct"/>
                  <w:vAlign w:val="center"/>
                </w:tcPr>
                <w:p w14:paraId="4C23B614">
                  <w:pPr>
                    <w:pStyle w:val="49"/>
                    <w:keepNext w:val="0"/>
                    <w:keepLines w:val="0"/>
                    <w:pageBreakBefore w:val="0"/>
                    <w:widowControl w:val="0"/>
                    <w:kinsoku/>
                    <w:wordWrap/>
                    <w:overflowPunct/>
                    <w:topLinePunct w:val="0"/>
                    <w:autoSpaceDE/>
                    <w:autoSpaceDN/>
                    <w:bidi w:val="0"/>
                    <w:adjustRightInd/>
                    <w:snapToGrid w:val="0"/>
                    <w:ind w:firstLine="420" w:firstLineChars="200"/>
                    <w:jc w:val="both"/>
                    <w:textAlignment w:val="auto"/>
                    <w:rPr>
                      <w:color w:val="auto"/>
                    </w:rPr>
                  </w:pPr>
                  <w:r>
                    <w:rPr>
                      <w:rFonts w:hint="eastAsia"/>
                      <w:color w:val="auto"/>
                    </w:rPr>
                    <w:t>深化加油站油气回收工作。O</w:t>
                  </w:r>
                  <w:r>
                    <w:rPr>
                      <w:rFonts w:hint="eastAsia"/>
                      <w:color w:val="auto"/>
                      <w:vertAlign w:val="subscript"/>
                    </w:rPr>
                    <w:t>3</w:t>
                  </w:r>
                  <w:r>
                    <w:rPr>
                      <w:rFonts w:hint="eastAsia"/>
                      <w:color w:val="auto"/>
                    </w:rPr>
                    <w:t>污染较重的地区，行政区域内大力推进加油站储油、加油油气回收治理工作，重点区域2019年年底前基本完成。埋地油罐全面采用电子液位仪进行汽油密闭测量。规范油气回收设施运行，自行或</w:t>
                  </w:r>
                  <w:r>
                    <w:rPr>
                      <w:rFonts w:hint="eastAsia"/>
                      <w:color w:val="auto"/>
                      <w:lang w:eastAsia="zh-CN"/>
                    </w:rPr>
                    <w:t>聘请</w:t>
                  </w:r>
                  <w:r>
                    <w:rPr>
                      <w:rFonts w:hint="eastAsia"/>
                      <w:color w:val="auto"/>
                    </w:rPr>
                    <w:t>第三方加强加油枪气液比、系统密闭性及管线液阻等检查，提高检测频次，重点区域原则上每半年开展一次，确保油气回收系统正常运行。重点区域加快推进年销售汽油量大于5000吨的加油站安装油气回收自动监控设备，并与生态环境部门联网，2020年年底前基本完成。</w:t>
                  </w:r>
                </w:p>
              </w:tc>
              <w:tc>
                <w:tcPr>
                  <w:tcW w:w="1450" w:type="pct"/>
                  <w:vAlign w:val="center"/>
                </w:tcPr>
                <w:p w14:paraId="22B7F1CD">
                  <w:pPr>
                    <w:pStyle w:val="49"/>
                    <w:keepNext w:val="0"/>
                    <w:keepLines w:val="0"/>
                    <w:pageBreakBefore w:val="0"/>
                    <w:widowControl w:val="0"/>
                    <w:kinsoku/>
                    <w:wordWrap/>
                    <w:overflowPunct/>
                    <w:topLinePunct w:val="0"/>
                    <w:autoSpaceDE/>
                    <w:autoSpaceDN/>
                    <w:bidi w:val="0"/>
                    <w:adjustRightInd/>
                    <w:snapToGrid w:val="0"/>
                    <w:ind w:firstLine="420" w:firstLineChars="200"/>
                    <w:jc w:val="both"/>
                    <w:textAlignment w:val="auto"/>
                    <w:rPr>
                      <w:color w:val="auto"/>
                    </w:rPr>
                  </w:pPr>
                  <w:r>
                    <w:rPr>
                      <w:rFonts w:hint="eastAsia"/>
                      <w:color w:val="auto"/>
                    </w:rPr>
                    <w:t>本项目埋地卧式双层</w:t>
                  </w:r>
                  <w:r>
                    <w:rPr>
                      <w:rFonts w:hint="eastAsia"/>
                      <w:color w:val="auto"/>
                      <w:lang w:val="en-US" w:eastAsia="zh-CN"/>
                    </w:rPr>
                    <w:t>储</w:t>
                  </w:r>
                  <w:r>
                    <w:rPr>
                      <w:rFonts w:hint="eastAsia"/>
                      <w:color w:val="auto"/>
                    </w:rPr>
                    <w:t>油罐采用电子液位仪进行汽油密闭测量，设</w:t>
                  </w:r>
                  <w:r>
                    <w:rPr>
                      <w:rFonts w:hint="eastAsia"/>
                      <w:color w:val="auto"/>
                      <w:lang w:val="en-US" w:eastAsia="zh-CN"/>
                    </w:rPr>
                    <w:t>置二级</w:t>
                  </w:r>
                  <w:r>
                    <w:rPr>
                      <w:rFonts w:hint="eastAsia"/>
                      <w:color w:val="auto"/>
                    </w:rPr>
                    <w:t>油气回收系统。</w:t>
                  </w:r>
                </w:p>
              </w:tc>
              <w:tc>
                <w:tcPr>
                  <w:tcW w:w="412" w:type="pct"/>
                  <w:vAlign w:val="center"/>
                </w:tcPr>
                <w:p w14:paraId="2D9F22D8">
                  <w:pPr>
                    <w:pStyle w:val="49"/>
                    <w:keepNext w:val="0"/>
                    <w:keepLines w:val="0"/>
                    <w:pageBreakBefore w:val="0"/>
                    <w:widowControl w:val="0"/>
                    <w:kinsoku/>
                    <w:wordWrap/>
                    <w:overflowPunct/>
                    <w:topLinePunct w:val="0"/>
                    <w:autoSpaceDE/>
                    <w:autoSpaceDN/>
                    <w:bidi w:val="0"/>
                    <w:adjustRightInd/>
                    <w:snapToGrid w:val="0"/>
                    <w:textAlignment w:val="auto"/>
                    <w:rPr>
                      <w:color w:val="auto"/>
                    </w:rPr>
                  </w:pPr>
                  <w:r>
                    <w:rPr>
                      <w:color w:val="auto"/>
                    </w:rPr>
                    <w:t>符合</w:t>
                  </w:r>
                </w:p>
              </w:tc>
            </w:tr>
          </w:tbl>
          <w:p w14:paraId="5F20B860">
            <w:pPr>
              <w:keepNext w:val="0"/>
              <w:keepLines w:val="0"/>
              <w:pageBreakBefore w:val="0"/>
              <w:widowControl w:val="0"/>
              <w:kinsoku/>
              <w:wordWrap/>
              <w:overflowPunct/>
              <w:topLinePunct w:val="0"/>
              <w:autoSpaceDE/>
              <w:autoSpaceDN/>
              <w:bidi w:val="0"/>
              <w:adjustRightInd/>
              <w:snapToGrid/>
              <w:ind w:firstLine="480"/>
              <w:textAlignment w:val="auto"/>
              <w:rPr>
                <w:color w:val="auto"/>
              </w:rPr>
            </w:pPr>
            <w:r>
              <w:rPr>
                <w:rFonts w:hint="eastAsia"/>
                <w:color w:val="auto"/>
                <w:lang w:val="en-US" w:eastAsia="zh-CN"/>
              </w:rPr>
              <w:t>综上所述，本项目建设与</w:t>
            </w:r>
            <w:r>
              <w:rPr>
                <w:rFonts w:hint="eastAsia"/>
                <w:color w:val="auto"/>
              </w:rPr>
              <w:t>《重点行业挥发性有机物综合治理方案》（环大气〔2019〕53号）相符。</w:t>
            </w:r>
          </w:p>
          <w:p w14:paraId="5717C922">
            <w:pPr>
              <w:pStyle w:val="54"/>
              <w:keepNext w:val="0"/>
              <w:keepLines w:val="0"/>
              <w:pageBreakBefore w:val="0"/>
              <w:widowControl w:val="0"/>
              <w:numPr>
                <w:ilvl w:val="0"/>
                <w:numId w:val="0"/>
              </w:numPr>
              <w:kinsoku/>
              <w:wordWrap/>
              <w:overflowPunct/>
              <w:topLinePunct w:val="0"/>
              <w:autoSpaceDE/>
              <w:autoSpaceDN/>
              <w:bidi w:val="0"/>
              <w:adjustRightInd/>
              <w:snapToGrid/>
              <w:ind w:left="0" w:leftChars="0" w:firstLine="482" w:firstLineChars="200"/>
              <w:textAlignment w:val="auto"/>
              <w:rPr>
                <w:b/>
                <w:color w:val="auto"/>
              </w:rPr>
            </w:pPr>
            <w:r>
              <w:rPr>
                <w:rFonts w:hint="eastAsia"/>
                <w:b/>
                <w:color w:val="auto"/>
                <w:lang w:val="en-US" w:eastAsia="zh-CN"/>
              </w:rPr>
              <w:t>12、项目</w:t>
            </w:r>
            <w:r>
              <w:rPr>
                <w:rFonts w:hint="eastAsia"/>
                <w:b/>
                <w:color w:val="auto"/>
              </w:rPr>
              <w:t>与《挥发性有机物无组织排放控制标准》（GB37822-2019）</w:t>
            </w:r>
            <w:r>
              <w:rPr>
                <w:rFonts w:hint="eastAsia"/>
                <w:b/>
                <w:color w:val="auto"/>
                <w:lang w:val="en-US" w:eastAsia="zh-CN"/>
              </w:rPr>
              <w:t>相符</w:t>
            </w:r>
            <w:r>
              <w:rPr>
                <w:rFonts w:hint="eastAsia"/>
                <w:b/>
                <w:color w:val="auto"/>
              </w:rPr>
              <w:t>性分析</w:t>
            </w:r>
          </w:p>
          <w:p w14:paraId="1350E200">
            <w:pPr>
              <w:pStyle w:val="111"/>
              <w:keepNext w:val="0"/>
              <w:keepLines w:val="0"/>
              <w:pageBreakBefore w:val="0"/>
              <w:widowControl/>
              <w:kinsoku/>
              <w:wordWrap/>
              <w:overflowPunct w:val="0"/>
              <w:topLinePunct w:val="0"/>
              <w:autoSpaceDE w:val="0"/>
              <w:autoSpaceDN w:val="0"/>
              <w:bidi w:val="0"/>
              <w:adjustRightInd/>
              <w:snapToGrid/>
              <w:spacing w:before="0" w:after="0"/>
              <w:ind w:right="0"/>
              <w:textAlignment w:val="baseline"/>
              <w:rPr>
                <w:rFonts w:ascii="Times New Roman" w:eastAsia="宋体"/>
                <w:color w:val="000000" w:themeColor="text1"/>
                <w14:textFill>
                  <w14:solidFill>
                    <w14:schemeClr w14:val="tx1"/>
                  </w14:solidFill>
                </w14:textFill>
              </w:rPr>
            </w:pPr>
            <w:r>
              <w:rPr>
                <w:rFonts w:ascii="Times New Roman" w:eastAsia="宋体"/>
                <w:color w:val="000000" w:themeColor="text1"/>
                <w14:textFill>
                  <w14:solidFill>
                    <w14:schemeClr w14:val="tx1"/>
                  </w14:solidFill>
                </w14:textFill>
              </w:rPr>
              <w:t>表1-1</w:t>
            </w:r>
            <w:r>
              <w:rPr>
                <w:rFonts w:hint="eastAsia" w:ascii="Times New Roman" w:eastAsia="宋体"/>
                <w:color w:val="000000" w:themeColor="text1"/>
                <w:lang w:val="en-US" w:eastAsia="zh-CN"/>
                <w14:textFill>
                  <w14:solidFill>
                    <w14:schemeClr w14:val="tx1"/>
                  </w14:solidFill>
                </w14:textFill>
              </w:rPr>
              <w:t>2</w:t>
            </w:r>
            <w:r>
              <w:rPr>
                <w:rFonts w:ascii="Times New Roman" w:eastAsia="宋体"/>
                <w:color w:val="000000" w:themeColor="text1"/>
                <w14:textFill>
                  <w14:solidFill>
                    <w14:schemeClr w14:val="tx1"/>
                  </w14:solidFill>
                </w14:textFill>
              </w:rPr>
              <w:t xml:space="preserve">  </w:t>
            </w:r>
            <w:r>
              <w:rPr>
                <w:rFonts w:hint="eastAsia" w:ascii="Times New Roman" w:eastAsia="宋体"/>
                <w:color w:val="000000" w:themeColor="text1"/>
                <w:lang w:val="en-US" w:eastAsia="zh-CN"/>
                <w14:textFill>
                  <w14:solidFill>
                    <w14:schemeClr w14:val="tx1"/>
                  </w14:solidFill>
                </w14:textFill>
              </w:rPr>
              <w:t xml:space="preserve"> 项目与《挥发性有机物无组织排放控制标准》（GB37822-2019）相符性分析</w:t>
            </w:r>
          </w:p>
          <w:tbl>
            <w:tblPr>
              <w:tblStyle w:val="35"/>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84"/>
              <w:gridCol w:w="4145"/>
              <w:gridCol w:w="2550"/>
              <w:gridCol w:w="660"/>
            </w:tblGrid>
            <w:tr w14:paraId="61E8987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25" w:type="pct"/>
                  <w:vAlign w:val="center"/>
                </w:tcPr>
                <w:p w14:paraId="477579B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b/>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序号</w:t>
                  </w:r>
                </w:p>
              </w:tc>
              <w:tc>
                <w:tcPr>
                  <w:tcW w:w="2578" w:type="pct"/>
                  <w:vAlign w:val="center"/>
                </w:tcPr>
                <w:p w14:paraId="5497A5B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相关要求</w:t>
                  </w:r>
                </w:p>
              </w:tc>
              <w:tc>
                <w:tcPr>
                  <w:tcW w:w="1586" w:type="pct"/>
                  <w:vAlign w:val="center"/>
                </w:tcPr>
                <w:p w14:paraId="58BDB96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b/>
                      <w:color w:val="000000" w:themeColor="text1"/>
                      <w:sz w:val="21"/>
                      <w:szCs w:val="21"/>
                      <w14:textFill>
                        <w14:solidFill>
                          <w14:schemeClr w14:val="tx1"/>
                        </w14:solidFill>
                      </w14:textFill>
                    </w:rPr>
                  </w:pP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相符性</w:t>
                  </w:r>
                  <w:r>
                    <w:rPr>
                      <w:rFonts w:ascii="Times New Roman" w:hAnsi="Times New Roman" w:eastAsia="宋体" w:cs="Times New Roman"/>
                      <w:b/>
                      <w:color w:val="000000" w:themeColor="text1"/>
                      <w:sz w:val="21"/>
                      <w:szCs w:val="21"/>
                      <w14:textFill>
                        <w14:solidFill>
                          <w14:schemeClr w14:val="tx1"/>
                        </w14:solidFill>
                      </w14:textFill>
                    </w:rPr>
                    <w:t>分析</w:t>
                  </w:r>
                </w:p>
              </w:tc>
              <w:tc>
                <w:tcPr>
                  <w:tcW w:w="410" w:type="pct"/>
                  <w:vAlign w:val="center"/>
                </w:tcPr>
                <w:p w14:paraId="017E35F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b/>
                      <w:color w:val="000000" w:themeColor="text1"/>
                      <w:sz w:val="21"/>
                      <w:szCs w:val="21"/>
                      <w:lang w:eastAsia="zh-CN"/>
                      <w14:textFill>
                        <w14:solidFill>
                          <w14:schemeClr w14:val="tx1"/>
                        </w14:solidFill>
                      </w14:textFill>
                    </w:rPr>
                  </w:pP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结论</w:t>
                  </w:r>
                </w:p>
              </w:tc>
            </w:tr>
            <w:tr w14:paraId="4B7096A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25" w:type="pct"/>
                  <w:vAlign w:val="center"/>
                </w:tcPr>
                <w:p w14:paraId="47970A93">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1</w:t>
                  </w:r>
                </w:p>
              </w:tc>
              <w:tc>
                <w:tcPr>
                  <w:tcW w:w="2578" w:type="pct"/>
                  <w:vAlign w:val="center"/>
                </w:tcPr>
                <w:p w14:paraId="6A04FAAE">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VOCs物料应储存于密闭的容器、包装袋、储罐、储库、料仓中。盛装VOCs物料的容器或包装袋应存放于室内，或存放于设置有雨棚、遮阳和防渗设施的专用场地。盛装VOCs物料的容器或包装袋在非取用状态时应加盖、封口，保持密闭。VOCs物料储库、料仓应满足3.6条对密闭空间的要求。</w:t>
                  </w:r>
                </w:p>
              </w:tc>
              <w:tc>
                <w:tcPr>
                  <w:tcW w:w="1586" w:type="pct"/>
                  <w:vAlign w:val="center"/>
                </w:tcPr>
                <w:p w14:paraId="5C11E5B6">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hint="eastAsia" w:ascii="Times New Roman" w:hAnsi="Times New Roman" w:eastAsia="宋体"/>
                      <w:color w:val="000000" w:themeColor="text1"/>
                      <w:sz w:val="21"/>
                      <w:szCs w:val="21"/>
                      <w:lang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本</w:t>
                  </w:r>
                  <w:r>
                    <w:rPr>
                      <w:rFonts w:ascii="Times New Roman" w:hAnsi="Times New Roman" w:eastAsia="宋体"/>
                      <w:color w:val="000000" w:themeColor="text1"/>
                      <w:sz w:val="21"/>
                      <w:szCs w:val="21"/>
                      <w14:textFill>
                        <w14:solidFill>
                          <w14:schemeClr w14:val="tx1"/>
                        </w14:solidFill>
                      </w14:textFill>
                    </w:rPr>
                    <w:t>项目</w:t>
                  </w:r>
                  <w:r>
                    <w:rPr>
                      <w:rFonts w:hint="eastAsia" w:ascii="Times New Roman" w:hAnsi="Times New Roman" w:eastAsia="宋体"/>
                      <w:color w:val="000000" w:themeColor="text1"/>
                      <w:sz w:val="21"/>
                      <w:szCs w:val="21"/>
                      <w:lang w:val="en-US" w:eastAsia="zh-CN"/>
                      <w14:textFill>
                        <w14:solidFill>
                          <w14:schemeClr w14:val="tx1"/>
                        </w14:solidFill>
                      </w14:textFill>
                    </w:rPr>
                    <w:t>油品</w:t>
                  </w:r>
                  <w:r>
                    <w:rPr>
                      <w:rFonts w:hint="eastAsia" w:ascii="Times New Roman" w:hAnsi="Times New Roman" w:eastAsia="宋体"/>
                      <w:color w:val="000000" w:themeColor="text1"/>
                      <w:sz w:val="21"/>
                      <w:szCs w:val="21"/>
                      <w14:textFill>
                        <w14:solidFill>
                          <w14:schemeClr w14:val="tx1"/>
                        </w14:solidFill>
                      </w14:textFill>
                    </w:rPr>
                    <w:t>储存于密闭双层</w:t>
                  </w:r>
                  <w:r>
                    <w:rPr>
                      <w:rFonts w:hint="eastAsia" w:ascii="Times New Roman" w:hAnsi="Times New Roman" w:eastAsia="宋体"/>
                      <w:color w:val="000000" w:themeColor="text1"/>
                      <w:sz w:val="21"/>
                      <w:szCs w:val="21"/>
                      <w:lang w:val="en-US" w:eastAsia="zh-CN"/>
                      <w14:textFill>
                        <w14:solidFill>
                          <w14:schemeClr w14:val="tx1"/>
                        </w14:solidFill>
                      </w14:textFill>
                    </w:rPr>
                    <w:t>储</w:t>
                  </w:r>
                  <w:r>
                    <w:rPr>
                      <w:rFonts w:hint="eastAsia" w:ascii="Times New Roman" w:hAnsi="Times New Roman" w:eastAsia="宋体"/>
                      <w:color w:val="000000" w:themeColor="text1"/>
                      <w:sz w:val="21"/>
                      <w:szCs w:val="21"/>
                      <w14:textFill>
                        <w14:solidFill>
                          <w14:schemeClr w14:val="tx1"/>
                        </w14:solidFill>
                      </w14:textFill>
                    </w:rPr>
                    <w:t>油罐中</w:t>
                  </w:r>
                  <w:r>
                    <w:rPr>
                      <w:rFonts w:hint="eastAsia" w:ascii="Times New Roman" w:hAnsi="Times New Roman" w:eastAsia="宋体"/>
                      <w:color w:val="000000" w:themeColor="text1"/>
                      <w:sz w:val="21"/>
                      <w:szCs w:val="21"/>
                      <w:lang w:eastAsia="zh-CN"/>
                      <w14:textFill>
                        <w14:solidFill>
                          <w14:schemeClr w14:val="tx1"/>
                        </w14:solidFill>
                      </w14:textFill>
                    </w:rPr>
                    <w:t>。</w:t>
                  </w:r>
                </w:p>
              </w:tc>
              <w:tc>
                <w:tcPr>
                  <w:tcW w:w="410" w:type="pct"/>
                  <w:vAlign w:val="center"/>
                </w:tcPr>
                <w:p w14:paraId="35A664AA">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符合</w:t>
                  </w:r>
                </w:p>
              </w:tc>
            </w:tr>
            <w:tr w14:paraId="4878288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25" w:type="pct"/>
                  <w:vAlign w:val="center"/>
                </w:tcPr>
                <w:p w14:paraId="51782B9D">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2</w:t>
                  </w:r>
                </w:p>
              </w:tc>
              <w:tc>
                <w:tcPr>
                  <w:tcW w:w="2578" w:type="pct"/>
                  <w:vAlign w:val="center"/>
                </w:tcPr>
                <w:p w14:paraId="6B019DB6">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液态VOCs物料应采用密闭管道输送。采用非管道输送方式转移液态VOCs物料时，应采用密闭容器、罐车。</w:t>
                  </w:r>
                </w:p>
              </w:tc>
              <w:tc>
                <w:tcPr>
                  <w:tcW w:w="1586" w:type="pct"/>
                  <w:vAlign w:val="center"/>
                </w:tcPr>
                <w:p w14:paraId="380C3BC4">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本</w:t>
                  </w:r>
                  <w:r>
                    <w:rPr>
                      <w:rFonts w:ascii="Times New Roman" w:hAnsi="Times New Roman" w:eastAsia="宋体"/>
                      <w:color w:val="000000" w:themeColor="text1"/>
                      <w:sz w:val="21"/>
                      <w:szCs w:val="21"/>
                      <w14:textFill>
                        <w14:solidFill>
                          <w14:schemeClr w14:val="tx1"/>
                        </w14:solidFill>
                      </w14:textFill>
                    </w:rPr>
                    <w:t>项目</w:t>
                  </w:r>
                  <w:r>
                    <w:rPr>
                      <w:rFonts w:hint="eastAsia" w:ascii="Times New Roman" w:hAnsi="Times New Roman" w:eastAsia="宋体"/>
                      <w:color w:val="000000" w:themeColor="text1"/>
                      <w:sz w:val="21"/>
                      <w:szCs w:val="21"/>
                      <w14:textFill>
                        <w14:solidFill>
                          <w14:schemeClr w14:val="tx1"/>
                        </w14:solidFill>
                      </w14:textFill>
                    </w:rPr>
                    <w:t>卸油和加油时油品均在密闭设备及管线中储存、转移和输送。</w:t>
                  </w:r>
                </w:p>
              </w:tc>
              <w:tc>
                <w:tcPr>
                  <w:tcW w:w="410" w:type="pct"/>
                  <w:vAlign w:val="center"/>
                </w:tcPr>
                <w:p w14:paraId="485D905D">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符合</w:t>
                  </w:r>
                </w:p>
              </w:tc>
            </w:tr>
            <w:tr w14:paraId="799B308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25" w:type="pct"/>
                  <w:vAlign w:val="center"/>
                </w:tcPr>
                <w:p w14:paraId="59612A97">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3</w:t>
                  </w:r>
                </w:p>
              </w:tc>
              <w:tc>
                <w:tcPr>
                  <w:tcW w:w="2578" w:type="pct"/>
                  <w:vAlign w:val="center"/>
                </w:tcPr>
                <w:p w14:paraId="5E281BBD">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液态VOCs物料应采用密闭管道输送方式或采用高位槽（罐）、桶泵等给料方式密闭投加。无法密闭投加的，应在密闭空间内操作，或进行局部气体收集，废气应排至VOCs废气收集处理系统。</w:t>
                  </w:r>
                </w:p>
              </w:tc>
              <w:tc>
                <w:tcPr>
                  <w:tcW w:w="1586" w:type="pct"/>
                  <w:vAlign w:val="center"/>
                </w:tcPr>
                <w:p w14:paraId="43BD1413">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hint="eastAsia" w:ascii="Times New Roman" w:hAnsi="Times New Roman" w:eastAsia="宋体"/>
                      <w:color w:val="000000" w:themeColor="text1"/>
                      <w:sz w:val="21"/>
                      <w:szCs w:val="21"/>
                      <w:lang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本</w:t>
                  </w:r>
                  <w:r>
                    <w:rPr>
                      <w:rFonts w:ascii="Times New Roman" w:hAnsi="Times New Roman" w:eastAsia="宋体"/>
                      <w:color w:val="000000" w:themeColor="text1"/>
                      <w:sz w:val="21"/>
                      <w:szCs w:val="21"/>
                      <w14:textFill>
                        <w14:solidFill>
                          <w14:schemeClr w14:val="tx1"/>
                        </w14:solidFill>
                      </w14:textFill>
                    </w:rPr>
                    <w:t>项目</w:t>
                  </w:r>
                  <w:r>
                    <w:rPr>
                      <w:rFonts w:hint="eastAsia" w:ascii="Times New Roman" w:hAnsi="Times New Roman" w:eastAsia="宋体"/>
                      <w:color w:val="000000" w:themeColor="text1"/>
                      <w:sz w:val="21"/>
                      <w:szCs w:val="21"/>
                      <w14:textFill>
                        <w14:solidFill>
                          <w14:schemeClr w14:val="tx1"/>
                        </w14:solidFill>
                      </w14:textFill>
                    </w:rPr>
                    <w:t>卸油和加油时油品均在密闭设备及管线中储存、转移和输送</w:t>
                  </w:r>
                  <w:r>
                    <w:rPr>
                      <w:rFonts w:ascii="Times New Roman" w:hAnsi="Times New Roman" w:eastAsia="宋体"/>
                      <w:color w:val="000000" w:themeColor="text1"/>
                      <w:sz w:val="21"/>
                      <w:szCs w:val="21"/>
                      <w14:textFill>
                        <w14:solidFill>
                          <w14:schemeClr w14:val="tx1"/>
                        </w14:solidFill>
                      </w14:textFill>
                    </w:rPr>
                    <w:t>，废气采</w:t>
                  </w:r>
                  <w:r>
                    <w:rPr>
                      <w:rFonts w:hint="eastAsia" w:ascii="Times New Roman" w:hAnsi="Times New Roman" w:eastAsia="宋体"/>
                      <w:color w:val="000000" w:themeColor="text1"/>
                      <w:sz w:val="21"/>
                      <w:szCs w:val="21"/>
                      <w:lang w:val="en-US" w:eastAsia="zh-CN"/>
                      <w14:textFill>
                        <w14:solidFill>
                          <w14:schemeClr w14:val="tx1"/>
                        </w14:solidFill>
                      </w14:textFill>
                    </w:rPr>
                    <w:t>取</w:t>
                  </w:r>
                  <w:r>
                    <w:rPr>
                      <w:rFonts w:ascii="Times New Roman" w:hAnsi="Times New Roman" w:eastAsia="宋体"/>
                      <w:color w:val="000000" w:themeColor="text1"/>
                      <w:sz w:val="21"/>
                      <w:szCs w:val="21"/>
                      <w14:textFill>
                        <w14:solidFill>
                          <w14:schemeClr w14:val="tx1"/>
                        </w14:solidFill>
                      </w14:textFill>
                    </w:rPr>
                    <w:t>油气回收</w:t>
                  </w:r>
                  <w:r>
                    <w:rPr>
                      <w:rFonts w:hint="eastAsia" w:ascii="Times New Roman" w:hAnsi="Times New Roman" w:eastAsia="宋体"/>
                      <w:color w:val="000000" w:themeColor="text1"/>
                      <w:sz w:val="21"/>
                      <w:szCs w:val="21"/>
                      <w:lang w:val="en-US" w:eastAsia="zh-CN"/>
                      <w14:textFill>
                        <w14:solidFill>
                          <w14:schemeClr w14:val="tx1"/>
                        </w14:solidFill>
                      </w14:textFill>
                    </w:rPr>
                    <w:t>系统</w:t>
                  </w:r>
                  <w:r>
                    <w:rPr>
                      <w:rFonts w:ascii="Times New Roman" w:hAnsi="Times New Roman" w:eastAsia="宋体"/>
                      <w:color w:val="000000" w:themeColor="text1"/>
                      <w:sz w:val="21"/>
                      <w:szCs w:val="21"/>
                      <w14:textFill>
                        <w14:solidFill>
                          <w14:schemeClr w14:val="tx1"/>
                        </w14:solidFill>
                      </w14:textFill>
                    </w:rPr>
                    <w:t>处理</w:t>
                  </w:r>
                  <w:r>
                    <w:rPr>
                      <w:rFonts w:hint="eastAsia" w:ascii="Times New Roman" w:hAnsi="Times New Roman" w:eastAsia="宋体"/>
                      <w:color w:val="000000" w:themeColor="text1"/>
                      <w:sz w:val="21"/>
                      <w:szCs w:val="21"/>
                      <w:lang w:eastAsia="zh-CN"/>
                      <w14:textFill>
                        <w14:solidFill>
                          <w14:schemeClr w14:val="tx1"/>
                        </w14:solidFill>
                      </w14:textFill>
                    </w:rPr>
                    <w:t>。</w:t>
                  </w:r>
                </w:p>
              </w:tc>
              <w:tc>
                <w:tcPr>
                  <w:tcW w:w="410" w:type="pct"/>
                  <w:vAlign w:val="center"/>
                </w:tcPr>
                <w:p w14:paraId="47B804C1">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符合</w:t>
                  </w:r>
                </w:p>
              </w:tc>
            </w:tr>
            <w:tr w14:paraId="2622DDB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25" w:type="pct"/>
                  <w:vAlign w:val="center"/>
                </w:tcPr>
                <w:p w14:paraId="37E2E585">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4</w:t>
                  </w:r>
                </w:p>
              </w:tc>
              <w:tc>
                <w:tcPr>
                  <w:tcW w:w="2578" w:type="pct"/>
                  <w:vAlign w:val="center"/>
                </w:tcPr>
                <w:p w14:paraId="24E2133B">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VOCs物料混合、搅拌、研磨、造粒、切片、压块等配料加工过程，以及含VOCs产品的包装（灌装、分装）过程应采用密闭设备或在密闭空间内操作，废气应排至VOCs废气收集处理系统；无法密闭的，应采取局部气体收集措施，废气应排至VOCs废气收集处理系统。</w:t>
                  </w:r>
                </w:p>
              </w:tc>
              <w:tc>
                <w:tcPr>
                  <w:tcW w:w="1586" w:type="pct"/>
                  <w:vAlign w:val="center"/>
                </w:tcPr>
                <w:p w14:paraId="100883D2">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hint="eastAsia" w:ascii="Times New Roman" w:hAnsi="Times New Roman" w:eastAsia="宋体"/>
                      <w:color w:val="000000" w:themeColor="text1"/>
                      <w:sz w:val="21"/>
                      <w:szCs w:val="21"/>
                      <w:lang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本项目产生的挥发性有机物采取二级油气回收系统进行处置</w:t>
                  </w:r>
                  <w:r>
                    <w:rPr>
                      <w:rFonts w:hint="eastAsia" w:ascii="Times New Roman" w:hAnsi="Times New Roman" w:eastAsia="宋体"/>
                      <w:color w:val="000000" w:themeColor="text1"/>
                      <w:sz w:val="21"/>
                      <w:szCs w:val="21"/>
                      <w:lang w:eastAsia="zh-CN"/>
                      <w14:textFill>
                        <w14:solidFill>
                          <w14:schemeClr w14:val="tx1"/>
                        </w14:solidFill>
                      </w14:textFill>
                    </w:rPr>
                    <w:t>。</w:t>
                  </w:r>
                </w:p>
              </w:tc>
              <w:tc>
                <w:tcPr>
                  <w:tcW w:w="410" w:type="pct"/>
                  <w:vAlign w:val="center"/>
                </w:tcPr>
                <w:p w14:paraId="31B5CA69">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符合</w:t>
                  </w:r>
                </w:p>
              </w:tc>
            </w:tr>
            <w:tr w14:paraId="2A2581C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25" w:type="pct"/>
                  <w:vAlign w:val="center"/>
                </w:tcPr>
                <w:p w14:paraId="30DD57AA">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5</w:t>
                  </w:r>
                </w:p>
              </w:tc>
              <w:tc>
                <w:tcPr>
                  <w:tcW w:w="2578" w:type="pct"/>
                  <w:vAlign w:val="center"/>
                </w:tcPr>
                <w:p w14:paraId="56D71E1C">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VOCs质量占比大于等于10%的含VOCs产品，其使用过程应采用密闭设备或在密闭空间内操作，废气应排至VOCs废气收集处理系统；无法密闭的，应采取局部气体收集措施，废气应排至VOCs废气收集处理系统。含VOCs产品的使用过程包括但不限于以下作业：</w:t>
                  </w:r>
                </w:p>
                <w:p w14:paraId="15AAFC5B">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a）调配（混合、搅拌等）；</w:t>
                  </w:r>
                </w:p>
                <w:p w14:paraId="5B9FDCEA">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b）涂装（喷涂、浸涂、淋涂、辊涂、刷涂、涂布等）；</w:t>
                  </w:r>
                </w:p>
                <w:p w14:paraId="1EEADD25">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c）印刷（平版、凸版、凹版、孔版等）；</w:t>
                  </w:r>
                </w:p>
                <w:p w14:paraId="333289A4">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d）粘结（涂胶、热压、复合、贴合等）；</w:t>
                  </w:r>
                </w:p>
                <w:p w14:paraId="34D73112">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e）印染（染色、印花、定型等）；</w:t>
                  </w:r>
                </w:p>
                <w:p w14:paraId="3E8246DF">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f）干燥（烘干、风干、晾干等）；</w:t>
                  </w:r>
                </w:p>
                <w:p w14:paraId="26E5AFDB">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g）清洗（浸洗、喷洗、淋洗、冲洗、擦洗等）。</w:t>
                  </w:r>
                </w:p>
              </w:tc>
              <w:tc>
                <w:tcPr>
                  <w:tcW w:w="1586" w:type="pct"/>
                  <w:vAlign w:val="center"/>
                </w:tcPr>
                <w:p w14:paraId="54982C0A">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本项目产生的挥发性有机物采取二级油气回收系统进行处置</w:t>
                  </w:r>
                  <w:r>
                    <w:rPr>
                      <w:rFonts w:hint="eastAsia" w:ascii="Times New Roman" w:hAnsi="Times New Roman" w:eastAsia="宋体"/>
                      <w:color w:val="000000" w:themeColor="text1"/>
                      <w:sz w:val="21"/>
                      <w:szCs w:val="21"/>
                      <w:lang w:eastAsia="zh-CN"/>
                      <w14:textFill>
                        <w14:solidFill>
                          <w14:schemeClr w14:val="tx1"/>
                        </w14:solidFill>
                      </w14:textFill>
                    </w:rPr>
                    <w:t>。</w:t>
                  </w:r>
                </w:p>
              </w:tc>
              <w:tc>
                <w:tcPr>
                  <w:tcW w:w="410" w:type="pct"/>
                  <w:vAlign w:val="center"/>
                </w:tcPr>
                <w:p w14:paraId="6CDE6069">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符合</w:t>
                  </w:r>
                </w:p>
              </w:tc>
            </w:tr>
            <w:tr w14:paraId="553B1B6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25" w:type="pct"/>
                  <w:vAlign w:val="center"/>
                </w:tcPr>
                <w:p w14:paraId="39C4BB5E">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6</w:t>
                  </w:r>
                </w:p>
              </w:tc>
              <w:tc>
                <w:tcPr>
                  <w:tcW w:w="2578" w:type="pct"/>
                  <w:vAlign w:val="center"/>
                </w:tcPr>
                <w:p w14:paraId="298C2C92">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企业应建立台账，记录含VOCs原辅材料和含VOCs产品的名称、使用量、回收量、废弃量、去向以及VOCs含量等信息。台账保存期限不少于3年。</w:t>
                  </w:r>
                </w:p>
              </w:tc>
              <w:tc>
                <w:tcPr>
                  <w:tcW w:w="1586" w:type="pct"/>
                  <w:vAlign w:val="center"/>
                </w:tcPr>
                <w:p w14:paraId="01969983">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本项目</w:t>
                  </w:r>
                  <w:r>
                    <w:rPr>
                      <w:rFonts w:ascii="Times New Roman" w:hAnsi="Times New Roman" w:eastAsia="宋体"/>
                      <w:color w:val="000000" w:themeColor="text1"/>
                      <w:sz w:val="21"/>
                      <w:szCs w:val="21"/>
                      <w14:textFill>
                        <w14:solidFill>
                          <w14:schemeClr w14:val="tx1"/>
                        </w14:solidFill>
                      </w14:textFill>
                    </w:rPr>
                    <w:t>建立台账，记录含</w:t>
                  </w:r>
                  <w:r>
                    <w:rPr>
                      <w:rFonts w:ascii="Times New Roman" w:hAnsi="Times New Roman" w:eastAsia="宋体"/>
                      <w:color w:val="000000" w:themeColor="text1"/>
                      <w:kern w:val="0"/>
                      <w:sz w:val="21"/>
                      <w:szCs w:val="21"/>
                      <w14:textFill>
                        <w14:solidFill>
                          <w14:schemeClr w14:val="tx1"/>
                        </w14:solidFill>
                      </w14:textFill>
                    </w:rPr>
                    <w:t>非甲烷总烃</w:t>
                  </w:r>
                  <w:r>
                    <w:rPr>
                      <w:rFonts w:ascii="Times New Roman" w:hAnsi="Times New Roman" w:eastAsia="宋体"/>
                      <w:color w:val="000000" w:themeColor="text1"/>
                      <w:sz w:val="21"/>
                      <w:szCs w:val="21"/>
                      <w14:textFill>
                        <w14:solidFill>
                          <w14:schemeClr w14:val="tx1"/>
                        </w14:solidFill>
                      </w14:textFill>
                    </w:rPr>
                    <w:t>原辅材料名称、使用量、回收量、废弃量、去向以及</w:t>
                  </w:r>
                  <w:r>
                    <w:rPr>
                      <w:rFonts w:ascii="Times New Roman" w:hAnsi="Times New Roman" w:eastAsia="宋体"/>
                      <w:color w:val="000000" w:themeColor="text1"/>
                      <w:kern w:val="0"/>
                      <w:sz w:val="21"/>
                      <w:szCs w:val="21"/>
                      <w14:textFill>
                        <w14:solidFill>
                          <w14:schemeClr w14:val="tx1"/>
                        </w14:solidFill>
                      </w14:textFill>
                    </w:rPr>
                    <w:t>非甲烷总烃</w:t>
                  </w:r>
                  <w:r>
                    <w:rPr>
                      <w:rFonts w:ascii="Times New Roman" w:hAnsi="Times New Roman" w:eastAsia="宋体"/>
                      <w:color w:val="000000" w:themeColor="text1"/>
                      <w:sz w:val="21"/>
                      <w:szCs w:val="21"/>
                      <w14:textFill>
                        <w14:solidFill>
                          <w14:schemeClr w14:val="tx1"/>
                        </w14:solidFill>
                      </w14:textFill>
                    </w:rPr>
                    <w:t>含量等信息。台账保存期限不少于3年。</w:t>
                  </w:r>
                </w:p>
              </w:tc>
              <w:tc>
                <w:tcPr>
                  <w:tcW w:w="410" w:type="pct"/>
                  <w:vAlign w:val="center"/>
                </w:tcPr>
                <w:p w14:paraId="098BDA1C">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符合</w:t>
                  </w:r>
                </w:p>
              </w:tc>
            </w:tr>
            <w:tr w14:paraId="3F06CE0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25" w:type="pct"/>
                  <w:vAlign w:val="center"/>
                </w:tcPr>
                <w:p w14:paraId="5AADBC80">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7</w:t>
                  </w:r>
                </w:p>
              </w:tc>
              <w:tc>
                <w:tcPr>
                  <w:tcW w:w="2578" w:type="pct"/>
                  <w:vAlign w:val="center"/>
                </w:tcPr>
                <w:p w14:paraId="500396DA">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工艺过程产生的含VOCs废料（渣、液）应按照第5章、第6章的要求进行储存、转移和输送。盛装过VOCs物料的废包装容器应加盖密闭。</w:t>
                  </w:r>
                </w:p>
              </w:tc>
              <w:tc>
                <w:tcPr>
                  <w:tcW w:w="1586" w:type="pct"/>
                  <w:vAlign w:val="center"/>
                </w:tcPr>
                <w:p w14:paraId="34BF1A43">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本</w:t>
                  </w:r>
                  <w:r>
                    <w:rPr>
                      <w:rFonts w:ascii="Times New Roman" w:hAnsi="Times New Roman" w:eastAsia="宋体"/>
                      <w:color w:val="000000" w:themeColor="text1"/>
                      <w:sz w:val="21"/>
                      <w:szCs w:val="21"/>
                      <w14:textFill>
                        <w14:solidFill>
                          <w14:schemeClr w14:val="tx1"/>
                        </w14:solidFill>
                      </w14:textFill>
                    </w:rPr>
                    <w:t>项目产生的废吸油毡、</w:t>
                  </w:r>
                  <w:r>
                    <w:rPr>
                      <w:rFonts w:hint="eastAsia" w:ascii="Times New Roman" w:hAnsi="Times New Roman" w:eastAsia="宋体"/>
                      <w:color w:val="000000" w:themeColor="text1"/>
                      <w:sz w:val="21"/>
                      <w:szCs w:val="21"/>
                      <w:lang w:val="en-US" w:eastAsia="zh-CN"/>
                      <w14:textFill>
                        <w14:solidFill>
                          <w14:schemeClr w14:val="tx1"/>
                        </w14:solidFill>
                      </w14:textFill>
                    </w:rPr>
                    <w:t>废滤芯、废含油抹布手套</w:t>
                  </w:r>
                  <w:r>
                    <w:rPr>
                      <w:rFonts w:ascii="Times New Roman" w:hAnsi="Times New Roman" w:eastAsia="宋体"/>
                      <w:color w:val="000000" w:themeColor="text1"/>
                      <w:sz w:val="21"/>
                      <w:szCs w:val="21"/>
                      <w14:textFill>
                        <w14:solidFill>
                          <w14:schemeClr w14:val="tx1"/>
                        </w14:solidFill>
                      </w14:textFill>
                    </w:rPr>
                    <w:t>采</w:t>
                  </w:r>
                  <w:r>
                    <w:rPr>
                      <w:rFonts w:hint="eastAsia" w:ascii="Times New Roman" w:hAnsi="Times New Roman" w:eastAsia="宋体"/>
                      <w:color w:val="000000" w:themeColor="text1"/>
                      <w:sz w:val="21"/>
                      <w:szCs w:val="21"/>
                      <w:lang w:val="en-US" w:eastAsia="zh-CN"/>
                      <w14:textFill>
                        <w14:solidFill>
                          <w14:schemeClr w14:val="tx1"/>
                        </w14:solidFill>
                      </w14:textFill>
                    </w:rPr>
                    <w:t>取</w:t>
                  </w:r>
                  <w:r>
                    <w:rPr>
                      <w:rFonts w:ascii="Times New Roman" w:hAnsi="Times New Roman" w:eastAsia="宋体"/>
                      <w:color w:val="000000" w:themeColor="text1"/>
                      <w:sz w:val="21"/>
                      <w:szCs w:val="21"/>
                      <w14:textFill>
                        <w14:solidFill>
                          <w14:schemeClr w14:val="tx1"/>
                        </w14:solidFill>
                      </w14:textFill>
                    </w:rPr>
                    <w:t>密闭容器暂存于危</w:t>
                  </w:r>
                  <w:r>
                    <w:rPr>
                      <w:rFonts w:hint="eastAsia" w:ascii="Times New Roman" w:hAnsi="Times New Roman" w:eastAsia="宋体"/>
                      <w:color w:val="000000" w:themeColor="text1"/>
                      <w:sz w:val="21"/>
                      <w:szCs w:val="21"/>
                      <w:lang w:val="en-US" w:eastAsia="zh-CN"/>
                      <w14:textFill>
                        <w14:solidFill>
                          <w14:schemeClr w14:val="tx1"/>
                        </w14:solidFill>
                      </w14:textFill>
                    </w:rPr>
                    <w:t>险</w:t>
                  </w:r>
                  <w:r>
                    <w:rPr>
                      <w:rFonts w:ascii="Times New Roman" w:hAnsi="Times New Roman" w:eastAsia="宋体"/>
                      <w:color w:val="000000" w:themeColor="text1"/>
                      <w:sz w:val="21"/>
                      <w:szCs w:val="21"/>
                      <w14:textFill>
                        <w14:solidFill>
                          <w14:schemeClr w14:val="tx1"/>
                        </w14:solidFill>
                      </w14:textFill>
                    </w:rPr>
                    <w:t>废</w:t>
                  </w:r>
                  <w:r>
                    <w:rPr>
                      <w:rFonts w:hint="eastAsia" w:ascii="Times New Roman" w:hAnsi="Times New Roman" w:eastAsia="宋体"/>
                      <w:color w:val="000000" w:themeColor="text1"/>
                      <w:sz w:val="21"/>
                      <w:szCs w:val="21"/>
                      <w:lang w:val="en-US" w:eastAsia="zh-CN"/>
                      <w14:textFill>
                        <w14:solidFill>
                          <w14:schemeClr w14:val="tx1"/>
                        </w14:solidFill>
                      </w14:textFill>
                    </w:rPr>
                    <w:t>物暂存箱</w:t>
                  </w:r>
                  <w:r>
                    <w:rPr>
                      <w:rFonts w:ascii="Times New Roman" w:hAnsi="Times New Roman" w:eastAsia="宋体"/>
                      <w:color w:val="000000" w:themeColor="text1"/>
                      <w:sz w:val="21"/>
                      <w:szCs w:val="21"/>
                      <w14:textFill>
                        <w14:solidFill>
                          <w14:schemeClr w14:val="tx1"/>
                        </w14:solidFill>
                      </w14:textFill>
                    </w:rPr>
                    <w:t>内。</w:t>
                  </w:r>
                </w:p>
              </w:tc>
              <w:tc>
                <w:tcPr>
                  <w:tcW w:w="410" w:type="pct"/>
                  <w:vAlign w:val="center"/>
                </w:tcPr>
                <w:p w14:paraId="225F59DA">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符合</w:t>
                  </w:r>
                </w:p>
              </w:tc>
            </w:tr>
            <w:tr w14:paraId="7F8DC5A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25" w:type="pct"/>
                  <w:vAlign w:val="center"/>
                </w:tcPr>
                <w:p w14:paraId="28975D68">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8</w:t>
                  </w:r>
                </w:p>
              </w:tc>
              <w:tc>
                <w:tcPr>
                  <w:tcW w:w="2578" w:type="pct"/>
                  <w:vAlign w:val="center"/>
                </w:tcPr>
                <w:p w14:paraId="4EE3346F">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对于工艺过程排放的含VOCs废水，集输系统应符合下列规定之一：</w:t>
                  </w:r>
                </w:p>
                <w:p w14:paraId="7D5F6555">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a）采用密闭管道输送，接入口和排出口采取与环境空气隔离的措施；</w:t>
                  </w:r>
                </w:p>
                <w:p w14:paraId="4FBF6B02">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b）采用沟渠输送，若敞开液面上方100mm处VOCs检测浓度≥200µmol/mol，应加盖密闭，接入口和排出口采取与环境空气隔离的措施。</w:t>
                  </w:r>
                </w:p>
              </w:tc>
              <w:tc>
                <w:tcPr>
                  <w:tcW w:w="1586" w:type="pct"/>
                  <w:vAlign w:val="center"/>
                </w:tcPr>
                <w:p w14:paraId="7D7912C0">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本项目</w:t>
                  </w:r>
                  <w:r>
                    <w:rPr>
                      <w:rFonts w:hint="eastAsia" w:ascii="Times New Roman" w:hAnsi="Times New Roman" w:eastAsia="宋体"/>
                      <w:color w:val="000000" w:themeColor="text1"/>
                      <w:sz w:val="21"/>
                      <w:szCs w:val="21"/>
                      <w:lang w:val="en-US" w:eastAsia="zh-CN"/>
                      <w14:textFill>
                        <w14:solidFill>
                          <w14:schemeClr w14:val="tx1"/>
                        </w14:solidFill>
                      </w14:textFill>
                    </w:rPr>
                    <w:t>运营期</w:t>
                  </w:r>
                  <w:r>
                    <w:rPr>
                      <w:rFonts w:hint="eastAsia" w:ascii="Times New Roman" w:hAnsi="Times New Roman" w:eastAsia="宋体"/>
                      <w:color w:val="000000" w:themeColor="text1"/>
                      <w:sz w:val="21"/>
                      <w:szCs w:val="21"/>
                      <w14:textFill>
                        <w14:solidFill>
                          <w14:schemeClr w14:val="tx1"/>
                        </w14:solidFill>
                      </w14:textFill>
                    </w:rPr>
                    <w:t>废水主要为生活污水</w:t>
                  </w:r>
                  <w:r>
                    <w:rPr>
                      <w:rFonts w:hint="eastAsia" w:ascii="Times New Roman" w:hAnsi="Times New Roman" w:eastAsia="宋体"/>
                      <w:color w:val="000000" w:themeColor="text1"/>
                      <w:sz w:val="21"/>
                      <w:szCs w:val="21"/>
                      <w:lang w:eastAsia="zh-CN"/>
                      <w14:textFill>
                        <w14:solidFill>
                          <w14:schemeClr w14:val="tx1"/>
                        </w14:solidFill>
                      </w14:textFill>
                    </w:rPr>
                    <w:t>、</w:t>
                  </w:r>
                  <w:r>
                    <w:rPr>
                      <w:rFonts w:hint="eastAsia" w:ascii="Times New Roman" w:hAnsi="Times New Roman" w:eastAsia="宋体"/>
                      <w:color w:val="000000" w:themeColor="text1"/>
                      <w:sz w:val="21"/>
                      <w:szCs w:val="21"/>
                      <w14:textFill>
                        <w14:solidFill>
                          <w14:schemeClr w14:val="tx1"/>
                        </w14:solidFill>
                      </w14:textFill>
                    </w:rPr>
                    <w:t>地面冲洗废水</w:t>
                  </w:r>
                  <w:r>
                    <w:rPr>
                      <w:rFonts w:hint="eastAsia" w:ascii="Times New Roman" w:hAnsi="Times New Roman" w:eastAsia="宋体"/>
                      <w:color w:val="000000" w:themeColor="text1"/>
                      <w:sz w:val="21"/>
                      <w:szCs w:val="21"/>
                      <w:lang w:val="en-US" w:eastAsia="zh-CN"/>
                      <w14:textFill>
                        <w14:solidFill>
                          <w14:schemeClr w14:val="tx1"/>
                        </w14:solidFill>
                      </w14:textFill>
                    </w:rPr>
                    <w:t>和</w:t>
                  </w:r>
                  <w:r>
                    <w:rPr>
                      <w:rFonts w:hint="eastAsia" w:ascii="Times New Roman" w:hAnsi="Times New Roman" w:eastAsia="宋体"/>
                      <w:color w:val="000000" w:themeColor="text1"/>
                      <w:sz w:val="21"/>
                      <w:szCs w:val="21"/>
                      <w14:textFill>
                        <w14:solidFill>
                          <w14:schemeClr w14:val="tx1"/>
                        </w14:solidFill>
                      </w14:textFill>
                    </w:rPr>
                    <w:t>洗车废水，</w:t>
                  </w:r>
                  <w:r>
                    <w:rPr>
                      <w:rFonts w:ascii="Times New Roman" w:hAnsi="Times New Roman" w:eastAsia="宋体"/>
                      <w:color w:val="000000" w:themeColor="text1"/>
                      <w:sz w:val="21"/>
                      <w:szCs w:val="21"/>
                      <w14:textFill>
                        <w14:solidFill>
                          <w14:schemeClr w14:val="tx1"/>
                        </w14:solidFill>
                      </w14:textFill>
                    </w:rPr>
                    <w:t>不会产生含大量</w:t>
                  </w:r>
                  <w:r>
                    <w:rPr>
                      <w:rFonts w:ascii="Times New Roman" w:hAnsi="Times New Roman" w:eastAsia="宋体"/>
                      <w:color w:val="000000" w:themeColor="text1"/>
                      <w:kern w:val="0"/>
                      <w:sz w:val="21"/>
                      <w:szCs w:val="21"/>
                      <w14:textFill>
                        <w14:solidFill>
                          <w14:schemeClr w14:val="tx1"/>
                        </w14:solidFill>
                      </w14:textFill>
                    </w:rPr>
                    <w:t>非甲烷总烃</w:t>
                  </w:r>
                  <w:r>
                    <w:rPr>
                      <w:rFonts w:ascii="Times New Roman" w:hAnsi="Times New Roman" w:eastAsia="宋体"/>
                      <w:color w:val="000000" w:themeColor="text1"/>
                      <w:sz w:val="21"/>
                      <w:szCs w:val="21"/>
                      <w14:textFill>
                        <w14:solidFill>
                          <w14:schemeClr w14:val="tx1"/>
                        </w14:solidFill>
                      </w14:textFill>
                    </w:rPr>
                    <w:t>废水</w:t>
                  </w:r>
                  <w:r>
                    <w:rPr>
                      <w:rFonts w:hint="eastAsia" w:ascii="Times New Roman" w:hAnsi="Times New Roman" w:eastAsia="宋体"/>
                      <w:color w:val="000000" w:themeColor="text1"/>
                      <w:sz w:val="21"/>
                      <w:szCs w:val="21"/>
                      <w14:textFill>
                        <w14:solidFill>
                          <w14:schemeClr w14:val="tx1"/>
                        </w14:solidFill>
                      </w14:textFill>
                    </w:rPr>
                    <w:t>。</w:t>
                  </w:r>
                </w:p>
              </w:tc>
              <w:tc>
                <w:tcPr>
                  <w:tcW w:w="410" w:type="pct"/>
                  <w:vAlign w:val="center"/>
                </w:tcPr>
                <w:p w14:paraId="28D14697">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符合</w:t>
                  </w:r>
                </w:p>
              </w:tc>
            </w:tr>
            <w:tr w14:paraId="1F87D3E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25" w:type="pct"/>
                  <w:vAlign w:val="center"/>
                </w:tcPr>
                <w:p w14:paraId="204EE282">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9</w:t>
                  </w:r>
                </w:p>
              </w:tc>
              <w:tc>
                <w:tcPr>
                  <w:tcW w:w="2578" w:type="pct"/>
                  <w:vAlign w:val="center"/>
                </w:tcPr>
                <w:p w14:paraId="3F2015F4">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VOCs废气收集处理系统应与生产工艺设备同步运行。VOCs废气收集处理系统发生故障或检修时，对应的生产工艺设备应停止运行，待检修完毕后同步投入使用；生产工艺设备不能停止运行或不能及时停止运行的，应设置废气应急处理设施或采取其他替代措施。</w:t>
                  </w:r>
                </w:p>
              </w:tc>
              <w:tc>
                <w:tcPr>
                  <w:tcW w:w="1586" w:type="pct"/>
                  <w:vAlign w:val="center"/>
                </w:tcPr>
                <w:p w14:paraId="4CF6F7FF">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hint="eastAsia" w:ascii="Times New Roman" w:hAnsi="Times New Roman" w:eastAsia="宋体"/>
                      <w:color w:val="000000" w:themeColor="text1"/>
                      <w:sz w:val="21"/>
                      <w:szCs w:val="21"/>
                      <w:lang w:eastAsia="zh-CN"/>
                      <w14:textFill>
                        <w14:solidFill>
                          <w14:schemeClr w14:val="tx1"/>
                        </w14:solidFill>
                      </w14:textFill>
                    </w:rPr>
                  </w:pPr>
                  <w:r>
                    <w:rPr>
                      <w:rFonts w:hint="eastAsia" w:ascii="Times New Roman" w:hAnsi="Times New Roman" w:eastAsia="宋体"/>
                      <w:color w:val="000000" w:themeColor="text1"/>
                      <w:kern w:val="0"/>
                      <w:sz w:val="21"/>
                      <w:szCs w:val="21"/>
                      <w:lang w:val="en-US" w:eastAsia="zh-CN"/>
                      <w14:textFill>
                        <w14:solidFill>
                          <w14:schemeClr w14:val="tx1"/>
                        </w14:solidFill>
                      </w14:textFill>
                    </w:rPr>
                    <w:t>本项目设置二级油气回收系统</w:t>
                  </w:r>
                  <w:r>
                    <w:rPr>
                      <w:rFonts w:ascii="Times New Roman" w:hAnsi="Times New Roman" w:eastAsia="宋体"/>
                      <w:color w:val="000000" w:themeColor="text1"/>
                      <w:sz w:val="21"/>
                      <w:szCs w:val="21"/>
                      <w14:textFill>
                        <w14:solidFill>
                          <w14:schemeClr w14:val="tx1"/>
                        </w14:solidFill>
                      </w14:textFill>
                    </w:rPr>
                    <w:t>与生产工艺设备同步运行</w:t>
                  </w:r>
                  <w:r>
                    <w:rPr>
                      <w:rFonts w:hint="eastAsia" w:ascii="Times New Roman" w:hAnsi="Times New Roman" w:eastAsia="宋体"/>
                      <w:color w:val="000000" w:themeColor="text1"/>
                      <w:sz w:val="21"/>
                      <w:szCs w:val="21"/>
                      <w:lang w:eastAsia="zh-CN"/>
                      <w14:textFill>
                        <w14:solidFill>
                          <w14:schemeClr w14:val="tx1"/>
                        </w14:solidFill>
                      </w14:textFill>
                    </w:rPr>
                    <w:t>。</w:t>
                  </w:r>
                </w:p>
              </w:tc>
              <w:tc>
                <w:tcPr>
                  <w:tcW w:w="410" w:type="pct"/>
                  <w:vAlign w:val="center"/>
                </w:tcPr>
                <w:p w14:paraId="3994E0FB">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符合</w:t>
                  </w:r>
                </w:p>
              </w:tc>
            </w:tr>
            <w:tr w14:paraId="6B82615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25" w:type="pct"/>
                  <w:vAlign w:val="center"/>
                </w:tcPr>
                <w:p w14:paraId="5B1DD403">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10</w:t>
                  </w:r>
                </w:p>
              </w:tc>
              <w:tc>
                <w:tcPr>
                  <w:tcW w:w="2578" w:type="pct"/>
                  <w:vAlign w:val="center"/>
                </w:tcPr>
                <w:p w14:paraId="55286F2D">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废气收集系统排风罩（集气罩）的设置应符合GB/T16758的规定。采用外部排风罩的，应按GB/T16758、AQ/T4274</w:t>
                  </w:r>
                  <w:r>
                    <w:rPr>
                      <w:rFonts w:hint="eastAsia" w:ascii="Times New Roman" w:hAnsi="Times New Roman" w:eastAsia="宋体"/>
                      <w:color w:val="000000" w:themeColor="text1"/>
                      <w:sz w:val="21"/>
                      <w:szCs w:val="21"/>
                      <w:lang w:val="en-US" w:eastAsia="zh-CN"/>
                      <w14:textFill>
                        <w14:solidFill>
                          <w14:schemeClr w14:val="tx1"/>
                        </w14:solidFill>
                      </w14:textFill>
                    </w:rPr>
                    <w:t>-</w:t>
                  </w:r>
                  <w:r>
                    <w:rPr>
                      <w:rFonts w:ascii="Times New Roman" w:hAnsi="Times New Roman" w:eastAsia="宋体"/>
                      <w:color w:val="000000" w:themeColor="text1"/>
                      <w:sz w:val="21"/>
                      <w:szCs w:val="21"/>
                      <w14:textFill>
                        <w14:solidFill>
                          <w14:schemeClr w14:val="tx1"/>
                        </w14:solidFill>
                      </w14:textFill>
                    </w:rPr>
                    <w:t>2016规定的方法测量控制风速，测量点应选取在距排风罩开口面最远处的VOCs无组织排放位置，控制风速不应低于0.3m/s（行业相关规范有具体规定的，按相关规定执行）。</w:t>
                  </w:r>
                </w:p>
                <w:p w14:paraId="0B3DF634">
                  <w:pPr>
                    <w:pStyle w:val="61"/>
                    <w:keepNext w:val="0"/>
                    <w:keepLines w:val="0"/>
                    <w:pageBreakBefore w:val="0"/>
                    <w:widowControl w:val="0"/>
                    <w:kinsoku/>
                    <w:wordWrap w:val="0"/>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废气收集系统的输送管道应密闭。废气收集系统应在负压下运行，若处于正压状态，应对输送管道组件的密封点进行泄漏检测，泄漏检测值不应超过500µmol/mol，亦不应有感官可察觉泄漏。泄漏检测频次、修复与记录的要求按照第8章规定执行。</w:t>
                  </w:r>
                </w:p>
              </w:tc>
              <w:tc>
                <w:tcPr>
                  <w:tcW w:w="1586" w:type="pct"/>
                  <w:vAlign w:val="center"/>
                </w:tcPr>
                <w:p w14:paraId="631AEF19">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hint="eastAsia" w:ascii="Times New Roman" w:hAnsi="Times New Roman" w:eastAsia="宋体"/>
                      <w:color w:val="000000" w:themeColor="text1"/>
                      <w:sz w:val="21"/>
                      <w:szCs w:val="21"/>
                      <w:lang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本项目</w:t>
                  </w:r>
                  <w:r>
                    <w:rPr>
                      <w:rFonts w:hint="eastAsia" w:ascii="Times New Roman" w:hAnsi="Times New Roman" w:eastAsia="宋体"/>
                      <w:color w:val="000000" w:themeColor="text1"/>
                      <w:kern w:val="0"/>
                      <w:sz w:val="21"/>
                      <w:szCs w:val="21"/>
                      <w:lang w:val="en-US" w:eastAsia="zh-CN"/>
                      <w14:textFill>
                        <w14:solidFill>
                          <w14:schemeClr w14:val="tx1"/>
                        </w14:solidFill>
                      </w14:textFill>
                    </w:rPr>
                    <w:t>设置二级油气回收系统在</w:t>
                  </w:r>
                  <w:r>
                    <w:rPr>
                      <w:rFonts w:ascii="Times New Roman" w:hAnsi="Times New Roman" w:eastAsia="宋体"/>
                      <w:color w:val="000000" w:themeColor="text1"/>
                      <w:sz w:val="21"/>
                      <w:szCs w:val="21"/>
                      <w14:textFill>
                        <w14:solidFill>
                          <w14:schemeClr w14:val="tx1"/>
                        </w14:solidFill>
                      </w14:textFill>
                    </w:rPr>
                    <w:t>密闭空间运行</w:t>
                  </w:r>
                  <w:r>
                    <w:rPr>
                      <w:rFonts w:hint="eastAsia" w:ascii="Times New Roman" w:hAnsi="Times New Roman" w:eastAsia="宋体"/>
                      <w:color w:val="000000" w:themeColor="text1"/>
                      <w:sz w:val="21"/>
                      <w:szCs w:val="21"/>
                      <w:lang w:eastAsia="zh-CN"/>
                      <w14:textFill>
                        <w14:solidFill>
                          <w14:schemeClr w14:val="tx1"/>
                        </w14:solidFill>
                      </w14:textFill>
                    </w:rPr>
                    <w:t>。</w:t>
                  </w:r>
                </w:p>
              </w:tc>
              <w:tc>
                <w:tcPr>
                  <w:tcW w:w="410" w:type="pct"/>
                  <w:vAlign w:val="center"/>
                </w:tcPr>
                <w:p w14:paraId="1B53737E">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符合</w:t>
                  </w:r>
                </w:p>
              </w:tc>
            </w:tr>
            <w:tr w14:paraId="560CC24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25" w:type="pct"/>
                  <w:vAlign w:val="center"/>
                </w:tcPr>
                <w:p w14:paraId="6A129085">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11</w:t>
                  </w:r>
                </w:p>
              </w:tc>
              <w:tc>
                <w:tcPr>
                  <w:tcW w:w="2578" w:type="pct"/>
                  <w:vAlign w:val="center"/>
                </w:tcPr>
                <w:p w14:paraId="5BBE5BD6">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企业应建立台账，记录废气收集系统、VOCs处理设施的主要运行和维护信息，如运行时间、废气处理量、操作温度、停留时间、吸附剂再生/更换周期和更换量、催化剂更换周期和更换量、吸收液pH值等关键运行参数。台账保存期限不少于3年。</w:t>
                  </w:r>
                </w:p>
              </w:tc>
              <w:tc>
                <w:tcPr>
                  <w:tcW w:w="1586" w:type="pct"/>
                  <w:vAlign w:val="center"/>
                </w:tcPr>
                <w:p w14:paraId="30D61661">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本项目</w:t>
                  </w:r>
                  <w:r>
                    <w:rPr>
                      <w:rFonts w:ascii="Times New Roman" w:hAnsi="Times New Roman" w:eastAsia="宋体"/>
                      <w:color w:val="000000" w:themeColor="text1"/>
                      <w:sz w:val="21"/>
                      <w:szCs w:val="21"/>
                      <w14:textFill>
                        <w14:solidFill>
                          <w14:schemeClr w14:val="tx1"/>
                        </w14:solidFill>
                      </w14:textFill>
                    </w:rPr>
                    <w:t>建立台账，记录</w:t>
                  </w:r>
                  <w:r>
                    <w:rPr>
                      <w:rFonts w:hint="eastAsia" w:ascii="Times New Roman" w:hAnsi="Times New Roman" w:eastAsia="宋体"/>
                      <w:color w:val="000000" w:themeColor="text1"/>
                      <w:sz w:val="21"/>
                      <w:szCs w:val="21"/>
                      <w:lang w:val="en-US" w:eastAsia="zh-CN"/>
                      <w14:textFill>
                        <w14:solidFill>
                          <w14:schemeClr w14:val="tx1"/>
                        </w14:solidFill>
                      </w14:textFill>
                    </w:rPr>
                    <w:t>二级油气回收系统</w:t>
                  </w:r>
                  <w:r>
                    <w:rPr>
                      <w:rFonts w:ascii="Times New Roman" w:hAnsi="Times New Roman" w:eastAsia="宋体"/>
                      <w:color w:val="000000" w:themeColor="text1"/>
                      <w:sz w:val="21"/>
                      <w:szCs w:val="21"/>
                      <w14:textFill>
                        <w14:solidFill>
                          <w14:schemeClr w14:val="tx1"/>
                        </w14:solidFill>
                      </w14:textFill>
                    </w:rPr>
                    <w:t>的主要运行和维护信息</w:t>
                  </w:r>
                  <w:r>
                    <w:rPr>
                      <w:rFonts w:hint="eastAsia" w:ascii="Times New Roman" w:hAnsi="Times New Roman" w:eastAsia="宋体"/>
                      <w:color w:val="000000" w:themeColor="text1"/>
                      <w:sz w:val="21"/>
                      <w:szCs w:val="21"/>
                      <w:lang w:eastAsia="zh-CN"/>
                      <w14:textFill>
                        <w14:solidFill>
                          <w14:schemeClr w14:val="tx1"/>
                        </w14:solidFill>
                      </w14:textFill>
                    </w:rPr>
                    <w:t>，</w:t>
                  </w:r>
                  <w:r>
                    <w:rPr>
                      <w:rFonts w:ascii="Times New Roman" w:hAnsi="Times New Roman" w:eastAsia="宋体"/>
                      <w:color w:val="000000" w:themeColor="text1"/>
                      <w:sz w:val="21"/>
                      <w:szCs w:val="21"/>
                      <w14:textFill>
                        <w14:solidFill>
                          <w14:schemeClr w14:val="tx1"/>
                        </w14:solidFill>
                      </w14:textFill>
                    </w:rPr>
                    <w:t>台账保存期限不少于3年。</w:t>
                  </w:r>
                </w:p>
              </w:tc>
              <w:tc>
                <w:tcPr>
                  <w:tcW w:w="410" w:type="pct"/>
                  <w:vAlign w:val="center"/>
                </w:tcPr>
                <w:p w14:paraId="202567D3">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符合</w:t>
                  </w:r>
                </w:p>
              </w:tc>
            </w:tr>
          </w:tbl>
          <w:p w14:paraId="246695E0">
            <w:pPr>
              <w:keepNext w:val="0"/>
              <w:keepLines w:val="0"/>
              <w:pageBreakBefore w:val="0"/>
              <w:widowControl w:val="0"/>
              <w:kinsoku/>
              <w:wordWrap/>
              <w:overflowPunct/>
              <w:topLinePunct w:val="0"/>
              <w:autoSpaceDE w:val="0"/>
              <w:autoSpaceDN w:val="0"/>
              <w:bidi w:val="0"/>
              <w:adjustRightInd/>
              <w:snapToGrid/>
              <w:ind w:firstLine="480"/>
              <w:textAlignment w:val="auto"/>
              <w:rPr>
                <w:color w:val="FF0000"/>
              </w:rPr>
            </w:pPr>
            <w:r>
              <w:rPr>
                <w:rFonts w:hint="eastAsia" w:ascii="Times New Roman" w:hAnsi="Times New Roman" w:eastAsia="宋体" w:cs="宋体"/>
                <w:color w:val="000000" w:themeColor="text1"/>
                <w:kern w:val="0"/>
                <w:sz w:val="24"/>
                <w:szCs w:val="24"/>
                <w14:textFill>
                  <w14:solidFill>
                    <w14:schemeClr w14:val="tx1"/>
                  </w14:solidFill>
                </w14:textFill>
              </w:rPr>
              <w:t>综上所述，</w:t>
            </w:r>
            <w:r>
              <w:rPr>
                <w:rFonts w:hint="eastAsia" w:ascii="Times New Roman" w:hAnsi="Times New Roman" w:eastAsia="宋体" w:cs="宋体"/>
                <w:color w:val="000000" w:themeColor="text1"/>
                <w:kern w:val="0"/>
                <w:sz w:val="24"/>
                <w:szCs w:val="24"/>
                <w:lang w:val="en-US" w:eastAsia="zh-CN"/>
                <w14:textFill>
                  <w14:solidFill>
                    <w14:schemeClr w14:val="tx1"/>
                  </w14:solidFill>
                </w14:textFill>
              </w:rPr>
              <w:t>本</w:t>
            </w:r>
            <w:r>
              <w:rPr>
                <w:rFonts w:hint="eastAsia" w:ascii="Times New Roman" w:hAnsi="Times New Roman" w:eastAsia="宋体" w:cs="宋体"/>
                <w:color w:val="000000" w:themeColor="text1"/>
                <w:kern w:val="0"/>
                <w:sz w:val="24"/>
                <w:szCs w:val="24"/>
                <w14:textFill>
                  <w14:solidFill>
                    <w14:schemeClr w14:val="tx1"/>
                  </w14:solidFill>
                </w14:textFill>
              </w:rPr>
              <w:t>项目</w:t>
            </w:r>
            <w:r>
              <w:rPr>
                <w:rFonts w:hint="eastAsia" w:ascii="Times New Roman" w:hAnsi="Times New Roman" w:eastAsia="宋体" w:cs="宋体"/>
                <w:color w:val="000000" w:themeColor="text1"/>
                <w:kern w:val="0"/>
                <w:sz w:val="24"/>
                <w:szCs w:val="24"/>
                <w:lang w:val="en-US" w:eastAsia="zh-CN"/>
                <w14:textFill>
                  <w14:solidFill>
                    <w14:schemeClr w14:val="tx1"/>
                  </w14:solidFill>
                </w14:textFill>
              </w:rPr>
              <w:t>建设与</w:t>
            </w:r>
            <w:r>
              <w:rPr>
                <w:rFonts w:ascii="Times New Roman" w:hAnsi="Times New Roman" w:eastAsia="宋体" w:cs="宋体"/>
                <w:color w:val="000000" w:themeColor="text1"/>
                <w:kern w:val="0"/>
                <w:sz w:val="24"/>
                <w:szCs w:val="24"/>
                <w14:textFill>
                  <w14:solidFill>
                    <w14:schemeClr w14:val="tx1"/>
                  </w14:solidFill>
                </w14:textFill>
              </w:rPr>
              <w:t>《挥发性有机物无组织排放控制标准》</w:t>
            </w:r>
            <w:r>
              <w:rPr>
                <w:rFonts w:hint="eastAsia" w:ascii="Times New Roman" w:hAnsi="Times New Roman" w:eastAsia="宋体" w:cs="宋体"/>
                <w:color w:val="000000" w:themeColor="text1"/>
                <w:kern w:val="0"/>
                <w:sz w:val="24"/>
                <w:szCs w:val="24"/>
                <w14:textFill>
                  <w14:solidFill>
                    <w14:schemeClr w14:val="tx1"/>
                  </w14:solidFill>
                </w14:textFill>
              </w:rPr>
              <w:t>（GB37822-2019）</w:t>
            </w:r>
            <w:r>
              <w:rPr>
                <w:rFonts w:hint="eastAsia" w:ascii="Times New Roman" w:hAnsi="Times New Roman" w:eastAsia="宋体" w:cs="宋体"/>
                <w:color w:val="000000" w:themeColor="text1"/>
                <w:kern w:val="0"/>
                <w:sz w:val="24"/>
                <w:szCs w:val="24"/>
                <w:lang w:val="en-US" w:eastAsia="zh-CN"/>
                <w14:textFill>
                  <w14:solidFill>
                    <w14:schemeClr w14:val="tx1"/>
                  </w14:solidFill>
                </w14:textFill>
              </w:rPr>
              <w:t>相符</w:t>
            </w:r>
            <w:r>
              <w:rPr>
                <w:rFonts w:ascii="Times New Roman" w:hAnsi="Times New Roman" w:eastAsia="宋体" w:cs="宋体"/>
                <w:color w:val="000000" w:themeColor="text1"/>
                <w:kern w:val="0"/>
                <w:sz w:val="24"/>
                <w:szCs w:val="24"/>
                <w14:textFill>
                  <w14:solidFill>
                    <w14:schemeClr w14:val="tx1"/>
                  </w14:solidFill>
                </w14:textFill>
              </w:rPr>
              <w:t>。</w:t>
            </w:r>
          </w:p>
          <w:p w14:paraId="4D465A85">
            <w:pPr>
              <w:pStyle w:val="54"/>
              <w:keepNext w:val="0"/>
              <w:keepLines w:val="0"/>
              <w:pageBreakBefore w:val="0"/>
              <w:widowControl w:val="0"/>
              <w:numPr>
                <w:ilvl w:val="0"/>
                <w:numId w:val="0"/>
              </w:numPr>
              <w:kinsoku/>
              <w:wordWrap/>
              <w:overflowPunct/>
              <w:topLinePunct w:val="0"/>
              <w:autoSpaceDE/>
              <w:autoSpaceDN/>
              <w:bidi w:val="0"/>
              <w:adjustRightInd/>
              <w:snapToGrid/>
              <w:ind w:left="0" w:leftChars="0" w:firstLine="482" w:firstLineChars="200"/>
              <w:textAlignment w:val="auto"/>
              <w:rPr>
                <w:rFonts w:hint="default"/>
                <w:b/>
                <w:color w:val="FF0000"/>
                <w:lang w:val="en-US" w:eastAsia="zh-CN"/>
              </w:rPr>
            </w:pPr>
            <w:r>
              <w:rPr>
                <w:rFonts w:hint="eastAsia"/>
                <w:b/>
                <w:color w:val="FF0000"/>
                <w:lang w:val="en-US" w:eastAsia="zh-CN"/>
              </w:rPr>
              <w:t>13、项目与《挥发性有机物（VOCs）污染防治技术政策》相符性分析</w:t>
            </w:r>
          </w:p>
          <w:p w14:paraId="6A3B3A7A">
            <w:pPr>
              <w:pStyle w:val="111"/>
              <w:keepNext w:val="0"/>
              <w:keepLines w:val="0"/>
              <w:pageBreakBefore w:val="0"/>
              <w:widowControl/>
              <w:kinsoku/>
              <w:wordWrap/>
              <w:overflowPunct w:val="0"/>
              <w:topLinePunct w:val="0"/>
              <w:autoSpaceDE w:val="0"/>
              <w:autoSpaceDN w:val="0"/>
              <w:bidi w:val="0"/>
              <w:adjustRightInd/>
              <w:snapToGrid/>
              <w:spacing w:before="0" w:after="0"/>
              <w:ind w:right="0"/>
              <w:textAlignment w:val="baseline"/>
              <w:rPr>
                <w:rFonts w:ascii="Times New Roman" w:eastAsia="宋体"/>
                <w:color w:val="FF0000"/>
              </w:rPr>
            </w:pPr>
            <w:r>
              <w:rPr>
                <w:rFonts w:ascii="Times New Roman" w:eastAsia="宋体"/>
                <w:color w:val="FF0000"/>
              </w:rPr>
              <w:t>表1-1</w:t>
            </w:r>
            <w:r>
              <w:rPr>
                <w:rFonts w:hint="eastAsia" w:ascii="Times New Roman" w:eastAsia="宋体"/>
                <w:color w:val="FF0000"/>
                <w:lang w:val="en-US" w:eastAsia="zh-CN"/>
              </w:rPr>
              <w:t>3</w:t>
            </w:r>
            <w:r>
              <w:rPr>
                <w:rFonts w:ascii="Times New Roman" w:eastAsia="宋体"/>
                <w:color w:val="FF0000"/>
              </w:rPr>
              <w:t xml:space="preserve">  </w:t>
            </w:r>
            <w:r>
              <w:rPr>
                <w:rFonts w:hint="eastAsia" w:ascii="Times New Roman" w:eastAsia="宋体"/>
                <w:color w:val="FF0000"/>
                <w:lang w:val="en-US" w:eastAsia="zh-CN"/>
              </w:rPr>
              <w:t xml:space="preserve"> 项目与《挥发性有机物（VOCs）污染防治技术政策》相符性分析</w:t>
            </w:r>
          </w:p>
          <w:tbl>
            <w:tblPr>
              <w:tblStyle w:val="35"/>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84"/>
              <w:gridCol w:w="4145"/>
              <w:gridCol w:w="2550"/>
              <w:gridCol w:w="660"/>
            </w:tblGrid>
            <w:tr w14:paraId="3875EC3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25" w:type="pct"/>
                  <w:vAlign w:val="center"/>
                </w:tcPr>
                <w:p w14:paraId="7C850E3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b/>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序号</w:t>
                  </w:r>
                </w:p>
              </w:tc>
              <w:tc>
                <w:tcPr>
                  <w:tcW w:w="2578" w:type="pct"/>
                  <w:vAlign w:val="center"/>
                </w:tcPr>
                <w:p w14:paraId="00B92D1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相关要求</w:t>
                  </w:r>
                </w:p>
              </w:tc>
              <w:tc>
                <w:tcPr>
                  <w:tcW w:w="1586" w:type="pct"/>
                  <w:vAlign w:val="center"/>
                </w:tcPr>
                <w:p w14:paraId="18A5004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b/>
                      <w:color w:val="000000" w:themeColor="text1"/>
                      <w:sz w:val="21"/>
                      <w:szCs w:val="21"/>
                      <w14:textFill>
                        <w14:solidFill>
                          <w14:schemeClr w14:val="tx1"/>
                        </w14:solidFill>
                      </w14:textFill>
                    </w:rPr>
                  </w:pP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相符性</w:t>
                  </w:r>
                  <w:r>
                    <w:rPr>
                      <w:rFonts w:ascii="Times New Roman" w:hAnsi="Times New Roman" w:eastAsia="宋体" w:cs="Times New Roman"/>
                      <w:b/>
                      <w:color w:val="000000" w:themeColor="text1"/>
                      <w:sz w:val="21"/>
                      <w:szCs w:val="21"/>
                      <w14:textFill>
                        <w14:solidFill>
                          <w14:schemeClr w14:val="tx1"/>
                        </w14:solidFill>
                      </w14:textFill>
                    </w:rPr>
                    <w:t>分析</w:t>
                  </w:r>
                </w:p>
              </w:tc>
              <w:tc>
                <w:tcPr>
                  <w:tcW w:w="410" w:type="pct"/>
                  <w:vAlign w:val="center"/>
                </w:tcPr>
                <w:p w14:paraId="4661D10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b/>
                      <w:color w:val="000000" w:themeColor="text1"/>
                      <w:sz w:val="21"/>
                      <w:szCs w:val="21"/>
                      <w:lang w:eastAsia="zh-CN"/>
                      <w14:textFill>
                        <w14:solidFill>
                          <w14:schemeClr w14:val="tx1"/>
                        </w14:solidFill>
                      </w14:textFill>
                    </w:rPr>
                  </w:pP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结论</w:t>
                  </w:r>
                </w:p>
              </w:tc>
            </w:tr>
            <w:tr w14:paraId="1BA6220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25" w:type="pct"/>
                  <w:vAlign w:val="center"/>
                </w:tcPr>
                <w:p w14:paraId="249C0323">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1</w:t>
                  </w:r>
                </w:p>
              </w:tc>
              <w:tc>
                <w:tcPr>
                  <w:tcW w:w="2578" w:type="pct"/>
                  <w:vAlign w:val="center"/>
                </w:tcPr>
                <w:p w14:paraId="3CAC7443">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储油库、加油站和油罐车宜配备相应的油气收集系统，储油库、加油站宜配备相应的油气回收系统。</w:t>
                  </w:r>
                </w:p>
              </w:tc>
              <w:tc>
                <w:tcPr>
                  <w:tcW w:w="1586" w:type="pct"/>
                  <w:vAlign w:val="center"/>
                </w:tcPr>
                <w:p w14:paraId="333A56FC">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hint="eastAsia" w:ascii="Times New Roman" w:hAnsi="Times New Roman" w:eastAsia="宋体"/>
                      <w:color w:val="000000" w:themeColor="text1"/>
                      <w:sz w:val="21"/>
                      <w:szCs w:val="21"/>
                      <w:lang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本</w:t>
                  </w:r>
                  <w:r>
                    <w:rPr>
                      <w:rFonts w:ascii="Times New Roman" w:hAnsi="Times New Roman" w:eastAsia="宋体"/>
                      <w:color w:val="000000" w:themeColor="text1"/>
                      <w:sz w:val="21"/>
                      <w:szCs w:val="21"/>
                      <w14:textFill>
                        <w14:solidFill>
                          <w14:schemeClr w14:val="tx1"/>
                        </w14:solidFill>
                      </w14:textFill>
                    </w:rPr>
                    <w:t>项目</w:t>
                  </w:r>
                  <w:r>
                    <w:rPr>
                      <w:rFonts w:hint="eastAsia" w:ascii="Times New Roman" w:hAnsi="Times New Roman" w:eastAsia="宋体"/>
                      <w:color w:val="000000" w:themeColor="text1"/>
                      <w:sz w:val="21"/>
                      <w:szCs w:val="21"/>
                      <w:lang w:val="en-US" w:eastAsia="zh-CN"/>
                      <w14:textFill>
                        <w14:solidFill>
                          <w14:schemeClr w14:val="tx1"/>
                        </w14:solidFill>
                      </w14:textFill>
                    </w:rPr>
                    <w:t>油罐车卸油配备卸油油气回收系统，加油配备加油油气回收系统</w:t>
                  </w:r>
                  <w:r>
                    <w:rPr>
                      <w:rFonts w:hint="eastAsia" w:ascii="Times New Roman" w:hAnsi="Times New Roman" w:eastAsia="宋体"/>
                      <w:color w:val="000000" w:themeColor="text1"/>
                      <w:sz w:val="21"/>
                      <w:szCs w:val="21"/>
                      <w:lang w:eastAsia="zh-CN"/>
                      <w14:textFill>
                        <w14:solidFill>
                          <w14:schemeClr w14:val="tx1"/>
                        </w14:solidFill>
                      </w14:textFill>
                    </w:rPr>
                    <w:t>。</w:t>
                  </w:r>
                </w:p>
              </w:tc>
              <w:tc>
                <w:tcPr>
                  <w:tcW w:w="410" w:type="pct"/>
                  <w:vAlign w:val="center"/>
                </w:tcPr>
                <w:p w14:paraId="31622F21">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符合</w:t>
                  </w:r>
                </w:p>
              </w:tc>
            </w:tr>
            <w:tr w14:paraId="1466F72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25" w:type="pct"/>
                  <w:vAlign w:val="center"/>
                </w:tcPr>
                <w:p w14:paraId="59F60FF9">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2</w:t>
                  </w:r>
                </w:p>
              </w:tc>
              <w:tc>
                <w:tcPr>
                  <w:tcW w:w="2578" w:type="pct"/>
                  <w:vAlign w:val="center"/>
                </w:tcPr>
                <w:p w14:paraId="556C7B8C">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油类（燃油、溶剂等）储罐宜采用高效密封的内（外）浮顶罐，当采用固定顶罐时，通过密闭排气系统将含</w:t>
                  </w:r>
                  <w:r>
                    <w:rPr>
                      <w:rFonts w:hint="default" w:ascii="Times New Roman" w:hAnsi="Times New Roman" w:eastAsia="宋体"/>
                      <w:color w:val="000000" w:themeColor="text1"/>
                      <w:sz w:val="21"/>
                      <w:szCs w:val="21"/>
                      <w:lang w:val="en-US" w:eastAsia="zh-CN"/>
                      <w14:textFill>
                        <w14:solidFill>
                          <w14:schemeClr w14:val="tx1"/>
                        </w14:solidFill>
                      </w14:textFill>
                    </w:rPr>
                    <w:t>VOCs</w:t>
                  </w:r>
                  <w:r>
                    <w:rPr>
                      <w:rFonts w:hint="eastAsia" w:ascii="Times New Roman" w:hAnsi="Times New Roman" w:eastAsia="宋体"/>
                      <w:color w:val="000000" w:themeColor="text1"/>
                      <w:sz w:val="21"/>
                      <w:szCs w:val="21"/>
                      <w:lang w:val="en-US" w:eastAsia="zh-CN"/>
                      <w14:textFill>
                        <w14:solidFill>
                          <w14:schemeClr w14:val="tx1"/>
                        </w14:solidFill>
                      </w14:textFill>
                    </w:rPr>
                    <w:t>气体输送至回收设备。</w:t>
                  </w:r>
                </w:p>
              </w:tc>
              <w:tc>
                <w:tcPr>
                  <w:tcW w:w="1586" w:type="pct"/>
                  <w:vAlign w:val="center"/>
                </w:tcPr>
                <w:p w14:paraId="5EDDC9CF">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本</w:t>
                  </w:r>
                  <w:r>
                    <w:rPr>
                      <w:rFonts w:ascii="Times New Roman" w:hAnsi="Times New Roman" w:eastAsia="宋体"/>
                      <w:color w:val="000000" w:themeColor="text1"/>
                      <w:sz w:val="21"/>
                      <w:szCs w:val="21"/>
                      <w14:textFill>
                        <w14:solidFill>
                          <w14:schemeClr w14:val="tx1"/>
                        </w14:solidFill>
                      </w14:textFill>
                    </w:rPr>
                    <w:t>项目</w:t>
                  </w:r>
                  <w:r>
                    <w:rPr>
                      <w:rFonts w:hint="eastAsia" w:ascii="Times New Roman" w:hAnsi="Times New Roman" w:eastAsia="宋体"/>
                      <w:color w:val="000000" w:themeColor="text1"/>
                      <w:sz w:val="21"/>
                      <w:szCs w:val="21"/>
                      <w:lang w:val="en-US" w:eastAsia="zh-CN"/>
                      <w14:textFill>
                        <w14:solidFill>
                          <w14:schemeClr w14:val="tx1"/>
                        </w14:solidFill>
                      </w14:textFill>
                    </w:rPr>
                    <w:t>油品</w:t>
                  </w:r>
                  <w:r>
                    <w:rPr>
                      <w:rFonts w:hint="eastAsia" w:ascii="Times New Roman" w:hAnsi="Times New Roman" w:eastAsia="宋体"/>
                      <w:color w:val="000000" w:themeColor="text1"/>
                      <w:sz w:val="21"/>
                      <w:szCs w:val="21"/>
                      <w14:textFill>
                        <w14:solidFill>
                          <w14:schemeClr w14:val="tx1"/>
                        </w14:solidFill>
                      </w14:textFill>
                    </w:rPr>
                    <w:t>储存于密闭双层</w:t>
                  </w:r>
                  <w:r>
                    <w:rPr>
                      <w:rFonts w:hint="eastAsia" w:ascii="Times New Roman" w:hAnsi="Times New Roman" w:eastAsia="宋体"/>
                      <w:color w:val="000000" w:themeColor="text1"/>
                      <w:sz w:val="21"/>
                      <w:szCs w:val="21"/>
                      <w:lang w:val="en-US" w:eastAsia="zh-CN"/>
                      <w14:textFill>
                        <w14:solidFill>
                          <w14:schemeClr w14:val="tx1"/>
                        </w14:solidFill>
                      </w14:textFill>
                    </w:rPr>
                    <w:t>储</w:t>
                  </w:r>
                  <w:r>
                    <w:rPr>
                      <w:rFonts w:hint="eastAsia" w:ascii="Times New Roman" w:hAnsi="Times New Roman" w:eastAsia="宋体"/>
                      <w:color w:val="000000" w:themeColor="text1"/>
                      <w:sz w:val="21"/>
                      <w:szCs w:val="21"/>
                      <w14:textFill>
                        <w14:solidFill>
                          <w14:schemeClr w14:val="tx1"/>
                        </w14:solidFill>
                      </w14:textFill>
                    </w:rPr>
                    <w:t>油罐中</w:t>
                  </w:r>
                  <w:r>
                    <w:rPr>
                      <w:rFonts w:hint="eastAsia" w:ascii="Times New Roman" w:hAnsi="Times New Roman" w:eastAsia="宋体"/>
                      <w:color w:val="000000" w:themeColor="text1"/>
                      <w:sz w:val="21"/>
                      <w:szCs w:val="21"/>
                      <w:lang w:eastAsia="zh-CN"/>
                      <w14:textFill>
                        <w14:solidFill>
                          <w14:schemeClr w14:val="tx1"/>
                        </w14:solidFill>
                      </w14:textFill>
                    </w:rPr>
                    <w:t>，</w:t>
                  </w:r>
                  <w:r>
                    <w:rPr>
                      <w:rFonts w:hint="eastAsia" w:ascii="Times New Roman" w:hAnsi="Times New Roman" w:eastAsia="宋体"/>
                      <w:color w:val="000000" w:themeColor="text1"/>
                      <w:sz w:val="21"/>
                      <w:szCs w:val="21"/>
                      <w:lang w:val="en-US" w:eastAsia="zh-CN"/>
                      <w14:textFill>
                        <w14:solidFill>
                          <w14:schemeClr w14:val="tx1"/>
                        </w14:solidFill>
                      </w14:textFill>
                    </w:rPr>
                    <w:t>设置二级油气回收系统</w:t>
                  </w:r>
                  <w:r>
                    <w:rPr>
                      <w:rFonts w:hint="eastAsia" w:ascii="Times New Roman" w:hAnsi="Times New Roman" w:eastAsia="宋体"/>
                      <w:color w:val="000000" w:themeColor="text1"/>
                      <w:sz w:val="21"/>
                      <w:szCs w:val="21"/>
                      <w14:textFill>
                        <w14:solidFill>
                          <w14:schemeClr w14:val="tx1"/>
                        </w14:solidFill>
                      </w14:textFill>
                    </w:rPr>
                    <w:t>。</w:t>
                  </w:r>
                </w:p>
              </w:tc>
              <w:tc>
                <w:tcPr>
                  <w:tcW w:w="410" w:type="pct"/>
                  <w:vAlign w:val="center"/>
                </w:tcPr>
                <w:p w14:paraId="3CFDC10B">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符合</w:t>
                  </w:r>
                </w:p>
              </w:tc>
            </w:tr>
            <w:tr w14:paraId="1219DC8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25" w:type="pct"/>
                  <w:vAlign w:val="center"/>
                </w:tcPr>
                <w:p w14:paraId="4B726495">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3</w:t>
                  </w:r>
                </w:p>
              </w:tc>
              <w:tc>
                <w:tcPr>
                  <w:tcW w:w="2578" w:type="pct"/>
                  <w:vAlign w:val="center"/>
                </w:tcPr>
                <w:p w14:paraId="324327D5">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油类（燃油、溶剂等）运载工具（汽车油罐车、铁路油槽车、油轮等）在装载过程中排放的</w:t>
                  </w:r>
                  <w:r>
                    <w:rPr>
                      <w:rFonts w:hint="default" w:ascii="Times New Roman" w:hAnsi="Times New Roman" w:eastAsia="宋体"/>
                      <w:color w:val="000000" w:themeColor="text1"/>
                      <w:sz w:val="21"/>
                      <w:szCs w:val="21"/>
                      <w:lang w:val="en-US" w:eastAsia="zh-CN"/>
                      <w14:textFill>
                        <w14:solidFill>
                          <w14:schemeClr w14:val="tx1"/>
                        </w14:solidFill>
                      </w14:textFill>
                    </w:rPr>
                    <w:t>VOCs</w:t>
                  </w:r>
                  <w:r>
                    <w:rPr>
                      <w:rFonts w:hint="eastAsia" w:ascii="Times New Roman" w:hAnsi="Times New Roman" w:eastAsia="宋体"/>
                      <w:color w:val="000000" w:themeColor="text1"/>
                      <w:sz w:val="21"/>
                      <w:szCs w:val="21"/>
                      <w:lang w:val="en-US" w:eastAsia="zh-CN"/>
                      <w14:textFill>
                        <w14:solidFill>
                          <w14:schemeClr w14:val="tx1"/>
                        </w14:solidFill>
                      </w14:textFill>
                    </w:rPr>
                    <w:t>密闭收集输送至回收设备，也可返回储罐或送入气体管网。</w:t>
                  </w:r>
                </w:p>
              </w:tc>
              <w:tc>
                <w:tcPr>
                  <w:tcW w:w="1586" w:type="pct"/>
                  <w:vAlign w:val="center"/>
                </w:tcPr>
                <w:p w14:paraId="5C36C56E">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hint="eastAsia" w:ascii="Times New Roman" w:hAnsi="Times New Roman" w:eastAsia="宋体"/>
                      <w:color w:val="000000" w:themeColor="text1"/>
                      <w:sz w:val="21"/>
                      <w:szCs w:val="21"/>
                      <w:lang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本</w:t>
                  </w:r>
                  <w:r>
                    <w:rPr>
                      <w:rFonts w:ascii="Times New Roman" w:hAnsi="Times New Roman" w:eastAsia="宋体"/>
                      <w:color w:val="000000" w:themeColor="text1"/>
                      <w:sz w:val="21"/>
                      <w:szCs w:val="21"/>
                      <w14:textFill>
                        <w14:solidFill>
                          <w14:schemeClr w14:val="tx1"/>
                        </w14:solidFill>
                      </w14:textFill>
                    </w:rPr>
                    <w:t>项目</w:t>
                  </w:r>
                  <w:r>
                    <w:rPr>
                      <w:rFonts w:hint="eastAsia" w:ascii="Times New Roman" w:hAnsi="Times New Roman" w:eastAsia="宋体"/>
                      <w:color w:val="000000" w:themeColor="text1"/>
                      <w:sz w:val="21"/>
                      <w:szCs w:val="21"/>
                      <w:lang w:val="en-US" w:eastAsia="zh-CN"/>
                      <w14:textFill>
                        <w14:solidFill>
                          <w14:schemeClr w14:val="tx1"/>
                        </w14:solidFill>
                      </w14:textFill>
                    </w:rPr>
                    <w:t>油罐车卸油配备卸油油气回收系统</w:t>
                  </w:r>
                  <w:r>
                    <w:rPr>
                      <w:rFonts w:hint="eastAsia" w:ascii="Times New Roman" w:hAnsi="Times New Roman" w:eastAsia="宋体"/>
                      <w:color w:val="000000" w:themeColor="text1"/>
                      <w:sz w:val="21"/>
                      <w:szCs w:val="21"/>
                      <w:lang w:eastAsia="zh-CN"/>
                      <w14:textFill>
                        <w14:solidFill>
                          <w14:schemeClr w14:val="tx1"/>
                        </w14:solidFill>
                      </w14:textFill>
                    </w:rPr>
                    <w:t>。</w:t>
                  </w:r>
                </w:p>
              </w:tc>
              <w:tc>
                <w:tcPr>
                  <w:tcW w:w="410" w:type="pct"/>
                  <w:vAlign w:val="center"/>
                </w:tcPr>
                <w:p w14:paraId="7D310202">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符合</w:t>
                  </w:r>
                </w:p>
              </w:tc>
            </w:tr>
            <w:tr w14:paraId="33ED01C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25" w:type="pct"/>
                  <w:vAlign w:val="center"/>
                </w:tcPr>
                <w:p w14:paraId="23B4A481">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4</w:t>
                  </w:r>
                </w:p>
              </w:tc>
              <w:tc>
                <w:tcPr>
                  <w:tcW w:w="2578" w:type="pct"/>
                  <w:vAlign w:val="center"/>
                </w:tcPr>
                <w:p w14:paraId="37FCE06B">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鼓励企业自行开展</w:t>
                  </w:r>
                  <w:r>
                    <w:rPr>
                      <w:rFonts w:hint="default" w:ascii="Times New Roman" w:hAnsi="Times New Roman" w:eastAsia="宋体"/>
                      <w:color w:val="000000" w:themeColor="text1"/>
                      <w:sz w:val="21"/>
                      <w:szCs w:val="21"/>
                      <w:lang w:val="en-US" w:eastAsia="zh-CN"/>
                      <w14:textFill>
                        <w14:solidFill>
                          <w14:schemeClr w14:val="tx1"/>
                        </w14:solidFill>
                      </w14:textFill>
                    </w:rPr>
                    <w:t>VOCs</w:t>
                  </w:r>
                  <w:r>
                    <w:rPr>
                      <w:rFonts w:hint="eastAsia" w:ascii="Times New Roman" w:hAnsi="Times New Roman" w:eastAsia="宋体"/>
                      <w:color w:val="000000" w:themeColor="text1"/>
                      <w:sz w:val="21"/>
                      <w:szCs w:val="21"/>
                      <w:lang w:val="en-US" w:eastAsia="zh-CN"/>
                      <w14:textFill>
                        <w14:solidFill>
                          <w14:schemeClr w14:val="tx1"/>
                        </w14:solidFill>
                      </w14:textFill>
                    </w:rPr>
                    <w:t>监测，并及时主动向当地环保行政主管部门报送监测结果。</w:t>
                  </w:r>
                </w:p>
              </w:tc>
              <w:tc>
                <w:tcPr>
                  <w:tcW w:w="1586" w:type="pct"/>
                  <w:vAlign w:val="center"/>
                </w:tcPr>
                <w:p w14:paraId="0D5F83B0">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hint="eastAsia" w:ascii="Times New Roman" w:hAnsi="Times New Roman" w:eastAsia="宋体"/>
                      <w:color w:val="000000" w:themeColor="text1"/>
                      <w:sz w:val="21"/>
                      <w:szCs w:val="21"/>
                      <w:lang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本项目自行开展</w:t>
                  </w:r>
                  <w:r>
                    <w:rPr>
                      <w:rFonts w:hint="default" w:ascii="Times New Roman" w:hAnsi="Times New Roman" w:eastAsia="宋体"/>
                      <w:color w:val="000000" w:themeColor="text1"/>
                      <w:sz w:val="21"/>
                      <w:szCs w:val="21"/>
                      <w:lang w:val="en-US" w:eastAsia="zh-CN"/>
                      <w14:textFill>
                        <w14:solidFill>
                          <w14:schemeClr w14:val="tx1"/>
                        </w14:solidFill>
                      </w14:textFill>
                    </w:rPr>
                    <w:t>VOCs</w:t>
                  </w:r>
                  <w:r>
                    <w:rPr>
                      <w:rFonts w:hint="eastAsia" w:ascii="Times New Roman" w:hAnsi="Times New Roman" w:eastAsia="宋体"/>
                      <w:color w:val="000000" w:themeColor="text1"/>
                      <w:sz w:val="21"/>
                      <w:szCs w:val="21"/>
                      <w:lang w:val="en-US" w:eastAsia="zh-CN"/>
                      <w14:textFill>
                        <w14:solidFill>
                          <w14:schemeClr w14:val="tx1"/>
                        </w14:solidFill>
                      </w14:textFill>
                    </w:rPr>
                    <w:t>监测，并及时主动向当地环保行政主管部门报送监测结果。</w:t>
                  </w:r>
                </w:p>
              </w:tc>
              <w:tc>
                <w:tcPr>
                  <w:tcW w:w="410" w:type="pct"/>
                  <w:vAlign w:val="center"/>
                </w:tcPr>
                <w:p w14:paraId="3515F670">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符合</w:t>
                  </w:r>
                </w:p>
              </w:tc>
            </w:tr>
            <w:tr w14:paraId="13A3454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25" w:type="pct"/>
                  <w:vAlign w:val="center"/>
                </w:tcPr>
                <w:p w14:paraId="0A37F003">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5</w:t>
                  </w:r>
                </w:p>
              </w:tc>
              <w:tc>
                <w:tcPr>
                  <w:tcW w:w="2578" w:type="pct"/>
                  <w:vAlign w:val="center"/>
                </w:tcPr>
                <w:p w14:paraId="213CDB7E">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企业应建立健全</w:t>
                  </w:r>
                  <w:r>
                    <w:rPr>
                      <w:rFonts w:hint="default" w:ascii="Times New Roman" w:hAnsi="Times New Roman" w:eastAsia="宋体"/>
                      <w:color w:val="000000" w:themeColor="text1"/>
                      <w:sz w:val="21"/>
                      <w:szCs w:val="21"/>
                      <w:lang w:val="en-US" w:eastAsia="zh-CN"/>
                      <w14:textFill>
                        <w14:solidFill>
                          <w14:schemeClr w14:val="tx1"/>
                        </w14:solidFill>
                      </w14:textFill>
                    </w:rPr>
                    <w:t>VOCs</w:t>
                  </w:r>
                  <w:r>
                    <w:rPr>
                      <w:rFonts w:hint="eastAsia" w:ascii="Times New Roman" w:hAnsi="Times New Roman" w:eastAsia="宋体"/>
                      <w:color w:val="000000" w:themeColor="text1"/>
                      <w:sz w:val="21"/>
                      <w:szCs w:val="21"/>
                      <w:lang w:val="en-US" w:eastAsia="zh-CN"/>
                      <w14:textFill>
                        <w14:solidFill>
                          <w14:schemeClr w14:val="tx1"/>
                        </w14:solidFill>
                      </w14:textFill>
                    </w:rPr>
                    <w:t>治理设施的运行维护规程和台帐等日常管理制度，并根据工艺要求定期对各类设备、电气、自控仪表等进行检修维护，确保设施的稳定运行。</w:t>
                  </w:r>
                </w:p>
              </w:tc>
              <w:tc>
                <w:tcPr>
                  <w:tcW w:w="1586" w:type="pct"/>
                  <w:vAlign w:val="center"/>
                </w:tcPr>
                <w:p w14:paraId="4AC44A28">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本项目建立健全</w:t>
                  </w:r>
                  <w:r>
                    <w:rPr>
                      <w:rFonts w:hint="default" w:ascii="Times New Roman" w:hAnsi="Times New Roman" w:eastAsia="宋体"/>
                      <w:color w:val="000000" w:themeColor="text1"/>
                      <w:sz w:val="21"/>
                      <w:szCs w:val="21"/>
                      <w:lang w:val="en-US" w:eastAsia="zh-CN"/>
                      <w14:textFill>
                        <w14:solidFill>
                          <w14:schemeClr w14:val="tx1"/>
                        </w14:solidFill>
                      </w14:textFill>
                    </w:rPr>
                    <w:t>VOCs</w:t>
                  </w:r>
                  <w:r>
                    <w:rPr>
                      <w:rFonts w:hint="eastAsia" w:ascii="Times New Roman" w:hAnsi="Times New Roman" w:eastAsia="宋体"/>
                      <w:color w:val="000000" w:themeColor="text1"/>
                      <w:sz w:val="21"/>
                      <w:szCs w:val="21"/>
                      <w:lang w:val="en-US" w:eastAsia="zh-CN"/>
                      <w14:textFill>
                        <w14:solidFill>
                          <w14:schemeClr w14:val="tx1"/>
                        </w14:solidFill>
                      </w14:textFill>
                    </w:rPr>
                    <w:t>治理设施的运行维护规程和台帐等日常管理制度，并根据工艺要求定期对各类设备、电气、自控仪表等进行检修维护，确保设施的稳定运行。</w:t>
                  </w:r>
                </w:p>
              </w:tc>
              <w:tc>
                <w:tcPr>
                  <w:tcW w:w="410" w:type="pct"/>
                  <w:vAlign w:val="center"/>
                </w:tcPr>
                <w:p w14:paraId="2F99615D">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符合</w:t>
                  </w:r>
                </w:p>
              </w:tc>
            </w:tr>
            <w:tr w14:paraId="469FD86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25" w:type="pct"/>
                  <w:vAlign w:val="center"/>
                </w:tcPr>
                <w:p w14:paraId="4960DD92">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6</w:t>
                  </w:r>
                </w:p>
              </w:tc>
              <w:tc>
                <w:tcPr>
                  <w:tcW w:w="2578" w:type="pct"/>
                  <w:vAlign w:val="center"/>
                </w:tcPr>
                <w:p w14:paraId="6626889C">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当采用吸附回收（浓缩）、催化燃烧、热力焚烧、等离子体等方法进行末端治理时，应编制本单位事故火灾、爆炸等应急救援预案，配备应急救援人员和器材，并开展应急演练。</w:t>
                  </w:r>
                </w:p>
              </w:tc>
              <w:tc>
                <w:tcPr>
                  <w:tcW w:w="1586" w:type="pct"/>
                  <w:vAlign w:val="center"/>
                </w:tcPr>
                <w:p w14:paraId="0F315453">
                  <w:pPr>
                    <w:pStyle w:val="61"/>
                    <w:keepNext w:val="0"/>
                    <w:keepLines w:val="0"/>
                    <w:pageBreakBefore w:val="0"/>
                    <w:widowControl w:val="0"/>
                    <w:kinsoku/>
                    <w:wordWrap/>
                    <w:overflowPunct/>
                    <w:topLinePunct w:val="0"/>
                    <w:autoSpaceDE/>
                    <w:autoSpaceDN/>
                    <w:bidi w:val="0"/>
                    <w:adjustRightInd/>
                    <w:snapToGrid w:val="0"/>
                    <w:spacing w:line="240" w:lineRule="auto"/>
                    <w:ind w:firstLine="428" w:firstLineChars="200"/>
                    <w:jc w:val="both"/>
                    <w:textAlignment w:val="auto"/>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本项目编制本单位事故火灾、爆炸等应急救援预案，配备应急救援人员和器材，并开展应急演练。</w:t>
                  </w:r>
                </w:p>
              </w:tc>
              <w:tc>
                <w:tcPr>
                  <w:tcW w:w="410" w:type="pct"/>
                  <w:vAlign w:val="center"/>
                </w:tcPr>
                <w:p w14:paraId="2BCEFA91">
                  <w:pPr>
                    <w:pStyle w:val="6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符合</w:t>
                  </w:r>
                </w:p>
              </w:tc>
            </w:tr>
          </w:tbl>
          <w:p w14:paraId="24EC06D2">
            <w:pPr>
              <w:pStyle w:val="54"/>
              <w:keepNext w:val="0"/>
              <w:keepLines w:val="0"/>
              <w:pageBreakBefore w:val="0"/>
              <w:widowControl w:val="0"/>
              <w:numPr>
                <w:ilvl w:val="0"/>
                <w:numId w:val="0"/>
              </w:numPr>
              <w:kinsoku/>
              <w:wordWrap/>
              <w:overflowPunct/>
              <w:topLinePunct w:val="0"/>
              <w:autoSpaceDE/>
              <w:autoSpaceDN/>
              <w:bidi w:val="0"/>
              <w:adjustRightInd/>
              <w:snapToGrid/>
              <w:ind w:left="0" w:leftChars="0" w:firstLine="480" w:firstLineChars="200"/>
              <w:textAlignment w:val="auto"/>
              <w:rPr>
                <w:rFonts w:hint="default"/>
                <w:b w:val="0"/>
                <w:bCs/>
                <w:color w:val="auto"/>
                <w:lang w:val="en-US" w:eastAsia="zh-CN"/>
              </w:rPr>
            </w:pPr>
            <w:r>
              <w:rPr>
                <w:rFonts w:hint="eastAsia"/>
                <w:b w:val="0"/>
                <w:bCs/>
                <w:color w:val="auto"/>
                <w:lang w:val="en-US" w:eastAsia="zh-CN"/>
              </w:rPr>
              <w:t>综上所述，本项目建设与《挥发性有机物（VOCs）污染防治技术政策》相符。</w:t>
            </w:r>
          </w:p>
          <w:p w14:paraId="6213F3AC">
            <w:pPr>
              <w:pStyle w:val="54"/>
              <w:keepNext w:val="0"/>
              <w:keepLines w:val="0"/>
              <w:pageBreakBefore w:val="0"/>
              <w:widowControl w:val="0"/>
              <w:numPr>
                <w:ilvl w:val="0"/>
                <w:numId w:val="0"/>
              </w:numPr>
              <w:kinsoku/>
              <w:wordWrap/>
              <w:overflowPunct/>
              <w:topLinePunct w:val="0"/>
              <w:autoSpaceDE/>
              <w:autoSpaceDN/>
              <w:bidi w:val="0"/>
              <w:adjustRightInd/>
              <w:snapToGrid/>
              <w:ind w:left="0" w:leftChars="0" w:firstLine="482" w:firstLineChars="200"/>
              <w:textAlignment w:val="auto"/>
              <w:rPr>
                <w:b/>
                <w:color w:val="FF0000"/>
              </w:rPr>
            </w:pPr>
            <w:r>
              <w:rPr>
                <w:rFonts w:hint="eastAsia"/>
                <w:b/>
                <w:color w:val="auto"/>
                <w:lang w:val="en-US" w:eastAsia="zh-CN"/>
              </w:rPr>
              <w:t>14、项目</w:t>
            </w:r>
            <w:r>
              <w:rPr>
                <w:rFonts w:hint="eastAsia"/>
                <w:b/>
                <w:color w:val="auto"/>
              </w:rPr>
              <w:t>与关于印发《加油站地下水污染防治技术指南（试行）》的通知（环办水体函〔2017〕323号）</w:t>
            </w:r>
            <w:r>
              <w:rPr>
                <w:rFonts w:hint="eastAsia"/>
                <w:b/>
                <w:color w:val="auto"/>
                <w:lang w:val="en-US" w:eastAsia="zh-CN"/>
              </w:rPr>
              <w:t>相符</w:t>
            </w:r>
            <w:r>
              <w:rPr>
                <w:rFonts w:hint="eastAsia"/>
                <w:b/>
                <w:color w:val="auto"/>
              </w:rPr>
              <w:t>性分析</w:t>
            </w:r>
          </w:p>
          <w:p w14:paraId="66AF6B0D">
            <w:pPr>
              <w:autoSpaceDE w:val="0"/>
              <w:autoSpaceDN w:val="0"/>
              <w:adjustRightInd w:val="0"/>
              <w:ind w:firstLine="480"/>
              <w:rPr>
                <w:color w:val="FF0000"/>
              </w:rPr>
            </w:pPr>
            <w:r>
              <w:rPr>
                <w:rFonts w:hint="eastAsia"/>
                <w:color w:val="auto"/>
              </w:rPr>
              <w:t>根据《加油站地下水污染防治技术指南（试行）》，加油站需要采取防渗漏和防渗漏检测措施。所有加油站的</w:t>
            </w:r>
            <w:r>
              <w:rPr>
                <w:rFonts w:hint="eastAsia"/>
                <w:color w:val="auto"/>
                <w:lang w:val="en-US" w:eastAsia="zh-CN"/>
              </w:rPr>
              <w:t>储</w:t>
            </w:r>
            <w:r>
              <w:rPr>
                <w:rFonts w:hint="eastAsia"/>
                <w:color w:val="auto"/>
              </w:rPr>
              <w:t>油罐需要更新为双层罐或者设置防渗池。加油站需要开展渗漏检测，设置常规地下水监测井，开展地下水常规监测。</w:t>
            </w:r>
          </w:p>
          <w:p w14:paraId="15091BE9">
            <w:pPr>
              <w:autoSpaceDE w:val="0"/>
              <w:autoSpaceDN w:val="0"/>
              <w:adjustRightInd w:val="0"/>
              <w:ind w:firstLine="480"/>
              <w:rPr>
                <w:color w:val="FF0000"/>
              </w:rPr>
            </w:pPr>
            <w:r>
              <w:rPr>
                <w:rFonts w:hint="eastAsia"/>
                <w:color w:val="auto"/>
              </w:rPr>
              <w:t>本项目采</w:t>
            </w:r>
            <w:r>
              <w:rPr>
                <w:rFonts w:hint="eastAsia"/>
                <w:color w:val="auto"/>
                <w:lang w:val="en-US" w:eastAsia="zh-CN"/>
              </w:rPr>
              <w:t>取</w:t>
            </w:r>
            <w:r>
              <w:rPr>
                <w:rFonts w:hint="eastAsia"/>
                <w:color w:val="auto"/>
              </w:rPr>
              <w:t>埋地卧式双层</w:t>
            </w:r>
            <w:r>
              <w:rPr>
                <w:rFonts w:hint="eastAsia"/>
                <w:color w:val="auto"/>
                <w:lang w:val="en-US" w:eastAsia="zh-CN"/>
              </w:rPr>
              <w:t>储</w:t>
            </w:r>
            <w:r>
              <w:rPr>
                <w:rFonts w:hint="eastAsia"/>
                <w:color w:val="auto"/>
              </w:rPr>
              <w:t>油罐，储罐区已设置渗漏检测立管、泄漏报警器、液位仪和观察井等防渗漏及监控措施；建设单位拟在</w:t>
            </w:r>
            <w:r>
              <w:rPr>
                <w:rFonts w:hint="eastAsia"/>
                <w:color w:val="auto"/>
                <w:lang w:val="en-US" w:eastAsia="zh-CN"/>
              </w:rPr>
              <w:t>储</w:t>
            </w:r>
            <w:r>
              <w:rPr>
                <w:rFonts w:hint="eastAsia"/>
                <w:color w:val="auto"/>
              </w:rPr>
              <w:t>罐区地下水流</w:t>
            </w:r>
            <w:r>
              <w:rPr>
                <w:rFonts w:hint="eastAsia"/>
                <w:color w:val="auto"/>
                <w:lang w:val="en-US" w:eastAsia="zh-CN"/>
              </w:rPr>
              <w:t>场</w:t>
            </w:r>
            <w:r>
              <w:rPr>
                <w:rFonts w:hint="eastAsia"/>
                <w:color w:val="auto"/>
              </w:rPr>
              <w:t>的下游，在保证安全的情况下，在靠近油罐设置地下水监测井一个，并按照自行监测要求开展常规监测。</w:t>
            </w:r>
          </w:p>
          <w:p w14:paraId="7B0D97D9">
            <w:pPr>
              <w:autoSpaceDE w:val="0"/>
              <w:autoSpaceDN w:val="0"/>
              <w:adjustRightInd w:val="0"/>
              <w:ind w:firstLine="480"/>
              <w:rPr>
                <w:color w:val="auto"/>
              </w:rPr>
            </w:pPr>
            <w:r>
              <w:rPr>
                <w:rFonts w:hint="eastAsia"/>
                <w:color w:val="auto"/>
                <w:lang w:val="en-US" w:eastAsia="zh-CN"/>
              </w:rPr>
              <w:t>本</w:t>
            </w:r>
            <w:r>
              <w:rPr>
                <w:rFonts w:hint="eastAsia"/>
                <w:color w:val="auto"/>
              </w:rPr>
              <w:t>项目在落实好上述要求前提下</w:t>
            </w:r>
            <w:r>
              <w:rPr>
                <w:rFonts w:hint="eastAsia"/>
                <w:color w:val="auto"/>
                <w:lang w:eastAsia="zh-CN"/>
              </w:rPr>
              <w:t>，</w:t>
            </w:r>
            <w:r>
              <w:rPr>
                <w:rFonts w:hint="eastAsia"/>
                <w:color w:val="auto"/>
              </w:rPr>
              <w:t>与《加油站地下水污染防治技术指南（试行）》相符。</w:t>
            </w:r>
          </w:p>
          <w:p w14:paraId="6E15C89A">
            <w:pPr>
              <w:widowControl/>
              <w:spacing w:line="360" w:lineRule="auto"/>
              <w:ind w:firstLine="482" w:firstLineChars="200"/>
              <w:rPr>
                <w:rFonts w:cs="宋体"/>
                <w:b/>
                <w:color w:val="auto"/>
                <w:kern w:val="0"/>
                <w:sz w:val="24"/>
              </w:rPr>
            </w:pPr>
            <w:r>
              <w:rPr>
                <w:rFonts w:hint="eastAsia" w:cs="宋体"/>
                <w:b/>
                <w:color w:val="auto"/>
                <w:kern w:val="0"/>
                <w:sz w:val="24"/>
                <w:lang w:val="en-US" w:eastAsia="zh-CN"/>
              </w:rPr>
              <w:t>15、项目</w:t>
            </w:r>
            <w:r>
              <w:rPr>
                <w:rFonts w:cs="宋体"/>
                <w:b/>
                <w:color w:val="auto"/>
                <w:kern w:val="0"/>
                <w:sz w:val="24"/>
              </w:rPr>
              <w:t>与《</w:t>
            </w:r>
            <w:r>
              <w:rPr>
                <w:rFonts w:hint="eastAsia" w:cs="宋体"/>
                <w:b/>
                <w:color w:val="auto"/>
                <w:kern w:val="0"/>
                <w:sz w:val="24"/>
              </w:rPr>
              <w:t>汽车加油加气加氢站技术标准</w:t>
            </w:r>
            <w:r>
              <w:rPr>
                <w:rFonts w:cs="宋体"/>
                <w:b/>
                <w:color w:val="auto"/>
                <w:kern w:val="0"/>
                <w:sz w:val="24"/>
              </w:rPr>
              <w:t>》</w:t>
            </w:r>
            <w:r>
              <w:rPr>
                <w:rFonts w:hint="eastAsia" w:cs="宋体"/>
                <w:b/>
                <w:color w:val="auto"/>
                <w:kern w:val="0"/>
                <w:sz w:val="24"/>
              </w:rPr>
              <w:t>（GB50156-2021）</w:t>
            </w:r>
            <w:r>
              <w:rPr>
                <w:rFonts w:cs="宋体"/>
                <w:b/>
                <w:color w:val="auto"/>
                <w:kern w:val="0"/>
                <w:sz w:val="24"/>
              </w:rPr>
              <w:t>相符性分析</w:t>
            </w:r>
          </w:p>
          <w:p w14:paraId="7C62B126">
            <w:pPr>
              <w:widowControl/>
              <w:spacing w:line="360" w:lineRule="auto"/>
              <w:ind w:firstLine="482" w:firstLineChars="200"/>
              <w:rPr>
                <w:rFonts w:cs="宋体"/>
                <w:b/>
                <w:color w:val="auto"/>
                <w:kern w:val="0"/>
                <w:sz w:val="24"/>
              </w:rPr>
            </w:pPr>
            <w:r>
              <w:rPr>
                <w:rFonts w:hint="eastAsia" w:cs="宋体"/>
                <w:b/>
                <w:color w:val="auto"/>
                <w:kern w:val="0"/>
                <w:sz w:val="24"/>
              </w:rPr>
              <w:t>（1）加油站</w:t>
            </w:r>
            <w:r>
              <w:rPr>
                <w:rFonts w:cs="宋体"/>
                <w:b/>
                <w:color w:val="auto"/>
                <w:kern w:val="0"/>
                <w:sz w:val="24"/>
              </w:rPr>
              <w:t>等级</w:t>
            </w:r>
          </w:p>
          <w:p w14:paraId="41C4834E">
            <w:pPr>
              <w:widowControl/>
              <w:spacing w:line="360" w:lineRule="auto"/>
              <w:ind w:firstLine="480" w:firstLineChars="200"/>
              <w:rPr>
                <w:rFonts w:cs="宋体"/>
                <w:color w:val="auto"/>
                <w:kern w:val="0"/>
                <w:sz w:val="24"/>
              </w:rPr>
            </w:pPr>
            <w:r>
              <w:rPr>
                <w:rFonts w:hint="eastAsia" w:cs="宋体"/>
                <w:color w:val="auto"/>
                <w:kern w:val="0"/>
                <w:sz w:val="24"/>
              </w:rPr>
              <w:t>根据《汽车加油加气加氢站技术标准》（GB50156-2021）</w:t>
            </w:r>
            <w:r>
              <w:rPr>
                <w:rFonts w:cs="宋体"/>
                <w:color w:val="auto"/>
                <w:kern w:val="0"/>
                <w:sz w:val="24"/>
              </w:rPr>
              <w:t>中规定，加油站的等级划分</w:t>
            </w:r>
            <w:r>
              <w:rPr>
                <w:rFonts w:hint="eastAsia" w:cs="宋体"/>
                <w:color w:val="auto"/>
                <w:kern w:val="0"/>
                <w:sz w:val="24"/>
                <w:lang w:val="en-US" w:eastAsia="zh-CN"/>
              </w:rPr>
              <w:t>详</w:t>
            </w:r>
            <w:r>
              <w:rPr>
                <w:rFonts w:cs="宋体"/>
                <w:color w:val="auto"/>
                <w:kern w:val="0"/>
                <w:sz w:val="24"/>
              </w:rPr>
              <w:t>见表1-</w:t>
            </w:r>
            <w:r>
              <w:rPr>
                <w:rFonts w:hint="eastAsia" w:cs="宋体"/>
                <w:color w:val="auto"/>
                <w:kern w:val="0"/>
                <w:sz w:val="24"/>
              </w:rPr>
              <w:t>1</w:t>
            </w:r>
            <w:r>
              <w:rPr>
                <w:rFonts w:hint="eastAsia" w:cs="宋体"/>
                <w:color w:val="auto"/>
                <w:kern w:val="0"/>
                <w:sz w:val="24"/>
                <w:lang w:val="en-US" w:eastAsia="zh-CN"/>
              </w:rPr>
              <w:t>4</w:t>
            </w:r>
            <w:r>
              <w:rPr>
                <w:rFonts w:hint="eastAsia" w:cs="宋体"/>
                <w:color w:val="auto"/>
                <w:kern w:val="0"/>
                <w:sz w:val="24"/>
              </w:rPr>
              <w:t>。</w:t>
            </w:r>
          </w:p>
          <w:p w14:paraId="6E02A20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cs="宋体"/>
                <w:b/>
                <w:color w:val="auto"/>
                <w:kern w:val="0"/>
                <w:sz w:val="21"/>
                <w:szCs w:val="21"/>
              </w:rPr>
            </w:pPr>
            <w:r>
              <w:rPr>
                <w:rFonts w:hint="eastAsia" w:cs="宋体"/>
                <w:b/>
                <w:color w:val="auto"/>
                <w:kern w:val="0"/>
                <w:sz w:val="21"/>
                <w:szCs w:val="21"/>
              </w:rPr>
              <w:t>表</w:t>
            </w:r>
            <w:r>
              <w:rPr>
                <w:rFonts w:cs="宋体"/>
                <w:b/>
                <w:color w:val="auto"/>
                <w:kern w:val="0"/>
                <w:sz w:val="21"/>
                <w:szCs w:val="21"/>
              </w:rPr>
              <w:t>1-</w:t>
            </w:r>
            <w:r>
              <w:rPr>
                <w:rFonts w:hint="eastAsia" w:cs="宋体"/>
                <w:b/>
                <w:color w:val="auto"/>
                <w:kern w:val="0"/>
                <w:sz w:val="21"/>
                <w:szCs w:val="21"/>
              </w:rPr>
              <w:t>1</w:t>
            </w:r>
            <w:r>
              <w:rPr>
                <w:rFonts w:hint="eastAsia" w:cs="宋体"/>
                <w:b/>
                <w:color w:val="auto"/>
                <w:kern w:val="0"/>
                <w:sz w:val="21"/>
                <w:szCs w:val="21"/>
                <w:lang w:val="en-US" w:eastAsia="zh-CN"/>
              </w:rPr>
              <w:t>4</w:t>
            </w:r>
            <w:r>
              <w:rPr>
                <w:rFonts w:cs="宋体"/>
                <w:b/>
                <w:color w:val="auto"/>
                <w:kern w:val="0"/>
                <w:sz w:val="21"/>
                <w:szCs w:val="21"/>
              </w:rPr>
              <w:t xml:space="preserve">   加油站的等级划分</w:t>
            </w:r>
          </w:p>
          <w:tbl>
            <w:tblPr>
              <w:tblStyle w:val="3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3523"/>
              <w:gridCol w:w="2820"/>
            </w:tblGrid>
            <w:tr w14:paraId="36D9A4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55" w:type="pct"/>
                  <w:vMerge w:val="restart"/>
                  <w:noWrap w:val="0"/>
                  <w:vAlign w:val="center"/>
                </w:tcPr>
                <w:p w14:paraId="35C841B7">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宋体" w:hAnsi="宋体" w:cs="宋体"/>
                      <w:b/>
                      <w:bCs/>
                      <w:color w:val="auto"/>
                      <w:kern w:val="0"/>
                      <w:sz w:val="21"/>
                      <w:szCs w:val="21"/>
                    </w:rPr>
                  </w:pPr>
                  <w:r>
                    <w:rPr>
                      <w:rFonts w:hint="eastAsia" w:ascii="宋体" w:hAnsi="宋体" w:cs="宋体"/>
                      <w:b/>
                      <w:bCs/>
                      <w:color w:val="auto"/>
                      <w:kern w:val="0"/>
                      <w:sz w:val="21"/>
                      <w:szCs w:val="21"/>
                    </w:rPr>
                    <w:t>级别</w:t>
                  </w:r>
                </w:p>
              </w:tc>
              <w:tc>
                <w:tcPr>
                  <w:tcW w:w="3945" w:type="pct"/>
                  <w:gridSpan w:val="2"/>
                  <w:noWrap w:val="0"/>
                  <w:vAlign w:val="center"/>
                </w:tcPr>
                <w:p w14:paraId="52469AB3">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宋体" w:hAnsi="宋体" w:cs="宋体"/>
                      <w:b/>
                      <w:bCs/>
                      <w:color w:val="auto"/>
                      <w:kern w:val="0"/>
                      <w:sz w:val="21"/>
                      <w:szCs w:val="21"/>
                    </w:rPr>
                  </w:pPr>
                  <w:r>
                    <w:rPr>
                      <w:rFonts w:hint="eastAsia" w:ascii="宋体" w:hAnsi="宋体" w:cs="宋体"/>
                      <w:b/>
                      <w:bCs/>
                      <w:color w:val="auto"/>
                      <w:kern w:val="0"/>
                      <w:sz w:val="21"/>
                      <w:szCs w:val="21"/>
                    </w:rPr>
                    <w:t>油罐容积</w:t>
                  </w:r>
                  <w:r>
                    <w:rPr>
                      <w:rFonts w:hint="eastAsia"/>
                      <w:b/>
                      <w:bCs/>
                      <w:color w:val="auto"/>
                      <w:kern w:val="0"/>
                      <w:sz w:val="21"/>
                      <w:szCs w:val="21"/>
                      <w:lang w:eastAsia="zh-CN"/>
                    </w:rPr>
                    <w:t>（</w:t>
                  </w:r>
                  <w:r>
                    <w:rPr>
                      <w:b/>
                      <w:bCs/>
                      <w:color w:val="auto"/>
                      <w:kern w:val="0"/>
                      <w:sz w:val="21"/>
                      <w:szCs w:val="21"/>
                    </w:rPr>
                    <w:t>m</w:t>
                  </w:r>
                  <w:r>
                    <w:rPr>
                      <w:b/>
                      <w:bCs/>
                      <w:color w:val="auto"/>
                      <w:kern w:val="0"/>
                      <w:sz w:val="21"/>
                      <w:szCs w:val="21"/>
                      <w:vertAlign w:val="superscript"/>
                    </w:rPr>
                    <w:t>3</w:t>
                  </w:r>
                  <w:r>
                    <w:rPr>
                      <w:rFonts w:hint="eastAsia"/>
                      <w:b/>
                      <w:bCs/>
                      <w:color w:val="auto"/>
                      <w:kern w:val="0"/>
                      <w:sz w:val="21"/>
                      <w:szCs w:val="21"/>
                      <w:lang w:eastAsia="zh-CN"/>
                    </w:rPr>
                    <w:t>）</w:t>
                  </w:r>
                </w:p>
              </w:tc>
            </w:tr>
            <w:tr w14:paraId="281804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55" w:type="pct"/>
                  <w:vMerge w:val="continue"/>
                  <w:noWrap w:val="0"/>
                  <w:vAlign w:val="center"/>
                </w:tcPr>
                <w:p w14:paraId="64801612">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auto"/>
                    <w:rPr>
                      <w:rFonts w:ascii="宋体" w:hAnsi="宋体" w:cs="宋体"/>
                      <w:b/>
                      <w:bCs/>
                      <w:color w:val="auto"/>
                      <w:kern w:val="0"/>
                      <w:sz w:val="21"/>
                      <w:szCs w:val="21"/>
                    </w:rPr>
                  </w:pPr>
                </w:p>
              </w:tc>
              <w:tc>
                <w:tcPr>
                  <w:tcW w:w="2191" w:type="pct"/>
                  <w:noWrap w:val="0"/>
                  <w:vAlign w:val="center"/>
                </w:tcPr>
                <w:p w14:paraId="01F34CBF">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宋体" w:hAnsi="宋体" w:cs="宋体"/>
                      <w:b/>
                      <w:bCs/>
                      <w:color w:val="auto"/>
                      <w:kern w:val="0"/>
                      <w:sz w:val="21"/>
                      <w:szCs w:val="21"/>
                    </w:rPr>
                  </w:pPr>
                  <w:r>
                    <w:rPr>
                      <w:rFonts w:hint="eastAsia" w:ascii="宋体" w:hAnsi="宋体" w:cs="宋体"/>
                      <w:b/>
                      <w:bCs/>
                      <w:color w:val="auto"/>
                      <w:kern w:val="0"/>
                      <w:sz w:val="21"/>
                      <w:szCs w:val="21"/>
                    </w:rPr>
                    <w:t>总容积</w:t>
                  </w:r>
                </w:p>
              </w:tc>
              <w:tc>
                <w:tcPr>
                  <w:tcW w:w="1754" w:type="pct"/>
                  <w:noWrap w:val="0"/>
                  <w:vAlign w:val="center"/>
                </w:tcPr>
                <w:p w14:paraId="078FA72E">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宋体" w:hAnsi="宋体" w:cs="宋体"/>
                      <w:b/>
                      <w:bCs/>
                      <w:color w:val="auto"/>
                      <w:kern w:val="0"/>
                      <w:sz w:val="21"/>
                      <w:szCs w:val="21"/>
                    </w:rPr>
                  </w:pPr>
                  <w:r>
                    <w:rPr>
                      <w:rFonts w:hint="eastAsia" w:ascii="宋体" w:hAnsi="宋体" w:cs="宋体"/>
                      <w:b/>
                      <w:bCs/>
                      <w:color w:val="auto"/>
                      <w:kern w:val="0"/>
                      <w:sz w:val="21"/>
                      <w:szCs w:val="21"/>
                    </w:rPr>
                    <w:t>单罐容积</w:t>
                  </w:r>
                </w:p>
              </w:tc>
            </w:tr>
            <w:tr w14:paraId="6D9914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55" w:type="pct"/>
                  <w:noWrap w:val="0"/>
                  <w:vAlign w:val="center"/>
                </w:tcPr>
                <w:p w14:paraId="1074C28E">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宋体" w:hAnsi="宋体" w:cs="宋体"/>
                      <w:color w:val="auto"/>
                      <w:kern w:val="0"/>
                      <w:sz w:val="21"/>
                      <w:szCs w:val="21"/>
                    </w:rPr>
                  </w:pPr>
                  <w:r>
                    <w:rPr>
                      <w:rFonts w:hint="eastAsia" w:ascii="宋体" w:hAnsi="宋体" w:cs="宋体"/>
                      <w:color w:val="auto"/>
                      <w:kern w:val="0"/>
                      <w:sz w:val="21"/>
                      <w:szCs w:val="21"/>
                    </w:rPr>
                    <w:t>一级</w:t>
                  </w:r>
                </w:p>
              </w:tc>
              <w:tc>
                <w:tcPr>
                  <w:tcW w:w="2191" w:type="pct"/>
                  <w:noWrap w:val="0"/>
                  <w:vAlign w:val="center"/>
                </w:tcPr>
                <w:p w14:paraId="4F662343">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eastAsia="等线"/>
                      <w:color w:val="auto"/>
                      <w:kern w:val="0"/>
                      <w:sz w:val="21"/>
                      <w:szCs w:val="21"/>
                    </w:rPr>
                  </w:pPr>
                  <w:r>
                    <w:rPr>
                      <w:rFonts w:eastAsia="等线"/>
                      <w:color w:val="auto"/>
                      <w:kern w:val="0"/>
                      <w:sz w:val="21"/>
                      <w:szCs w:val="21"/>
                    </w:rPr>
                    <w:t>150</w:t>
                  </w:r>
                  <w:r>
                    <w:rPr>
                      <w:rFonts w:hint="eastAsia" w:ascii="宋体" w:hAnsi="宋体"/>
                      <w:color w:val="auto"/>
                      <w:kern w:val="0"/>
                      <w:sz w:val="21"/>
                      <w:szCs w:val="21"/>
                    </w:rPr>
                    <w:t>＜</w:t>
                  </w:r>
                  <w:r>
                    <w:rPr>
                      <w:rFonts w:eastAsia="等线"/>
                      <w:color w:val="auto"/>
                      <w:kern w:val="0"/>
                      <w:sz w:val="21"/>
                      <w:szCs w:val="21"/>
                    </w:rPr>
                    <w:t>V≤210</w:t>
                  </w:r>
                </w:p>
              </w:tc>
              <w:tc>
                <w:tcPr>
                  <w:tcW w:w="1754" w:type="pct"/>
                  <w:noWrap w:val="0"/>
                  <w:vAlign w:val="center"/>
                </w:tcPr>
                <w:p w14:paraId="3001F3F8">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eastAsia="等线"/>
                      <w:color w:val="auto"/>
                      <w:kern w:val="0"/>
                      <w:sz w:val="21"/>
                      <w:szCs w:val="21"/>
                    </w:rPr>
                  </w:pPr>
                  <w:r>
                    <w:rPr>
                      <w:rFonts w:eastAsia="等线"/>
                      <w:color w:val="auto"/>
                      <w:kern w:val="0"/>
                      <w:sz w:val="21"/>
                      <w:szCs w:val="21"/>
                    </w:rPr>
                    <w:t>≤50</w:t>
                  </w:r>
                </w:p>
              </w:tc>
            </w:tr>
            <w:tr w14:paraId="191C93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55" w:type="pct"/>
                  <w:noWrap w:val="0"/>
                  <w:vAlign w:val="center"/>
                </w:tcPr>
                <w:p w14:paraId="3B4FD9A3">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宋体" w:hAnsi="宋体" w:cs="宋体"/>
                      <w:b/>
                      <w:bCs/>
                      <w:color w:val="auto"/>
                      <w:kern w:val="0"/>
                      <w:sz w:val="21"/>
                      <w:szCs w:val="21"/>
                    </w:rPr>
                  </w:pPr>
                  <w:r>
                    <w:rPr>
                      <w:rFonts w:hint="eastAsia" w:ascii="宋体" w:hAnsi="宋体" w:cs="宋体"/>
                      <w:b/>
                      <w:bCs/>
                      <w:color w:val="auto"/>
                      <w:kern w:val="0"/>
                      <w:sz w:val="21"/>
                      <w:szCs w:val="21"/>
                    </w:rPr>
                    <w:t>二级</w:t>
                  </w:r>
                </w:p>
              </w:tc>
              <w:tc>
                <w:tcPr>
                  <w:tcW w:w="2191" w:type="pct"/>
                  <w:noWrap w:val="0"/>
                  <w:vAlign w:val="center"/>
                </w:tcPr>
                <w:p w14:paraId="38ED9B67">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eastAsia="等线"/>
                      <w:b/>
                      <w:bCs/>
                      <w:color w:val="auto"/>
                      <w:kern w:val="0"/>
                      <w:sz w:val="21"/>
                      <w:szCs w:val="21"/>
                    </w:rPr>
                  </w:pPr>
                  <w:r>
                    <w:rPr>
                      <w:rFonts w:eastAsia="等线"/>
                      <w:b/>
                      <w:bCs/>
                      <w:color w:val="auto"/>
                      <w:kern w:val="0"/>
                      <w:sz w:val="21"/>
                      <w:szCs w:val="21"/>
                    </w:rPr>
                    <w:t>90</w:t>
                  </w:r>
                  <w:r>
                    <w:rPr>
                      <w:rFonts w:hint="eastAsia" w:ascii="宋体" w:hAnsi="宋体"/>
                      <w:b/>
                      <w:bCs/>
                      <w:color w:val="auto"/>
                      <w:kern w:val="0"/>
                      <w:sz w:val="21"/>
                      <w:szCs w:val="21"/>
                    </w:rPr>
                    <w:t>＜</w:t>
                  </w:r>
                  <w:r>
                    <w:rPr>
                      <w:rFonts w:eastAsia="等线"/>
                      <w:b/>
                      <w:bCs/>
                      <w:color w:val="auto"/>
                      <w:kern w:val="0"/>
                      <w:sz w:val="21"/>
                      <w:szCs w:val="21"/>
                    </w:rPr>
                    <w:t>V≤150</w:t>
                  </w:r>
                </w:p>
              </w:tc>
              <w:tc>
                <w:tcPr>
                  <w:tcW w:w="1754" w:type="pct"/>
                  <w:noWrap w:val="0"/>
                  <w:vAlign w:val="center"/>
                </w:tcPr>
                <w:p w14:paraId="4CEB01C7">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eastAsia="等线"/>
                      <w:b/>
                      <w:bCs/>
                      <w:color w:val="auto"/>
                      <w:kern w:val="0"/>
                      <w:sz w:val="21"/>
                      <w:szCs w:val="21"/>
                    </w:rPr>
                  </w:pPr>
                  <w:r>
                    <w:rPr>
                      <w:rFonts w:eastAsia="等线"/>
                      <w:b/>
                      <w:bCs/>
                      <w:color w:val="auto"/>
                      <w:kern w:val="0"/>
                      <w:sz w:val="21"/>
                      <w:szCs w:val="21"/>
                    </w:rPr>
                    <w:t>≤50</w:t>
                  </w:r>
                </w:p>
              </w:tc>
            </w:tr>
            <w:tr w14:paraId="072B44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55" w:type="pct"/>
                  <w:noWrap w:val="0"/>
                  <w:vAlign w:val="center"/>
                </w:tcPr>
                <w:p w14:paraId="1D8D1FF6">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宋体" w:hAnsi="宋体" w:cs="宋体"/>
                      <w:color w:val="auto"/>
                      <w:kern w:val="0"/>
                      <w:sz w:val="21"/>
                      <w:szCs w:val="21"/>
                    </w:rPr>
                  </w:pPr>
                  <w:r>
                    <w:rPr>
                      <w:rFonts w:hint="eastAsia" w:ascii="宋体" w:hAnsi="宋体" w:cs="宋体"/>
                      <w:color w:val="auto"/>
                      <w:kern w:val="0"/>
                      <w:sz w:val="21"/>
                      <w:szCs w:val="21"/>
                    </w:rPr>
                    <w:t>三级</w:t>
                  </w:r>
                </w:p>
              </w:tc>
              <w:tc>
                <w:tcPr>
                  <w:tcW w:w="2191" w:type="pct"/>
                  <w:noWrap w:val="0"/>
                  <w:vAlign w:val="center"/>
                </w:tcPr>
                <w:p w14:paraId="0DD3B921">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eastAsia="等线"/>
                      <w:color w:val="auto"/>
                      <w:kern w:val="0"/>
                      <w:sz w:val="21"/>
                      <w:szCs w:val="21"/>
                    </w:rPr>
                  </w:pPr>
                  <w:r>
                    <w:rPr>
                      <w:rFonts w:eastAsia="等线"/>
                      <w:color w:val="auto"/>
                      <w:kern w:val="0"/>
                      <w:sz w:val="21"/>
                      <w:szCs w:val="21"/>
                    </w:rPr>
                    <w:t>V≤90</w:t>
                  </w:r>
                </w:p>
              </w:tc>
              <w:tc>
                <w:tcPr>
                  <w:tcW w:w="1754" w:type="pct"/>
                  <w:noWrap w:val="0"/>
                  <w:vAlign w:val="center"/>
                </w:tcPr>
                <w:p w14:paraId="66AA92B3">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eastAsia="等线"/>
                      <w:color w:val="auto"/>
                      <w:kern w:val="0"/>
                      <w:sz w:val="21"/>
                      <w:szCs w:val="21"/>
                    </w:rPr>
                  </w:pPr>
                  <w:r>
                    <w:rPr>
                      <w:rFonts w:eastAsia="等线"/>
                      <w:color w:val="auto"/>
                      <w:kern w:val="0"/>
                      <w:sz w:val="21"/>
                      <w:szCs w:val="21"/>
                    </w:rPr>
                    <w:t>≤30</w:t>
                  </w:r>
                </w:p>
              </w:tc>
            </w:tr>
            <w:tr w14:paraId="49B00B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
                  <w:noWrap w:val="0"/>
                  <w:vAlign w:val="center"/>
                </w:tcPr>
                <w:p w14:paraId="3EA09A40">
                  <w:pPr>
                    <w:keepNext w:val="0"/>
                    <w:keepLines w:val="0"/>
                    <w:pageBreakBefore w:val="0"/>
                    <w:widowControl/>
                    <w:kinsoku/>
                    <w:wordWrap/>
                    <w:overflowPunct/>
                    <w:topLinePunct w:val="0"/>
                    <w:autoSpaceDE/>
                    <w:autoSpaceDN/>
                    <w:bidi w:val="0"/>
                    <w:adjustRightInd/>
                    <w:snapToGrid w:val="0"/>
                    <w:spacing w:line="240" w:lineRule="auto"/>
                    <w:ind w:firstLine="0" w:firstLineChars="0"/>
                    <w:textAlignment w:val="auto"/>
                    <w:rPr>
                      <w:rFonts w:ascii="宋体" w:hAnsi="宋体" w:cs="宋体"/>
                      <w:color w:val="auto"/>
                      <w:kern w:val="0"/>
                      <w:sz w:val="21"/>
                      <w:szCs w:val="21"/>
                    </w:rPr>
                  </w:pPr>
                  <w:r>
                    <w:rPr>
                      <w:rFonts w:hint="eastAsia" w:ascii="宋体" w:hAnsi="宋体" w:cs="宋体"/>
                      <w:b/>
                      <w:bCs/>
                      <w:color w:val="auto"/>
                      <w:kern w:val="0"/>
                      <w:sz w:val="21"/>
                      <w:szCs w:val="21"/>
                    </w:rPr>
                    <w:t>注：</w:t>
                  </w:r>
                  <w:r>
                    <w:rPr>
                      <w:b/>
                      <w:bCs/>
                      <w:color w:val="auto"/>
                      <w:kern w:val="0"/>
                      <w:sz w:val="21"/>
                      <w:szCs w:val="21"/>
                    </w:rPr>
                    <w:t>V</w:t>
                  </w:r>
                  <w:r>
                    <w:rPr>
                      <w:rFonts w:hint="eastAsia" w:ascii="宋体" w:hAnsi="宋体" w:cs="宋体"/>
                      <w:b/>
                      <w:bCs/>
                      <w:color w:val="auto"/>
                      <w:kern w:val="0"/>
                      <w:sz w:val="21"/>
                      <w:szCs w:val="21"/>
                    </w:rPr>
                    <w:t>为油罐总容积；柴油罐容积可折半计入油罐总容积。</w:t>
                  </w:r>
                </w:p>
              </w:tc>
            </w:tr>
          </w:tbl>
          <w:p w14:paraId="2D387DD6">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cs="宋体"/>
                <w:color w:val="auto"/>
                <w:kern w:val="0"/>
                <w:sz w:val="24"/>
              </w:rPr>
            </w:pPr>
            <w:r>
              <w:rPr>
                <w:rFonts w:hint="eastAsia" w:ascii="Times New Roman" w:hAnsi="Times New Roman" w:cs="Times New Roman"/>
                <w:color w:val="000000"/>
                <w:sz w:val="24"/>
                <w:szCs w:val="32"/>
                <w:lang w:val="en-US" w:eastAsia="zh-CN"/>
              </w:rPr>
              <w:t>本项目</w:t>
            </w:r>
            <w:r>
              <w:rPr>
                <w:rFonts w:hint="default" w:ascii="Times New Roman" w:hAnsi="Times New Roman" w:cs="Times New Roman"/>
                <w:color w:val="000000"/>
                <w:sz w:val="24"/>
                <w:szCs w:val="32"/>
              </w:rPr>
              <w:t>设置</w:t>
            </w:r>
            <w:r>
              <w:rPr>
                <w:rFonts w:hint="eastAsia" w:ascii="Times New Roman" w:hAnsi="Times New Roman" w:cs="Times New Roman"/>
                <w:color w:val="000000"/>
                <w:sz w:val="24"/>
                <w:szCs w:val="32"/>
                <w:lang w:val="en-US" w:eastAsia="zh-CN"/>
              </w:rPr>
              <w:t>2</w:t>
            </w:r>
            <w:r>
              <w:rPr>
                <w:rFonts w:hint="eastAsia" w:cs="Times New Roman"/>
                <w:color w:val="000000"/>
                <w:sz w:val="24"/>
                <w:szCs w:val="32"/>
                <w:lang w:val="en-US" w:eastAsia="zh-CN"/>
              </w:rPr>
              <w:t>座</w:t>
            </w:r>
            <w:r>
              <w:rPr>
                <w:rFonts w:hint="eastAsia" w:ascii="Times New Roman" w:hAnsi="Times New Roman" w:cs="Times New Roman"/>
                <w:color w:val="000000"/>
                <w:sz w:val="24"/>
                <w:szCs w:val="32"/>
                <w:lang w:val="en-US" w:eastAsia="zh-CN"/>
              </w:rPr>
              <w:t>3</w:t>
            </w:r>
            <w:r>
              <w:rPr>
                <w:rFonts w:hint="default" w:ascii="Times New Roman" w:hAnsi="Times New Roman" w:cs="Times New Roman"/>
                <w:color w:val="000000"/>
                <w:sz w:val="24"/>
                <w:szCs w:val="32"/>
              </w:rPr>
              <w:t>0m</w:t>
            </w:r>
            <w:r>
              <w:rPr>
                <w:rFonts w:hint="eastAsia" w:ascii="Times New Roman" w:hAnsi="Times New Roman" w:cs="Times New Roman"/>
                <w:color w:val="000000"/>
                <w:sz w:val="24"/>
                <w:szCs w:val="32"/>
                <w:vertAlign w:val="superscript"/>
                <w:lang w:val="en-US" w:eastAsia="zh-CN"/>
              </w:rPr>
              <w:t>3</w:t>
            </w:r>
            <w:r>
              <w:rPr>
                <w:rFonts w:hint="default" w:ascii="Times New Roman" w:hAnsi="Times New Roman" w:cs="Times New Roman"/>
                <w:color w:val="000000"/>
                <w:sz w:val="24"/>
                <w:szCs w:val="32"/>
              </w:rPr>
              <w:t>SF双层汽油罐</w:t>
            </w:r>
            <w:r>
              <w:rPr>
                <w:rFonts w:hint="eastAsia" w:ascii="Times New Roman" w:hAnsi="Times New Roman" w:cs="Times New Roman"/>
                <w:color w:val="000000"/>
                <w:sz w:val="24"/>
                <w:szCs w:val="32"/>
                <w:lang w:eastAsia="zh-CN"/>
              </w:rPr>
              <w:t>，其中</w:t>
            </w:r>
            <w:r>
              <w:rPr>
                <w:rFonts w:hint="eastAsia" w:ascii="Times New Roman" w:hAnsi="Times New Roman" w:cs="Times New Roman"/>
                <w:color w:val="000000"/>
                <w:sz w:val="24"/>
                <w:szCs w:val="32"/>
                <w:lang w:val="en-US" w:eastAsia="zh-CN"/>
              </w:rPr>
              <w:t>92#、95#各一</w:t>
            </w:r>
            <w:r>
              <w:rPr>
                <w:rFonts w:hint="eastAsia" w:cs="Times New Roman"/>
                <w:color w:val="000000"/>
                <w:sz w:val="24"/>
                <w:szCs w:val="32"/>
                <w:lang w:val="en-US" w:eastAsia="zh-CN"/>
              </w:rPr>
              <w:t>座</w:t>
            </w:r>
            <w:r>
              <w:rPr>
                <w:rFonts w:hint="default" w:ascii="Times New Roman" w:hAnsi="Times New Roman" w:cs="Times New Roman"/>
                <w:color w:val="000000"/>
                <w:sz w:val="24"/>
                <w:szCs w:val="32"/>
              </w:rPr>
              <w:t>，</w:t>
            </w:r>
            <w:r>
              <w:rPr>
                <w:rFonts w:hint="eastAsia" w:ascii="Times New Roman" w:hAnsi="Times New Roman" w:cs="Times New Roman"/>
                <w:color w:val="000000"/>
                <w:sz w:val="24"/>
                <w:szCs w:val="32"/>
                <w:lang w:val="en-US" w:eastAsia="zh-CN"/>
              </w:rPr>
              <w:t>2</w:t>
            </w:r>
            <w:r>
              <w:rPr>
                <w:rFonts w:hint="eastAsia" w:cs="Times New Roman"/>
                <w:color w:val="000000"/>
                <w:sz w:val="24"/>
                <w:szCs w:val="32"/>
                <w:lang w:val="en-US" w:eastAsia="zh-CN"/>
              </w:rPr>
              <w:t>个</w:t>
            </w:r>
            <w:r>
              <w:rPr>
                <w:rFonts w:hint="eastAsia" w:ascii="Times New Roman" w:hAnsi="Times New Roman" w:cs="Times New Roman"/>
                <w:color w:val="000000"/>
                <w:sz w:val="24"/>
                <w:szCs w:val="32"/>
                <w:lang w:val="en-US" w:eastAsia="zh-CN"/>
              </w:rPr>
              <w:t>5</w:t>
            </w:r>
            <w:r>
              <w:rPr>
                <w:rFonts w:hint="default" w:ascii="Times New Roman" w:hAnsi="Times New Roman" w:cs="Times New Roman"/>
                <w:color w:val="000000"/>
                <w:sz w:val="24"/>
                <w:szCs w:val="32"/>
              </w:rPr>
              <w:t>0m</w:t>
            </w:r>
            <w:r>
              <w:rPr>
                <w:rFonts w:hint="eastAsia" w:ascii="Times New Roman" w:hAnsi="Times New Roman" w:cs="Times New Roman"/>
                <w:color w:val="000000"/>
                <w:sz w:val="24"/>
                <w:szCs w:val="32"/>
                <w:vertAlign w:val="superscript"/>
                <w:lang w:val="en-US" w:eastAsia="zh-CN"/>
              </w:rPr>
              <w:t>3</w:t>
            </w:r>
            <w:r>
              <w:rPr>
                <w:rFonts w:hint="default" w:ascii="Times New Roman" w:hAnsi="Times New Roman" w:cs="Times New Roman"/>
                <w:color w:val="000000"/>
                <w:sz w:val="24"/>
                <w:szCs w:val="32"/>
              </w:rPr>
              <w:t>SF双层柴油罐，油罐总容积为1</w:t>
            </w:r>
            <w:r>
              <w:rPr>
                <w:rFonts w:hint="eastAsia" w:ascii="Times New Roman" w:hAnsi="Times New Roman" w:cs="Times New Roman"/>
                <w:color w:val="000000"/>
                <w:sz w:val="24"/>
                <w:szCs w:val="32"/>
                <w:lang w:val="en-US" w:eastAsia="zh-CN"/>
              </w:rPr>
              <w:t>6</w:t>
            </w:r>
            <w:r>
              <w:rPr>
                <w:rFonts w:hint="default" w:ascii="Times New Roman" w:hAnsi="Times New Roman" w:cs="Times New Roman"/>
                <w:color w:val="000000"/>
                <w:sz w:val="24"/>
                <w:szCs w:val="32"/>
              </w:rPr>
              <w:t>0m</w:t>
            </w:r>
            <w:r>
              <w:rPr>
                <w:rFonts w:hint="default" w:ascii="Times New Roman" w:hAnsi="Times New Roman" w:cs="Times New Roman"/>
                <w:color w:val="000000"/>
                <w:sz w:val="24"/>
                <w:szCs w:val="32"/>
                <w:vertAlign w:val="superscript"/>
              </w:rPr>
              <w:t>3</w:t>
            </w:r>
            <w:r>
              <w:rPr>
                <w:rFonts w:hint="default" w:ascii="Times New Roman" w:hAnsi="Times New Roman" w:cs="Times New Roman"/>
                <w:color w:val="000000"/>
                <w:sz w:val="24"/>
                <w:szCs w:val="32"/>
              </w:rPr>
              <w:t>，柴油罐容积折半计算后油罐总容积为1</w:t>
            </w:r>
            <w:r>
              <w:rPr>
                <w:rFonts w:hint="eastAsia" w:ascii="Times New Roman" w:hAnsi="Times New Roman" w:cs="Times New Roman"/>
                <w:color w:val="000000"/>
                <w:sz w:val="24"/>
                <w:szCs w:val="32"/>
                <w:lang w:val="en-US" w:eastAsia="zh-CN"/>
              </w:rPr>
              <w:t>10</w:t>
            </w:r>
            <w:r>
              <w:rPr>
                <w:rFonts w:hint="default" w:ascii="Times New Roman" w:hAnsi="Times New Roman" w:cs="Times New Roman"/>
                <w:color w:val="000000"/>
                <w:sz w:val="24"/>
                <w:szCs w:val="32"/>
              </w:rPr>
              <w:t>m</w:t>
            </w:r>
            <w:r>
              <w:rPr>
                <w:rFonts w:hint="default" w:ascii="Times New Roman" w:hAnsi="Times New Roman" w:cs="Times New Roman"/>
                <w:color w:val="000000"/>
                <w:sz w:val="24"/>
                <w:szCs w:val="32"/>
                <w:vertAlign w:val="superscript"/>
              </w:rPr>
              <w:t>3</w:t>
            </w:r>
            <w:r>
              <w:rPr>
                <w:rFonts w:hint="default" w:ascii="Times New Roman" w:hAnsi="Times New Roman" w:cs="Times New Roman"/>
                <w:color w:val="000000"/>
                <w:sz w:val="24"/>
                <w:szCs w:val="32"/>
              </w:rPr>
              <w:t>，属二级加油站。</w:t>
            </w:r>
          </w:p>
          <w:p w14:paraId="6C3DBA49">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cs="宋体"/>
                <w:b/>
                <w:color w:val="auto"/>
                <w:kern w:val="0"/>
                <w:sz w:val="24"/>
                <w:highlight w:val="none"/>
              </w:rPr>
            </w:pPr>
            <w:r>
              <w:rPr>
                <w:rFonts w:hint="eastAsia" w:cs="宋体"/>
                <w:b/>
                <w:color w:val="auto"/>
                <w:kern w:val="0"/>
                <w:sz w:val="24"/>
                <w:highlight w:val="none"/>
              </w:rPr>
              <w:t>（2）汽油（柴油）工艺设备与站外建、构筑物的</w:t>
            </w:r>
            <w:r>
              <w:rPr>
                <w:rFonts w:hint="eastAsia" w:cs="宋体"/>
                <w:b/>
                <w:color w:val="auto"/>
                <w:kern w:val="0"/>
                <w:sz w:val="24"/>
                <w:highlight w:val="none"/>
                <w:lang w:val="en-US" w:eastAsia="zh-CN"/>
              </w:rPr>
              <w:t>安全</w:t>
            </w:r>
            <w:r>
              <w:rPr>
                <w:rFonts w:hint="eastAsia" w:cs="宋体"/>
                <w:b/>
                <w:color w:val="auto"/>
                <w:kern w:val="0"/>
                <w:sz w:val="24"/>
                <w:highlight w:val="none"/>
              </w:rPr>
              <w:t>距离</w:t>
            </w:r>
          </w:p>
          <w:p w14:paraId="1F3946FF">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color w:val="auto"/>
                <w:kern w:val="0"/>
                <w:sz w:val="24"/>
              </w:rPr>
            </w:pPr>
            <w:r>
              <w:rPr>
                <w:color w:val="auto"/>
                <w:kern w:val="0"/>
                <w:sz w:val="24"/>
              </w:rPr>
              <w:t>本项目</w:t>
            </w:r>
            <w:r>
              <w:rPr>
                <w:rFonts w:hint="eastAsia"/>
                <w:color w:val="auto"/>
                <w:kern w:val="0"/>
                <w:sz w:val="24"/>
              </w:rPr>
              <w:t>汽油（柴油）工艺设备</w:t>
            </w:r>
            <w:r>
              <w:rPr>
                <w:color w:val="auto"/>
                <w:kern w:val="0"/>
                <w:sz w:val="24"/>
              </w:rPr>
              <w:t>与站外建、构筑物的防火距离分析详见表1-</w:t>
            </w:r>
            <w:r>
              <w:rPr>
                <w:rFonts w:hint="eastAsia"/>
                <w:color w:val="auto"/>
                <w:kern w:val="0"/>
                <w:sz w:val="24"/>
              </w:rPr>
              <w:t>1</w:t>
            </w:r>
            <w:r>
              <w:rPr>
                <w:rFonts w:hint="eastAsia"/>
                <w:color w:val="auto"/>
                <w:kern w:val="0"/>
                <w:sz w:val="24"/>
                <w:lang w:val="en-US" w:eastAsia="zh-CN"/>
              </w:rPr>
              <w:t>5</w:t>
            </w:r>
            <w:r>
              <w:rPr>
                <w:color w:val="auto"/>
                <w:kern w:val="0"/>
                <w:sz w:val="24"/>
              </w:rPr>
              <w:t>~表1-</w:t>
            </w:r>
            <w:r>
              <w:rPr>
                <w:rFonts w:hint="eastAsia"/>
                <w:color w:val="auto"/>
                <w:kern w:val="0"/>
                <w:sz w:val="24"/>
              </w:rPr>
              <w:t>1</w:t>
            </w:r>
            <w:r>
              <w:rPr>
                <w:rFonts w:hint="eastAsia"/>
                <w:color w:val="auto"/>
                <w:kern w:val="0"/>
                <w:sz w:val="24"/>
                <w:lang w:val="en-US" w:eastAsia="zh-CN"/>
              </w:rPr>
              <w:t>6</w:t>
            </w:r>
            <w:r>
              <w:rPr>
                <w:color w:val="auto"/>
                <w:kern w:val="0"/>
                <w:sz w:val="24"/>
              </w:rPr>
              <w:t>。</w:t>
            </w:r>
          </w:p>
          <w:p w14:paraId="0A9B52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b/>
                <w:color w:val="auto"/>
                <w:kern w:val="0"/>
                <w:sz w:val="21"/>
                <w:szCs w:val="21"/>
              </w:rPr>
            </w:pPr>
            <w:r>
              <w:rPr>
                <w:rFonts w:hint="eastAsia" w:ascii="Times New Roman" w:hAnsi="Times New Roman" w:eastAsia="宋体" w:cs="宋体"/>
                <w:b/>
                <w:color w:val="auto"/>
                <w:kern w:val="0"/>
                <w:sz w:val="21"/>
                <w:szCs w:val="21"/>
                <w:lang w:val="en-GB"/>
              </w:rPr>
              <w:t>表</w:t>
            </w:r>
            <w:r>
              <w:rPr>
                <w:rFonts w:hint="eastAsia" w:ascii="Times New Roman" w:hAnsi="Times New Roman" w:eastAsia="宋体" w:cs="宋体"/>
                <w:b/>
                <w:color w:val="auto"/>
                <w:kern w:val="0"/>
                <w:sz w:val="21"/>
                <w:szCs w:val="21"/>
              </w:rPr>
              <w:t>1-1</w:t>
            </w:r>
            <w:r>
              <w:rPr>
                <w:rFonts w:hint="eastAsia" w:cs="宋体"/>
                <w:b/>
                <w:color w:val="auto"/>
                <w:kern w:val="0"/>
                <w:sz w:val="21"/>
                <w:szCs w:val="21"/>
                <w:lang w:val="en-US" w:eastAsia="zh-CN"/>
              </w:rPr>
              <w:t>5</w:t>
            </w:r>
            <w:r>
              <w:rPr>
                <w:rFonts w:hint="eastAsia" w:ascii="Times New Roman" w:hAnsi="Times New Roman" w:eastAsia="宋体" w:cs="宋体"/>
                <w:b/>
                <w:color w:val="auto"/>
                <w:kern w:val="0"/>
                <w:sz w:val="21"/>
                <w:szCs w:val="21"/>
                <w:lang w:val="en-US" w:eastAsia="zh-CN"/>
              </w:rPr>
              <w:t xml:space="preserve"> </w:t>
            </w:r>
            <w:r>
              <w:rPr>
                <w:rFonts w:hint="eastAsia" w:ascii="Times New Roman" w:hAnsi="Times New Roman" w:eastAsia="宋体" w:cs="宋体"/>
                <w:b/>
                <w:color w:val="auto"/>
                <w:kern w:val="0"/>
                <w:sz w:val="21"/>
                <w:szCs w:val="21"/>
              </w:rPr>
              <w:t xml:space="preserve">  汽油（柴油）工艺设备与站外建（构）筑物的安全间距</w:t>
            </w:r>
          </w:p>
          <w:tbl>
            <w:tblPr>
              <w:tblStyle w:val="3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4"/>
              <w:gridCol w:w="1514"/>
              <w:gridCol w:w="900"/>
              <w:gridCol w:w="1500"/>
              <w:gridCol w:w="2031"/>
              <w:gridCol w:w="1410"/>
            </w:tblGrid>
            <w:tr w14:paraId="331E4B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26" w:type="pct"/>
                  <w:gridSpan w:val="3"/>
                  <w:vMerge w:val="restart"/>
                  <w:tcBorders>
                    <w:tl2br w:val="single" w:color="auto" w:sz="4" w:space="0"/>
                  </w:tcBorders>
                  <w:shd w:val="clear" w:color="auto" w:fill="auto"/>
                  <w:vAlign w:val="center"/>
                </w:tcPr>
                <w:p w14:paraId="3737E930">
                  <w:pPr>
                    <w:keepNext w:val="0"/>
                    <w:keepLines w:val="0"/>
                    <w:pageBreakBefore w:val="0"/>
                    <w:widowControl/>
                    <w:kinsoku/>
                    <w:wordWrap/>
                    <w:overflowPunct/>
                    <w:topLinePunct w:val="0"/>
                    <w:autoSpaceDE/>
                    <w:autoSpaceDN/>
                    <w:bidi w:val="0"/>
                    <w:adjustRightInd/>
                    <w:snapToGrid w:val="0"/>
                    <w:spacing w:line="240" w:lineRule="auto"/>
                    <w:ind w:firstLine="0" w:firstLineChars="0"/>
                    <w:jc w:val="right"/>
                    <w:textAlignment w:val="auto"/>
                    <w:rPr>
                      <w:rFonts w:ascii="Times New Roman" w:hAnsi="Times New Roman" w:eastAsia="宋体" w:cs="Times New Roman"/>
                      <w:b/>
                      <w:bCs/>
                      <w:color w:val="000000" w:themeColor="text1"/>
                      <w:kern w:val="0"/>
                      <w:sz w:val="21"/>
                      <w:szCs w:val="21"/>
                      <w14:textFill>
                        <w14:solidFill>
                          <w14:schemeClr w14:val="tx1"/>
                        </w14:solidFill>
                      </w14:textFill>
                    </w:rPr>
                  </w:pPr>
                  <w:r>
                    <w:rPr>
                      <w:rFonts w:hint="eastAsia" w:ascii="Times New Roman" w:hAnsi="Times New Roman" w:eastAsia="宋体" w:cs="Times New Roman"/>
                      <w:b/>
                      <w:bCs/>
                      <w:color w:val="000000" w:themeColor="text1"/>
                      <w:kern w:val="0"/>
                      <w:sz w:val="21"/>
                      <w:szCs w:val="21"/>
                      <w14:textFill>
                        <w14:solidFill>
                          <w14:schemeClr w14:val="tx1"/>
                        </w14:solidFill>
                      </w14:textFill>
                    </w:rPr>
                    <w:t>级别</w:t>
                  </w:r>
                </w:p>
                <w:p w14:paraId="76F9A6FB">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auto"/>
                    <w:rPr>
                      <w:rFonts w:ascii="Times New Roman" w:hAnsi="Times New Roman" w:eastAsia="宋体" w:cs="宋体"/>
                      <w:b/>
                      <w:bCs/>
                      <w:color w:val="000000" w:themeColor="text1"/>
                      <w:kern w:val="0"/>
                      <w:sz w:val="21"/>
                      <w:szCs w:val="21"/>
                      <w14:textFill>
                        <w14:solidFill>
                          <w14:schemeClr w14:val="tx1"/>
                        </w14:solidFill>
                      </w14:textFill>
                    </w:rPr>
                  </w:pPr>
                  <w:r>
                    <w:rPr>
                      <w:rFonts w:hint="eastAsia" w:ascii="Times New Roman" w:hAnsi="Times New Roman" w:eastAsia="宋体" w:cs="宋体"/>
                      <w:b/>
                      <w:bCs/>
                      <w:color w:val="000000" w:themeColor="text1"/>
                      <w:kern w:val="0"/>
                      <w:sz w:val="21"/>
                      <w:szCs w:val="21"/>
                      <w14:textFill>
                        <w14:solidFill>
                          <w14:schemeClr w14:val="tx1"/>
                        </w14:solidFill>
                      </w14:textFill>
                    </w:rPr>
                    <w:t>项目</w:t>
                  </w:r>
                </w:p>
              </w:tc>
              <w:tc>
                <w:tcPr>
                  <w:tcW w:w="932" w:type="pct"/>
                  <w:tcBorders>
                    <w:tl2br w:val="nil"/>
                    <w:tr2bl w:val="nil"/>
                  </w:tcBorders>
                  <w:shd w:val="clear" w:color="auto" w:fill="auto"/>
                  <w:vAlign w:val="center"/>
                </w:tcPr>
                <w:p w14:paraId="6287F580">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宋体"/>
                      <w:b/>
                      <w:bCs/>
                      <w:color w:val="000000" w:themeColor="text1"/>
                      <w:kern w:val="0"/>
                      <w:sz w:val="21"/>
                      <w:szCs w:val="21"/>
                      <w14:textFill>
                        <w14:solidFill>
                          <w14:schemeClr w14:val="tx1"/>
                        </w14:solidFill>
                      </w14:textFill>
                    </w:rPr>
                  </w:pPr>
                  <w:r>
                    <w:rPr>
                      <w:rFonts w:hint="eastAsia" w:ascii="Times New Roman" w:hAnsi="Times New Roman" w:eastAsia="宋体" w:cs="宋体"/>
                      <w:b/>
                      <w:bCs/>
                      <w:color w:val="000000" w:themeColor="text1"/>
                      <w:kern w:val="0"/>
                      <w:sz w:val="21"/>
                      <w:szCs w:val="21"/>
                      <w14:textFill>
                        <w14:solidFill>
                          <w14:schemeClr w14:val="tx1"/>
                        </w14:solidFill>
                      </w14:textFill>
                    </w:rPr>
                    <w:t>埋地油罐</w:t>
                  </w:r>
                </w:p>
              </w:tc>
              <w:tc>
                <w:tcPr>
                  <w:tcW w:w="1263" w:type="pct"/>
                  <w:tcBorders>
                    <w:tl2br w:val="nil"/>
                    <w:tr2bl w:val="nil"/>
                  </w:tcBorders>
                  <w:shd w:val="clear" w:color="auto" w:fill="auto"/>
                  <w:vAlign w:val="center"/>
                </w:tcPr>
                <w:p w14:paraId="14E21555">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宋体"/>
                      <w:b/>
                      <w:bCs/>
                      <w:color w:val="000000" w:themeColor="text1"/>
                      <w:kern w:val="0"/>
                      <w:sz w:val="21"/>
                      <w:szCs w:val="21"/>
                      <w14:textFill>
                        <w14:solidFill>
                          <w14:schemeClr w14:val="tx1"/>
                        </w14:solidFill>
                      </w14:textFill>
                    </w:rPr>
                  </w:pPr>
                  <w:r>
                    <w:rPr>
                      <w:rFonts w:hint="eastAsia" w:ascii="Times New Roman" w:hAnsi="Times New Roman" w:eastAsia="宋体" w:cs="宋体"/>
                      <w:b/>
                      <w:bCs/>
                      <w:color w:val="000000" w:themeColor="text1"/>
                      <w:kern w:val="0"/>
                      <w:sz w:val="21"/>
                      <w:szCs w:val="21"/>
                      <w14:textFill>
                        <w14:solidFill>
                          <w14:schemeClr w14:val="tx1"/>
                        </w14:solidFill>
                      </w14:textFill>
                    </w:rPr>
                    <w:t>加油机、油罐通气管口、油气回收装置</w:t>
                  </w:r>
                </w:p>
              </w:tc>
              <w:tc>
                <w:tcPr>
                  <w:tcW w:w="876" w:type="pct"/>
                  <w:tcBorders>
                    <w:tl2br w:val="nil"/>
                    <w:tr2bl w:val="nil"/>
                  </w:tcBorders>
                  <w:vAlign w:val="center"/>
                </w:tcPr>
                <w:p w14:paraId="40590B96">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宋体"/>
                      <w:b/>
                      <w:bCs/>
                      <w:color w:val="000000" w:themeColor="text1"/>
                      <w:kern w:val="0"/>
                      <w:sz w:val="21"/>
                      <w:szCs w:val="21"/>
                      <w14:textFill>
                        <w14:solidFill>
                          <w14:schemeClr w14:val="tx1"/>
                        </w14:solidFill>
                      </w14:textFill>
                    </w:rPr>
                  </w:pPr>
                  <w:r>
                    <w:rPr>
                      <w:rFonts w:hint="eastAsia" w:ascii="Times New Roman" w:hAnsi="Times New Roman" w:eastAsia="宋体" w:cs="宋体"/>
                      <w:b/>
                      <w:bCs/>
                      <w:color w:val="000000" w:themeColor="text1"/>
                      <w:kern w:val="0"/>
                      <w:sz w:val="21"/>
                      <w:szCs w:val="21"/>
                      <w14:textFill>
                        <w14:solidFill>
                          <w14:schemeClr w14:val="tx1"/>
                        </w14:solidFill>
                      </w14:textFill>
                    </w:rPr>
                    <w:t>建</w:t>
                  </w:r>
                  <w:r>
                    <w:rPr>
                      <w:rFonts w:ascii="Times New Roman" w:hAnsi="Times New Roman" w:eastAsia="宋体" w:cs="宋体"/>
                      <w:b/>
                      <w:bCs/>
                      <w:color w:val="000000" w:themeColor="text1"/>
                      <w:kern w:val="0"/>
                      <w:sz w:val="21"/>
                      <w:szCs w:val="21"/>
                      <w14:textFill>
                        <w14:solidFill>
                          <w14:schemeClr w14:val="tx1"/>
                        </w14:solidFill>
                      </w14:textFill>
                    </w:rPr>
                    <w:t>（</w:t>
                  </w:r>
                  <w:r>
                    <w:rPr>
                      <w:rFonts w:hint="eastAsia" w:ascii="Times New Roman" w:hAnsi="Times New Roman" w:eastAsia="宋体" w:cs="宋体"/>
                      <w:b/>
                      <w:bCs/>
                      <w:color w:val="000000" w:themeColor="text1"/>
                      <w:kern w:val="0"/>
                      <w:sz w:val="21"/>
                      <w:szCs w:val="21"/>
                      <w14:textFill>
                        <w14:solidFill>
                          <w14:schemeClr w14:val="tx1"/>
                        </w14:solidFill>
                      </w14:textFill>
                    </w:rPr>
                    <w:t>构</w:t>
                  </w:r>
                  <w:r>
                    <w:rPr>
                      <w:rFonts w:ascii="Times New Roman" w:hAnsi="Times New Roman" w:eastAsia="宋体" w:cs="宋体"/>
                      <w:b/>
                      <w:bCs/>
                      <w:color w:val="000000" w:themeColor="text1"/>
                      <w:kern w:val="0"/>
                      <w:sz w:val="21"/>
                      <w:szCs w:val="21"/>
                      <w14:textFill>
                        <w14:solidFill>
                          <w14:schemeClr w14:val="tx1"/>
                        </w14:solidFill>
                      </w14:textFill>
                    </w:rPr>
                    <w:t>）</w:t>
                  </w:r>
                  <w:r>
                    <w:rPr>
                      <w:rFonts w:hint="eastAsia" w:ascii="Times New Roman" w:hAnsi="Times New Roman" w:eastAsia="宋体" w:cs="宋体"/>
                      <w:b/>
                      <w:bCs/>
                      <w:color w:val="000000" w:themeColor="text1"/>
                      <w:kern w:val="0"/>
                      <w:sz w:val="21"/>
                      <w:szCs w:val="21"/>
                      <w14:textFill>
                        <w14:solidFill>
                          <w14:schemeClr w14:val="tx1"/>
                        </w14:solidFill>
                      </w14:textFill>
                    </w:rPr>
                    <w:t>筑</w:t>
                  </w:r>
                  <w:r>
                    <w:rPr>
                      <w:rFonts w:ascii="Times New Roman" w:hAnsi="Times New Roman" w:eastAsia="宋体" w:cs="宋体"/>
                      <w:b/>
                      <w:bCs/>
                      <w:color w:val="000000" w:themeColor="text1"/>
                      <w:kern w:val="0"/>
                      <w:sz w:val="21"/>
                      <w:szCs w:val="21"/>
                      <w14:textFill>
                        <w14:solidFill>
                          <w14:schemeClr w14:val="tx1"/>
                        </w14:solidFill>
                      </w14:textFill>
                    </w:rPr>
                    <w:t>物名称</w:t>
                  </w:r>
                </w:p>
              </w:tc>
            </w:tr>
            <w:tr w14:paraId="61864F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26" w:type="pct"/>
                  <w:gridSpan w:val="3"/>
                  <w:vMerge w:val="continue"/>
                  <w:tcBorders>
                    <w:tl2br w:val="nil"/>
                    <w:tr2bl w:val="nil"/>
                  </w:tcBorders>
                  <w:shd w:val="clear" w:color="auto" w:fill="auto"/>
                  <w:vAlign w:val="center"/>
                </w:tcPr>
                <w:p w14:paraId="2C4A82BE">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宋体"/>
                      <w:b/>
                      <w:bCs/>
                      <w:color w:val="000000" w:themeColor="text1"/>
                      <w:kern w:val="0"/>
                      <w:sz w:val="21"/>
                      <w:szCs w:val="21"/>
                      <w14:textFill>
                        <w14:solidFill>
                          <w14:schemeClr w14:val="tx1"/>
                        </w14:solidFill>
                      </w14:textFill>
                    </w:rPr>
                  </w:pPr>
                </w:p>
              </w:tc>
              <w:tc>
                <w:tcPr>
                  <w:tcW w:w="3073" w:type="pct"/>
                  <w:gridSpan w:val="3"/>
                  <w:tcBorders>
                    <w:tl2br w:val="nil"/>
                    <w:tr2bl w:val="nil"/>
                  </w:tcBorders>
                  <w:vAlign w:val="center"/>
                </w:tcPr>
                <w:p w14:paraId="41868AC4">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宋体"/>
                      <w:b/>
                      <w:bCs/>
                      <w:color w:val="000000" w:themeColor="text1"/>
                      <w:kern w:val="0"/>
                      <w:sz w:val="21"/>
                      <w:szCs w:val="21"/>
                      <w14:textFill>
                        <w14:solidFill>
                          <w14:schemeClr w14:val="tx1"/>
                        </w14:solidFill>
                      </w14:textFill>
                    </w:rPr>
                  </w:pPr>
                  <w:r>
                    <w:rPr>
                      <w:rFonts w:hint="eastAsia" w:ascii="Times New Roman" w:hAnsi="Times New Roman" w:eastAsia="宋体" w:cs="宋体"/>
                      <w:b/>
                      <w:bCs/>
                      <w:color w:val="000000" w:themeColor="text1"/>
                      <w:kern w:val="0"/>
                      <w:sz w:val="21"/>
                      <w:szCs w:val="21"/>
                      <w14:textFill>
                        <w14:solidFill>
                          <w14:schemeClr w14:val="tx1"/>
                        </w14:solidFill>
                      </w14:textFill>
                    </w:rPr>
                    <w:t>二级站</w:t>
                  </w:r>
                </w:p>
              </w:tc>
            </w:tr>
            <w:tr w14:paraId="5D3B04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67" w:type="pct"/>
                  <w:gridSpan w:val="2"/>
                  <w:vMerge w:val="restart"/>
                  <w:tcBorders>
                    <w:tl2br w:val="nil"/>
                    <w:tr2bl w:val="nil"/>
                  </w:tcBorders>
                  <w:shd w:val="clear" w:color="auto" w:fill="auto"/>
                  <w:vAlign w:val="center"/>
                </w:tcPr>
                <w:p w14:paraId="78A7BA74">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重要公共建筑物</w:t>
                  </w:r>
                </w:p>
              </w:tc>
              <w:tc>
                <w:tcPr>
                  <w:tcW w:w="559" w:type="pct"/>
                  <w:tcBorders>
                    <w:tl2br w:val="nil"/>
                    <w:tr2bl w:val="nil"/>
                  </w:tcBorders>
                  <w:vAlign w:val="center"/>
                </w:tcPr>
                <w:p w14:paraId="55A8DE3D">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规范</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值</w:t>
                  </w:r>
                </w:p>
              </w:tc>
              <w:tc>
                <w:tcPr>
                  <w:tcW w:w="932" w:type="pct"/>
                  <w:tcBorders>
                    <w:tl2br w:val="nil"/>
                    <w:tr2bl w:val="nil"/>
                  </w:tcBorders>
                  <w:shd w:val="clear" w:color="auto" w:fill="auto"/>
                  <w:vAlign w:val="center"/>
                </w:tcPr>
                <w:p w14:paraId="4A62ABCB">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35</w:t>
                  </w:r>
                  <w:r>
                    <w:rPr>
                      <w:rFonts w:hint="eastAsia" w:ascii="Times New Roman" w:hAnsi="Times New Roman" w:eastAsia="宋体" w:cs="Times New Roman"/>
                      <w:color w:val="000000" w:themeColor="text1"/>
                      <w:kern w:val="0"/>
                      <w:sz w:val="21"/>
                      <w:szCs w:val="21"/>
                      <w14:textFill>
                        <w14:solidFill>
                          <w14:schemeClr w14:val="tx1"/>
                        </w14:solidFill>
                      </w14:textFill>
                    </w:rPr>
                    <w:t>（25）</w:t>
                  </w:r>
                </w:p>
              </w:tc>
              <w:tc>
                <w:tcPr>
                  <w:tcW w:w="1263" w:type="pct"/>
                  <w:tcBorders>
                    <w:tl2br w:val="nil"/>
                    <w:tr2bl w:val="nil"/>
                  </w:tcBorders>
                  <w:shd w:val="clear" w:color="auto" w:fill="auto"/>
                  <w:vAlign w:val="center"/>
                </w:tcPr>
                <w:p w14:paraId="46655839">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35</w:t>
                  </w:r>
                  <w:r>
                    <w:rPr>
                      <w:rFonts w:hint="eastAsia" w:ascii="Times New Roman" w:hAnsi="Times New Roman" w:eastAsia="宋体" w:cs="Times New Roman"/>
                      <w:color w:val="000000" w:themeColor="text1"/>
                      <w:kern w:val="0"/>
                      <w:sz w:val="21"/>
                      <w:szCs w:val="21"/>
                      <w14:textFill>
                        <w14:solidFill>
                          <w14:schemeClr w14:val="tx1"/>
                        </w14:solidFill>
                      </w14:textFill>
                    </w:rPr>
                    <w:t>（25）</w:t>
                  </w:r>
                </w:p>
              </w:tc>
              <w:tc>
                <w:tcPr>
                  <w:tcW w:w="876" w:type="pct"/>
                  <w:tcBorders>
                    <w:tl2br w:val="nil"/>
                    <w:tr2bl w:val="nil"/>
                  </w:tcBorders>
                  <w:vAlign w:val="center"/>
                </w:tcPr>
                <w:p w14:paraId="38F65581">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w:t>
                  </w:r>
                </w:p>
              </w:tc>
            </w:tr>
            <w:tr w14:paraId="2EF37A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67" w:type="pct"/>
                  <w:gridSpan w:val="2"/>
                  <w:vMerge w:val="continue"/>
                  <w:tcBorders>
                    <w:tl2br w:val="nil"/>
                    <w:tr2bl w:val="nil"/>
                  </w:tcBorders>
                  <w:shd w:val="clear" w:color="auto" w:fill="auto"/>
                  <w:vAlign w:val="center"/>
                </w:tcPr>
                <w:p w14:paraId="3C2FB113">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宋体"/>
                      <w:color w:val="000000" w:themeColor="text1"/>
                      <w:kern w:val="0"/>
                      <w:sz w:val="21"/>
                      <w:szCs w:val="21"/>
                      <w14:textFill>
                        <w14:solidFill>
                          <w14:schemeClr w14:val="tx1"/>
                        </w14:solidFill>
                      </w14:textFill>
                    </w:rPr>
                  </w:pPr>
                </w:p>
              </w:tc>
              <w:tc>
                <w:tcPr>
                  <w:tcW w:w="559" w:type="pct"/>
                  <w:tcBorders>
                    <w:tl2br w:val="nil"/>
                    <w:tr2bl w:val="nil"/>
                  </w:tcBorders>
                  <w:vAlign w:val="center"/>
                </w:tcPr>
                <w:p w14:paraId="0CA8F747">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设计</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值</w:t>
                  </w:r>
                </w:p>
              </w:tc>
              <w:tc>
                <w:tcPr>
                  <w:tcW w:w="932" w:type="pct"/>
                  <w:tcBorders>
                    <w:tl2br w:val="nil"/>
                    <w:tr2bl w:val="nil"/>
                  </w:tcBorders>
                  <w:shd w:val="clear" w:color="auto" w:fill="auto"/>
                  <w:vAlign w:val="center"/>
                </w:tcPr>
                <w:p w14:paraId="49231C4F">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无</w:t>
                  </w:r>
                </w:p>
              </w:tc>
              <w:tc>
                <w:tcPr>
                  <w:tcW w:w="1263" w:type="pct"/>
                  <w:tcBorders>
                    <w:tl2br w:val="nil"/>
                    <w:tr2bl w:val="nil"/>
                  </w:tcBorders>
                  <w:shd w:val="clear" w:color="auto" w:fill="auto"/>
                  <w:vAlign w:val="center"/>
                </w:tcPr>
                <w:p w14:paraId="6301E168">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无</w:t>
                  </w:r>
                </w:p>
              </w:tc>
              <w:tc>
                <w:tcPr>
                  <w:tcW w:w="876" w:type="pct"/>
                  <w:tcBorders>
                    <w:tl2br w:val="nil"/>
                    <w:tr2bl w:val="nil"/>
                  </w:tcBorders>
                  <w:vAlign w:val="center"/>
                </w:tcPr>
                <w:p w14:paraId="5A314366">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w:t>
                  </w:r>
                </w:p>
              </w:tc>
            </w:tr>
            <w:tr w14:paraId="55DB40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67" w:type="pct"/>
                  <w:gridSpan w:val="2"/>
                  <w:vMerge w:val="restart"/>
                  <w:tcBorders>
                    <w:tl2br w:val="nil"/>
                    <w:tr2bl w:val="nil"/>
                  </w:tcBorders>
                  <w:shd w:val="clear" w:color="auto" w:fill="auto"/>
                  <w:vAlign w:val="center"/>
                </w:tcPr>
                <w:p w14:paraId="4DA0B77A">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明火或散发火花地点</w:t>
                  </w:r>
                </w:p>
              </w:tc>
              <w:tc>
                <w:tcPr>
                  <w:tcW w:w="559" w:type="pct"/>
                  <w:tcBorders>
                    <w:tl2br w:val="nil"/>
                    <w:tr2bl w:val="nil"/>
                  </w:tcBorders>
                  <w:vAlign w:val="center"/>
                </w:tcPr>
                <w:p w14:paraId="29AB9059">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规范</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值</w:t>
                  </w:r>
                </w:p>
              </w:tc>
              <w:tc>
                <w:tcPr>
                  <w:tcW w:w="932" w:type="pct"/>
                  <w:tcBorders>
                    <w:tl2br w:val="nil"/>
                    <w:tr2bl w:val="nil"/>
                  </w:tcBorders>
                  <w:shd w:val="clear" w:color="auto" w:fill="auto"/>
                  <w:vAlign w:val="center"/>
                </w:tcPr>
                <w:p w14:paraId="35CD75AF">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17.5</w:t>
                  </w:r>
                  <w:r>
                    <w:rPr>
                      <w:rFonts w:hint="eastAsia" w:ascii="Times New Roman" w:hAnsi="Times New Roman" w:eastAsia="宋体" w:cs="Times New Roman"/>
                      <w:color w:val="000000" w:themeColor="text1"/>
                      <w:kern w:val="0"/>
                      <w:sz w:val="21"/>
                      <w:szCs w:val="21"/>
                      <w14:textFill>
                        <w14:solidFill>
                          <w14:schemeClr w14:val="tx1"/>
                        </w14:solidFill>
                      </w14:textFill>
                    </w:rPr>
                    <w:t>（12.5）</w:t>
                  </w:r>
                </w:p>
              </w:tc>
              <w:tc>
                <w:tcPr>
                  <w:tcW w:w="1263" w:type="pct"/>
                  <w:tcBorders>
                    <w:tl2br w:val="nil"/>
                    <w:tr2bl w:val="nil"/>
                  </w:tcBorders>
                  <w:shd w:val="clear" w:color="auto" w:fill="auto"/>
                  <w:vAlign w:val="center"/>
                </w:tcPr>
                <w:p w14:paraId="26287BC4">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12.5</w:t>
                  </w:r>
                  <w:r>
                    <w:rPr>
                      <w:rFonts w:hint="eastAsia" w:ascii="Times New Roman" w:hAnsi="Times New Roman" w:eastAsia="宋体" w:cs="Times New Roman"/>
                      <w:color w:val="000000" w:themeColor="text1"/>
                      <w:kern w:val="0"/>
                      <w:sz w:val="21"/>
                      <w:szCs w:val="21"/>
                      <w14:textFill>
                        <w14:solidFill>
                          <w14:schemeClr w14:val="tx1"/>
                        </w14:solidFill>
                      </w14:textFill>
                    </w:rPr>
                    <w:t>（10）</w:t>
                  </w:r>
                </w:p>
              </w:tc>
              <w:tc>
                <w:tcPr>
                  <w:tcW w:w="876" w:type="pct"/>
                  <w:tcBorders>
                    <w:tl2br w:val="nil"/>
                    <w:tr2bl w:val="nil"/>
                  </w:tcBorders>
                  <w:vAlign w:val="center"/>
                </w:tcPr>
                <w:p w14:paraId="7A20C2BA">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w:t>
                  </w:r>
                </w:p>
              </w:tc>
            </w:tr>
            <w:tr w14:paraId="4A4037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67" w:type="pct"/>
                  <w:gridSpan w:val="2"/>
                  <w:vMerge w:val="continue"/>
                  <w:tcBorders>
                    <w:tl2br w:val="nil"/>
                    <w:tr2bl w:val="nil"/>
                  </w:tcBorders>
                  <w:shd w:val="clear" w:color="auto" w:fill="auto"/>
                  <w:vAlign w:val="center"/>
                </w:tcPr>
                <w:p w14:paraId="5735DEF6">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宋体"/>
                      <w:color w:val="000000" w:themeColor="text1"/>
                      <w:kern w:val="0"/>
                      <w:sz w:val="21"/>
                      <w:szCs w:val="21"/>
                      <w14:textFill>
                        <w14:solidFill>
                          <w14:schemeClr w14:val="tx1"/>
                        </w14:solidFill>
                      </w14:textFill>
                    </w:rPr>
                  </w:pPr>
                </w:p>
              </w:tc>
              <w:tc>
                <w:tcPr>
                  <w:tcW w:w="559" w:type="pct"/>
                  <w:tcBorders>
                    <w:tl2br w:val="nil"/>
                    <w:tr2bl w:val="nil"/>
                  </w:tcBorders>
                  <w:vAlign w:val="center"/>
                </w:tcPr>
                <w:p w14:paraId="48B756D6">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设计</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值</w:t>
                  </w:r>
                </w:p>
              </w:tc>
              <w:tc>
                <w:tcPr>
                  <w:tcW w:w="932" w:type="pct"/>
                  <w:tcBorders>
                    <w:tl2br w:val="nil"/>
                    <w:tr2bl w:val="nil"/>
                  </w:tcBorders>
                  <w:shd w:val="clear" w:color="auto" w:fill="auto"/>
                  <w:vAlign w:val="center"/>
                </w:tcPr>
                <w:p w14:paraId="3C8B36EB">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无</w:t>
                  </w:r>
                </w:p>
              </w:tc>
              <w:tc>
                <w:tcPr>
                  <w:tcW w:w="1263" w:type="pct"/>
                  <w:tcBorders>
                    <w:tl2br w:val="nil"/>
                    <w:tr2bl w:val="nil"/>
                  </w:tcBorders>
                  <w:shd w:val="clear" w:color="auto" w:fill="auto"/>
                  <w:vAlign w:val="center"/>
                </w:tcPr>
                <w:p w14:paraId="43C6B3C8">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无</w:t>
                  </w:r>
                </w:p>
              </w:tc>
              <w:tc>
                <w:tcPr>
                  <w:tcW w:w="876" w:type="pct"/>
                  <w:tcBorders>
                    <w:tl2br w:val="nil"/>
                    <w:tr2bl w:val="nil"/>
                  </w:tcBorders>
                  <w:vAlign w:val="center"/>
                </w:tcPr>
                <w:p w14:paraId="38EBD467">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w:t>
                  </w:r>
                </w:p>
              </w:tc>
            </w:tr>
            <w:tr w14:paraId="3F5BAB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5" w:type="pct"/>
                  <w:vMerge w:val="restart"/>
                  <w:tcBorders>
                    <w:tl2br w:val="nil"/>
                    <w:tr2bl w:val="nil"/>
                  </w:tcBorders>
                  <w:shd w:val="clear" w:color="auto" w:fill="auto"/>
                  <w:vAlign w:val="center"/>
                </w:tcPr>
                <w:p w14:paraId="1CA1F407">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民用建筑保护类别</w:t>
                  </w:r>
                </w:p>
              </w:tc>
              <w:tc>
                <w:tcPr>
                  <w:tcW w:w="941" w:type="pct"/>
                  <w:vMerge w:val="restart"/>
                  <w:tcBorders>
                    <w:tl2br w:val="nil"/>
                    <w:tr2bl w:val="nil"/>
                  </w:tcBorders>
                  <w:shd w:val="clear" w:color="auto" w:fill="auto"/>
                  <w:vAlign w:val="center"/>
                </w:tcPr>
                <w:p w14:paraId="0C1B654C">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一类保护物</w:t>
                  </w:r>
                </w:p>
              </w:tc>
              <w:tc>
                <w:tcPr>
                  <w:tcW w:w="559" w:type="pct"/>
                  <w:tcBorders>
                    <w:tl2br w:val="nil"/>
                    <w:tr2bl w:val="nil"/>
                  </w:tcBorders>
                  <w:vAlign w:val="center"/>
                </w:tcPr>
                <w:p w14:paraId="1209C34B">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规范</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值</w:t>
                  </w:r>
                </w:p>
              </w:tc>
              <w:tc>
                <w:tcPr>
                  <w:tcW w:w="932" w:type="pct"/>
                  <w:tcBorders>
                    <w:tl2br w:val="nil"/>
                    <w:tr2bl w:val="nil"/>
                  </w:tcBorders>
                  <w:shd w:val="clear" w:color="auto" w:fill="auto"/>
                  <w:vAlign w:val="center"/>
                </w:tcPr>
                <w:p w14:paraId="1B95CDF2">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14</w:t>
                  </w:r>
                  <w:r>
                    <w:rPr>
                      <w:rFonts w:hint="eastAsia" w:ascii="Times New Roman" w:hAnsi="Times New Roman" w:eastAsia="宋体" w:cs="Times New Roman"/>
                      <w:color w:val="000000" w:themeColor="text1"/>
                      <w:kern w:val="0"/>
                      <w:sz w:val="21"/>
                      <w:szCs w:val="21"/>
                      <w14:textFill>
                        <w14:solidFill>
                          <w14:schemeClr w14:val="tx1"/>
                        </w14:solidFill>
                      </w14:textFill>
                    </w:rPr>
                    <w:t>（6）</w:t>
                  </w:r>
                </w:p>
              </w:tc>
              <w:tc>
                <w:tcPr>
                  <w:tcW w:w="1263" w:type="pct"/>
                  <w:tcBorders>
                    <w:tl2br w:val="nil"/>
                    <w:tr2bl w:val="nil"/>
                  </w:tcBorders>
                  <w:shd w:val="clear" w:color="auto" w:fill="auto"/>
                  <w:vAlign w:val="center"/>
                </w:tcPr>
                <w:p w14:paraId="5D0A6B25">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11</w:t>
                  </w:r>
                  <w:r>
                    <w:rPr>
                      <w:rFonts w:hint="eastAsia" w:ascii="Times New Roman" w:hAnsi="Times New Roman" w:eastAsia="宋体" w:cs="Times New Roman"/>
                      <w:color w:val="000000" w:themeColor="text1"/>
                      <w:kern w:val="0"/>
                      <w:sz w:val="21"/>
                      <w:szCs w:val="21"/>
                      <w14:textFill>
                        <w14:solidFill>
                          <w14:schemeClr w14:val="tx1"/>
                        </w14:solidFill>
                      </w14:textFill>
                    </w:rPr>
                    <w:t>（6）</w:t>
                  </w:r>
                </w:p>
              </w:tc>
              <w:tc>
                <w:tcPr>
                  <w:tcW w:w="876" w:type="pct"/>
                  <w:tcBorders>
                    <w:tl2br w:val="nil"/>
                    <w:tr2bl w:val="nil"/>
                  </w:tcBorders>
                  <w:vAlign w:val="center"/>
                </w:tcPr>
                <w:p w14:paraId="73BD470D">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w:t>
                  </w:r>
                </w:p>
              </w:tc>
            </w:tr>
            <w:tr w14:paraId="5F396C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5" w:type="pct"/>
                  <w:vMerge w:val="continue"/>
                  <w:tcBorders>
                    <w:tl2br w:val="nil"/>
                    <w:tr2bl w:val="nil"/>
                  </w:tcBorders>
                  <w:shd w:val="clear" w:color="auto" w:fill="auto"/>
                  <w:vAlign w:val="center"/>
                </w:tcPr>
                <w:p w14:paraId="3ABD9F6F">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宋体"/>
                      <w:color w:val="000000" w:themeColor="text1"/>
                      <w:kern w:val="0"/>
                      <w:sz w:val="21"/>
                      <w:szCs w:val="21"/>
                      <w14:textFill>
                        <w14:solidFill>
                          <w14:schemeClr w14:val="tx1"/>
                        </w14:solidFill>
                      </w14:textFill>
                    </w:rPr>
                  </w:pPr>
                </w:p>
              </w:tc>
              <w:tc>
                <w:tcPr>
                  <w:tcW w:w="941" w:type="pct"/>
                  <w:vMerge w:val="continue"/>
                  <w:tcBorders>
                    <w:tl2br w:val="nil"/>
                    <w:tr2bl w:val="nil"/>
                  </w:tcBorders>
                  <w:shd w:val="clear" w:color="auto" w:fill="auto"/>
                  <w:vAlign w:val="center"/>
                </w:tcPr>
                <w:p w14:paraId="179A4862">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宋体"/>
                      <w:color w:val="000000" w:themeColor="text1"/>
                      <w:kern w:val="0"/>
                      <w:sz w:val="21"/>
                      <w:szCs w:val="21"/>
                      <w14:textFill>
                        <w14:solidFill>
                          <w14:schemeClr w14:val="tx1"/>
                        </w14:solidFill>
                      </w14:textFill>
                    </w:rPr>
                  </w:pPr>
                </w:p>
              </w:tc>
              <w:tc>
                <w:tcPr>
                  <w:tcW w:w="559" w:type="pct"/>
                  <w:tcBorders>
                    <w:tl2br w:val="nil"/>
                    <w:tr2bl w:val="nil"/>
                  </w:tcBorders>
                  <w:vAlign w:val="center"/>
                </w:tcPr>
                <w:p w14:paraId="14D79007">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设计</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值</w:t>
                  </w:r>
                </w:p>
              </w:tc>
              <w:tc>
                <w:tcPr>
                  <w:tcW w:w="932" w:type="pct"/>
                  <w:tcBorders>
                    <w:tl2br w:val="nil"/>
                    <w:tr2bl w:val="nil"/>
                  </w:tcBorders>
                  <w:shd w:val="clear" w:color="auto" w:fill="auto"/>
                  <w:vAlign w:val="center"/>
                </w:tcPr>
                <w:p w14:paraId="2CBD0767">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无</w:t>
                  </w:r>
                </w:p>
              </w:tc>
              <w:tc>
                <w:tcPr>
                  <w:tcW w:w="1263" w:type="pct"/>
                  <w:tcBorders>
                    <w:tl2br w:val="nil"/>
                    <w:tr2bl w:val="nil"/>
                  </w:tcBorders>
                  <w:shd w:val="clear" w:color="auto" w:fill="auto"/>
                  <w:vAlign w:val="center"/>
                </w:tcPr>
                <w:p w14:paraId="6AD1D05C">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无</w:t>
                  </w:r>
                </w:p>
              </w:tc>
              <w:tc>
                <w:tcPr>
                  <w:tcW w:w="876" w:type="pct"/>
                  <w:tcBorders>
                    <w:tl2br w:val="nil"/>
                    <w:tr2bl w:val="nil"/>
                  </w:tcBorders>
                  <w:vAlign w:val="center"/>
                </w:tcPr>
                <w:p w14:paraId="0E334060">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w:t>
                  </w:r>
                </w:p>
              </w:tc>
            </w:tr>
            <w:tr w14:paraId="3C6A11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5" w:type="pct"/>
                  <w:vMerge w:val="continue"/>
                  <w:tcBorders>
                    <w:tl2br w:val="nil"/>
                    <w:tr2bl w:val="nil"/>
                  </w:tcBorders>
                  <w:shd w:val="clear" w:color="auto" w:fill="auto"/>
                  <w:vAlign w:val="center"/>
                </w:tcPr>
                <w:p w14:paraId="39056616">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宋体"/>
                      <w:color w:val="000000" w:themeColor="text1"/>
                      <w:kern w:val="0"/>
                      <w:sz w:val="21"/>
                      <w:szCs w:val="21"/>
                      <w14:textFill>
                        <w14:solidFill>
                          <w14:schemeClr w14:val="tx1"/>
                        </w14:solidFill>
                      </w14:textFill>
                    </w:rPr>
                  </w:pPr>
                </w:p>
              </w:tc>
              <w:tc>
                <w:tcPr>
                  <w:tcW w:w="941" w:type="pct"/>
                  <w:vMerge w:val="restart"/>
                  <w:tcBorders>
                    <w:tl2br w:val="nil"/>
                    <w:tr2bl w:val="nil"/>
                  </w:tcBorders>
                  <w:shd w:val="clear" w:color="auto" w:fill="auto"/>
                  <w:vAlign w:val="center"/>
                </w:tcPr>
                <w:p w14:paraId="1F2A3B2D">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二类保护物</w:t>
                  </w:r>
                </w:p>
              </w:tc>
              <w:tc>
                <w:tcPr>
                  <w:tcW w:w="559" w:type="pct"/>
                  <w:tcBorders>
                    <w:tl2br w:val="nil"/>
                    <w:tr2bl w:val="nil"/>
                  </w:tcBorders>
                  <w:vAlign w:val="center"/>
                </w:tcPr>
                <w:p w14:paraId="322CF761">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规范</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值</w:t>
                  </w:r>
                </w:p>
              </w:tc>
              <w:tc>
                <w:tcPr>
                  <w:tcW w:w="932" w:type="pct"/>
                  <w:tcBorders>
                    <w:tl2br w:val="nil"/>
                    <w:tr2bl w:val="nil"/>
                  </w:tcBorders>
                  <w:shd w:val="clear" w:color="auto" w:fill="auto"/>
                  <w:vAlign w:val="center"/>
                </w:tcPr>
                <w:p w14:paraId="021B0967">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11</w:t>
                  </w:r>
                  <w:r>
                    <w:rPr>
                      <w:rFonts w:hint="eastAsia" w:ascii="Times New Roman" w:hAnsi="Times New Roman" w:eastAsia="宋体" w:cs="Times New Roman"/>
                      <w:color w:val="000000" w:themeColor="text1"/>
                      <w:kern w:val="0"/>
                      <w:sz w:val="21"/>
                      <w:szCs w:val="21"/>
                      <w14:textFill>
                        <w14:solidFill>
                          <w14:schemeClr w14:val="tx1"/>
                        </w14:solidFill>
                      </w14:textFill>
                    </w:rPr>
                    <w:t>（6）</w:t>
                  </w:r>
                </w:p>
              </w:tc>
              <w:tc>
                <w:tcPr>
                  <w:tcW w:w="1263" w:type="pct"/>
                  <w:tcBorders>
                    <w:tl2br w:val="nil"/>
                    <w:tr2bl w:val="nil"/>
                  </w:tcBorders>
                  <w:shd w:val="clear" w:color="auto" w:fill="auto"/>
                  <w:vAlign w:val="center"/>
                </w:tcPr>
                <w:p w14:paraId="62445AA1">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8.5</w:t>
                  </w:r>
                  <w:r>
                    <w:rPr>
                      <w:rFonts w:hint="eastAsia" w:ascii="Times New Roman" w:hAnsi="Times New Roman" w:eastAsia="宋体" w:cs="Times New Roman"/>
                      <w:color w:val="000000" w:themeColor="text1"/>
                      <w:kern w:val="0"/>
                      <w:sz w:val="21"/>
                      <w:szCs w:val="21"/>
                      <w14:textFill>
                        <w14:solidFill>
                          <w14:schemeClr w14:val="tx1"/>
                        </w14:solidFill>
                      </w14:textFill>
                    </w:rPr>
                    <w:t>（6）</w:t>
                  </w:r>
                </w:p>
              </w:tc>
              <w:tc>
                <w:tcPr>
                  <w:tcW w:w="876" w:type="pct"/>
                  <w:tcBorders>
                    <w:tl2br w:val="nil"/>
                    <w:tr2bl w:val="nil"/>
                  </w:tcBorders>
                  <w:vAlign w:val="center"/>
                </w:tcPr>
                <w:p w14:paraId="7355C4C1">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w:t>
                  </w:r>
                </w:p>
              </w:tc>
            </w:tr>
            <w:tr w14:paraId="5E0117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5" w:type="pct"/>
                  <w:vMerge w:val="continue"/>
                  <w:tcBorders>
                    <w:tl2br w:val="nil"/>
                    <w:tr2bl w:val="nil"/>
                  </w:tcBorders>
                  <w:shd w:val="clear" w:color="auto" w:fill="auto"/>
                  <w:vAlign w:val="center"/>
                </w:tcPr>
                <w:p w14:paraId="4C1C2F8E">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宋体"/>
                      <w:color w:val="000000" w:themeColor="text1"/>
                      <w:kern w:val="0"/>
                      <w:sz w:val="21"/>
                      <w:szCs w:val="21"/>
                      <w14:textFill>
                        <w14:solidFill>
                          <w14:schemeClr w14:val="tx1"/>
                        </w14:solidFill>
                      </w14:textFill>
                    </w:rPr>
                  </w:pPr>
                </w:p>
              </w:tc>
              <w:tc>
                <w:tcPr>
                  <w:tcW w:w="941" w:type="pct"/>
                  <w:vMerge w:val="continue"/>
                  <w:tcBorders>
                    <w:tl2br w:val="nil"/>
                    <w:tr2bl w:val="nil"/>
                  </w:tcBorders>
                  <w:shd w:val="clear" w:color="auto" w:fill="auto"/>
                  <w:vAlign w:val="center"/>
                </w:tcPr>
                <w:p w14:paraId="705937A5">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宋体"/>
                      <w:color w:val="000000" w:themeColor="text1"/>
                      <w:kern w:val="0"/>
                      <w:sz w:val="21"/>
                      <w:szCs w:val="21"/>
                      <w14:textFill>
                        <w14:solidFill>
                          <w14:schemeClr w14:val="tx1"/>
                        </w14:solidFill>
                      </w14:textFill>
                    </w:rPr>
                  </w:pPr>
                </w:p>
              </w:tc>
              <w:tc>
                <w:tcPr>
                  <w:tcW w:w="559" w:type="pct"/>
                  <w:tcBorders>
                    <w:tl2br w:val="nil"/>
                    <w:tr2bl w:val="nil"/>
                  </w:tcBorders>
                  <w:vAlign w:val="center"/>
                </w:tcPr>
                <w:p w14:paraId="29B8A5B6">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设计</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值</w:t>
                  </w:r>
                </w:p>
              </w:tc>
              <w:tc>
                <w:tcPr>
                  <w:tcW w:w="932" w:type="pct"/>
                  <w:tcBorders>
                    <w:tl2br w:val="nil"/>
                    <w:tr2bl w:val="nil"/>
                  </w:tcBorders>
                  <w:shd w:val="clear" w:color="auto" w:fill="auto"/>
                  <w:vAlign w:val="center"/>
                </w:tcPr>
                <w:p w14:paraId="2BB9F8D5">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无</w:t>
                  </w:r>
                </w:p>
              </w:tc>
              <w:tc>
                <w:tcPr>
                  <w:tcW w:w="1263" w:type="pct"/>
                  <w:tcBorders>
                    <w:tl2br w:val="nil"/>
                    <w:tr2bl w:val="nil"/>
                  </w:tcBorders>
                  <w:shd w:val="clear" w:color="auto" w:fill="auto"/>
                  <w:vAlign w:val="center"/>
                </w:tcPr>
                <w:p w14:paraId="188BC252">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无</w:t>
                  </w:r>
                </w:p>
              </w:tc>
              <w:tc>
                <w:tcPr>
                  <w:tcW w:w="876" w:type="pct"/>
                  <w:tcBorders>
                    <w:tl2br w:val="nil"/>
                    <w:tr2bl w:val="nil"/>
                  </w:tcBorders>
                  <w:vAlign w:val="center"/>
                </w:tcPr>
                <w:p w14:paraId="44AA8D72">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w:t>
                  </w:r>
                </w:p>
              </w:tc>
            </w:tr>
            <w:tr w14:paraId="4FEEDA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5" w:type="pct"/>
                  <w:vMerge w:val="continue"/>
                  <w:tcBorders>
                    <w:tl2br w:val="nil"/>
                    <w:tr2bl w:val="nil"/>
                  </w:tcBorders>
                  <w:shd w:val="clear" w:color="auto" w:fill="auto"/>
                  <w:vAlign w:val="center"/>
                </w:tcPr>
                <w:p w14:paraId="6ADFD4E6">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auto"/>
                    <w:rPr>
                      <w:rFonts w:ascii="Times New Roman" w:hAnsi="Times New Roman" w:eastAsia="宋体" w:cs="宋体"/>
                      <w:color w:val="000000" w:themeColor="text1"/>
                      <w:kern w:val="0"/>
                      <w:sz w:val="21"/>
                      <w:szCs w:val="21"/>
                      <w14:textFill>
                        <w14:solidFill>
                          <w14:schemeClr w14:val="tx1"/>
                        </w14:solidFill>
                      </w14:textFill>
                    </w:rPr>
                  </w:pPr>
                </w:p>
              </w:tc>
              <w:tc>
                <w:tcPr>
                  <w:tcW w:w="941" w:type="pct"/>
                  <w:vMerge w:val="restart"/>
                  <w:tcBorders>
                    <w:tl2br w:val="nil"/>
                    <w:tr2bl w:val="nil"/>
                  </w:tcBorders>
                  <w:shd w:val="clear" w:color="auto" w:fill="auto"/>
                  <w:vAlign w:val="center"/>
                </w:tcPr>
                <w:p w14:paraId="27F76BF3">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三类保护物</w:t>
                  </w:r>
                </w:p>
              </w:tc>
              <w:tc>
                <w:tcPr>
                  <w:tcW w:w="559" w:type="pct"/>
                  <w:tcBorders>
                    <w:tl2br w:val="nil"/>
                    <w:tr2bl w:val="nil"/>
                  </w:tcBorders>
                  <w:vAlign w:val="center"/>
                </w:tcPr>
                <w:p w14:paraId="59F50E6F">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规范</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值</w:t>
                  </w:r>
                </w:p>
              </w:tc>
              <w:tc>
                <w:tcPr>
                  <w:tcW w:w="932" w:type="pct"/>
                  <w:tcBorders>
                    <w:tl2br w:val="nil"/>
                    <w:tr2bl w:val="nil"/>
                  </w:tcBorders>
                  <w:shd w:val="clear" w:color="auto" w:fill="auto"/>
                  <w:vAlign w:val="center"/>
                </w:tcPr>
                <w:p w14:paraId="2937AB44">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8.5</w:t>
                  </w:r>
                  <w:r>
                    <w:rPr>
                      <w:rFonts w:hint="eastAsia" w:ascii="Times New Roman" w:hAnsi="Times New Roman" w:eastAsia="宋体" w:cs="Times New Roman"/>
                      <w:color w:val="000000" w:themeColor="text1"/>
                      <w:kern w:val="0"/>
                      <w:sz w:val="21"/>
                      <w:szCs w:val="21"/>
                      <w14:textFill>
                        <w14:solidFill>
                          <w14:schemeClr w14:val="tx1"/>
                        </w14:solidFill>
                      </w14:textFill>
                    </w:rPr>
                    <w:t>（6）</w:t>
                  </w:r>
                </w:p>
              </w:tc>
              <w:tc>
                <w:tcPr>
                  <w:tcW w:w="1263" w:type="pct"/>
                  <w:tcBorders>
                    <w:tl2br w:val="nil"/>
                    <w:tr2bl w:val="nil"/>
                  </w:tcBorders>
                  <w:shd w:val="clear" w:color="auto" w:fill="auto"/>
                  <w:vAlign w:val="center"/>
                </w:tcPr>
                <w:p w14:paraId="57B21B9B">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7</w:t>
                  </w:r>
                  <w:r>
                    <w:rPr>
                      <w:rFonts w:hint="eastAsia" w:ascii="Times New Roman" w:hAnsi="Times New Roman" w:eastAsia="宋体" w:cs="Times New Roman"/>
                      <w:color w:val="000000" w:themeColor="text1"/>
                      <w:kern w:val="0"/>
                      <w:sz w:val="21"/>
                      <w:szCs w:val="21"/>
                      <w14:textFill>
                        <w14:solidFill>
                          <w14:schemeClr w14:val="tx1"/>
                        </w14:solidFill>
                      </w14:textFill>
                    </w:rPr>
                    <w:t>（6）</w:t>
                  </w:r>
                </w:p>
              </w:tc>
              <w:tc>
                <w:tcPr>
                  <w:tcW w:w="876" w:type="pct"/>
                  <w:tcBorders>
                    <w:tl2br w:val="nil"/>
                    <w:tr2bl w:val="nil"/>
                  </w:tcBorders>
                  <w:vAlign w:val="center"/>
                </w:tcPr>
                <w:p w14:paraId="66D9E338">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w:t>
                  </w:r>
                </w:p>
              </w:tc>
            </w:tr>
            <w:tr w14:paraId="1F4D95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5" w:type="pct"/>
                  <w:vMerge w:val="continue"/>
                  <w:tcBorders>
                    <w:tl2br w:val="nil"/>
                    <w:tr2bl w:val="nil"/>
                  </w:tcBorders>
                  <w:shd w:val="clear" w:color="auto" w:fill="auto"/>
                  <w:vAlign w:val="center"/>
                </w:tcPr>
                <w:p w14:paraId="193B5D9A">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auto"/>
                    <w:rPr>
                      <w:rFonts w:ascii="Times New Roman" w:hAnsi="Times New Roman" w:eastAsia="宋体" w:cs="宋体"/>
                      <w:color w:val="000000" w:themeColor="text1"/>
                      <w:kern w:val="0"/>
                      <w:sz w:val="21"/>
                      <w:szCs w:val="21"/>
                      <w14:textFill>
                        <w14:solidFill>
                          <w14:schemeClr w14:val="tx1"/>
                        </w14:solidFill>
                      </w14:textFill>
                    </w:rPr>
                  </w:pPr>
                </w:p>
              </w:tc>
              <w:tc>
                <w:tcPr>
                  <w:tcW w:w="941" w:type="pct"/>
                  <w:vMerge w:val="continue"/>
                  <w:tcBorders>
                    <w:tl2br w:val="nil"/>
                    <w:tr2bl w:val="nil"/>
                  </w:tcBorders>
                  <w:shd w:val="clear" w:color="auto" w:fill="auto"/>
                  <w:vAlign w:val="center"/>
                </w:tcPr>
                <w:p w14:paraId="1582AB8C">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宋体"/>
                      <w:color w:val="000000" w:themeColor="text1"/>
                      <w:kern w:val="0"/>
                      <w:sz w:val="21"/>
                      <w:szCs w:val="21"/>
                      <w14:textFill>
                        <w14:solidFill>
                          <w14:schemeClr w14:val="tx1"/>
                        </w14:solidFill>
                      </w14:textFill>
                    </w:rPr>
                  </w:pPr>
                </w:p>
              </w:tc>
              <w:tc>
                <w:tcPr>
                  <w:tcW w:w="559" w:type="pct"/>
                  <w:tcBorders>
                    <w:tl2br w:val="nil"/>
                    <w:tr2bl w:val="nil"/>
                  </w:tcBorders>
                  <w:vAlign w:val="center"/>
                </w:tcPr>
                <w:p w14:paraId="50FBE217">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设计</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值</w:t>
                  </w:r>
                </w:p>
              </w:tc>
              <w:tc>
                <w:tcPr>
                  <w:tcW w:w="932" w:type="pct"/>
                  <w:tcBorders>
                    <w:tl2br w:val="nil"/>
                    <w:tr2bl w:val="nil"/>
                  </w:tcBorders>
                  <w:shd w:val="clear" w:color="auto" w:fill="auto"/>
                  <w:vAlign w:val="center"/>
                </w:tcPr>
                <w:p w14:paraId="6A1D6A17">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无</w:t>
                  </w:r>
                </w:p>
              </w:tc>
              <w:tc>
                <w:tcPr>
                  <w:tcW w:w="1263" w:type="pct"/>
                  <w:tcBorders>
                    <w:tl2br w:val="nil"/>
                    <w:tr2bl w:val="nil"/>
                  </w:tcBorders>
                  <w:shd w:val="clear" w:color="auto" w:fill="auto"/>
                  <w:vAlign w:val="center"/>
                </w:tcPr>
                <w:p w14:paraId="057BD71D">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无</w:t>
                  </w:r>
                </w:p>
              </w:tc>
              <w:tc>
                <w:tcPr>
                  <w:tcW w:w="876" w:type="pct"/>
                  <w:tcBorders>
                    <w:tl2br w:val="nil"/>
                    <w:tr2bl w:val="nil"/>
                  </w:tcBorders>
                  <w:vAlign w:val="center"/>
                </w:tcPr>
                <w:p w14:paraId="7AF83671">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w:t>
                  </w:r>
                </w:p>
              </w:tc>
            </w:tr>
            <w:tr w14:paraId="6E0B14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367" w:type="pct"/>
                  <w:gridSpan w:val="2"/>
                  <w:vMerge w:val="restart"/>
                  <w:tcBorders>
                    <w:tl2br w:val="nil"/>
                    <w:tr2bl w:val="nil"/>
                  </w:tcBorders>
                  <w:shd w:val="clear" w:color="auto" w:fill="auto"/>
                  <w:vAlign w:val="center"/>
                </w:tcPr>
                <w:p w14:paraId="7E5E9AB4">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甲、乙类物品生产厂房、库房和甲、乙类液体储罐</w:t>
                  </w:r>
                </w:p>
              </w:tc>
              <w:tc>
                <w:tcPr>
                  <w:tcW w:w="559" w:type="pct"/>
                  <w:tcBorders>
                    <w:tl2br w:val="nil"/>
                    <w:tr2bl w:val="nil"/>
                  </w:tcBorders>
                  <w:vAlign w:val="center"/>
                </w:tcPr>
                <w:p w14:paraId="0E61E06F">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规范</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值</w:t>
                  </w:r>
                </w:p>
              </w:tc>
              <w:tc>
                <w:tcPr>
                  <w:tcW w:w="932" w:type="pct"/>
                  <w:tcBorders>
                    <w:tl2br w:val="nil"/>
                    <w:tr2bl w:val="nil"/>
                  </w:tcBorders>
                  <w:shd w:val="clear" w:color="auto" w:fill="auto"/>
                  <w:vAlign w:val="center"/>
                </w:tcPr>
                <w:p w14:paraId="5BEBAB4F">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15.5</w:t>
                  </w:r>
                  <w:r>
                    <w:rPr>
                      <w:rFonts w:hint="eastAsia" w:ascii="Times New Roman" w:hAnsi="Times New Roman" w:eastAsia="宋体" w:cs="Times New Roman"/>
                      <w:color w:val="000000" w:themeColor="text1"/>
                      <w:kern w:val="0"/>
                      <w:sz w:val="21"/>
                      <w:szCs w:val="21"/>
                      <w14:textFill>
                        <w14:solidFill>
                          <w14:schemeClr w14:val="tx1"/>
                        </w14:solidFill>
                      </w14:textFill>
                    </w:rPr>
                    <w:t>（11）</w:t>
                  </w:r>
                </w:p>
              </w:tc>
              <w:tc>
                <w:tcPr>
                  <w:tcW w:w="1263" w:type="pct"/>
                  <w:tcBorders>
                    <w:tl2br w:val="nil"/>
                    <w:tr2bl w:val="nil"/>
                  </w:tcBorders>
                  <w:shd w:val="clear" w:color="auto" w:fill="auto"/>
                  <w:vAlign w:val="center"/>
                </w:tcPr>
                <w:p w14:paraId="7B17DD3F">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12.5</w:t>
                  </w:r>
                  <w:r>
                    <w:rPr>
                      <w:rFonts w:hint="eastAsia" w:ascii="Times New Roman" w:hAnsi="Times New Roman" w:eastAsia="宋体" w:cs="Times New Roman"/>
                      <w:color w:val="000000" w:themeColor="text1"/>
                      <w:kern w:val="0"/>
                      <w:sz w:val="21"/>
                      <w:szCs w:val="21"/>
                      <w14:textFill>
                        <w14:solidFill>
                          <w14:schemeClr w14:val="tx1"/>
                        </w14:solidFill>
                      </w14:textFill>
                    </w:rPr>
                    <w:t>（9）</w:t>
                  </w:r>
                </w:p>
              </w:tc>
              <w:tc>
                <w:tcPr>
                  <w:tcW w:w="876" w:type="pct"/>
                  <w:tcBorders>
                    <w:tl2br w:val="nil"/>
                    <w:tr2bl w:val="nil"/>
                  </w:tcBorders>
                  <w:vAlign w:val="center"/>
                </w:tcPr>
                <w:p w14:paraId="5D8FBB23">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p>
              </w:tc>
            </w:tr>
            <w:tr w14:paraId="3197BF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67" w:type="pct"/>
                  <w:gridSpan w:val="2"/>
                  <w:vMerge w:val="continue"/>
                  <w:tcBorders>
                    <w:tl2br w:val="nil"/>
                    <w:tr2bl w:val="nil"/>
                  </w:tcBorders>
                  <w:shd w:val="clear" w:color="auto" w:fill="auto"/>
                  <w:vAlign w:val="center"/>
                </w:tcPr>
                <w:p w14:paraId="3A164E46">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宋体"/>
                      <w:color w:val="000000" w:themeColor="text1"/>
                      <w:kern w:val="0"/>
                      <w:sz w:val="21"/>
                      <w:szCs w:val="21"/>
                      <w14:textFill>
                        <w14:solidFill>
                          <w14:schemeClr w14:val="tx1"/>
                        </w14:solidFill>
                      </w14:textFill>
                    </w:rPr>
                  </w:pPr>
                </w:p>
              </w:tc>
              <w:tc>
                <w:tcPr>
                  <w:tcW w:w="559" w:type="pct"/>
                  <w:tcBorders>
                    <w:tl2br w:val="nil"/>
                    <w:tr2bl w:val="nil"/>
                  </w:tcBorders>
                  <w:vAlign w:val="center"/>
                </w:tcPr>
                <w:p w14:paraId="04C5A2C8">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设计</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值</w:t>
                  </w:r>
                </w:p>
              </w:tc>
              <w:tc>
                <w:tcPr>
                  <w:tcW w:w="932" w:type="pct"/>
                  <w:tcBorders>
                    <w:tl2br w:val="nil"/>
                    <w:tr2bl w:val="nil"/>
                  </w:tcBorders>
                  <w:shd w:val="clear" w:color="auto" w:fill="auto"/>
                  <w:vAlign w:val="center"/>
                </w:tcPr>
                <w:p w14:paraId="2D0293D8">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无</w:t>
                  </w:r>
                </w:p>
              </w:tc>
              <w:tc>
                <w:tcPr>
                  <w:tcW w:w="1263" w:type="pct"/>
                  <w:tcBorders>
                    <w:tl2br w:val="nil"/>
                    <w:tr2bl w:val="nil"/>
                  </w:tcBorders>
                  <w:shd w:val="clear" w:color="auto" w:fill="auto"/>
                  <w:vAlign w:val="center"/>
                </w:tcPr>
                <w:p w14:paraId="56EEA05B">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无</w:t>
                  </w:r>
                </w:p>
              </w:tc>
              <w:tc>
                <w:tcPr>
                  <w:tcW w:w="876" w:type="pct"/>
                  <w:tcBorders>
                    <w:tl2br w:val="nil"/>
                    <w:tr2bl w:val="nil"/>
                  </w:tcBorders>
                  <w:vAlign w:val="center"/>
                </w:tcPr>
                <w:p w14:paraId="1B8AA990">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w:t>
                  </w:r>
                </w:p>
              </w:tc>
            </w:tr>
            <w:tr w14:paraId="39132E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67" w:type="pct"/>
                  <w:gridSpan w:val="2"/>
                  <w:vMerge w:val="restart"/>
                  <w:tcBorders>
                    <w:tl2br w:val="nil"/>
                    <w:tr2bl w:val="nil"/>
                  </w:tcBorders>
                  <w:shd w:val="clear" w:color="auto" w:fill="auto"/>
                  <w:vAlign w:val="center"/>
                </w:tcPr>
                <w:p w14:paraId="259572FC">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丙、丁、戊类物品生产厂房、库房和丙类液体储罐，以及单罐容积不大于</w:t>
                  </w:r>
                  <w:r>
                    <w:rPr>
                      <w:rFonts w:ascii="Times New Roman" w:hAnsi="Times New Roman" w:eastAsia="宋体" w:cs="Times New Roman"/>
                      <w:color w:val="000000" w:themeColor="text1"/>
                      <w:kern w:val="0"/>
                      <w:sz w:val="21"/>
                      <w:szCs w:val="21"/>
                      <w14:textFill>
                        <w14:solidFill>
                          <w14:schemeClr w14:val="tx1"/>
                        </w14:solidFill>
                      </w14:textFill>
                    </w:rPr>
                    <w:t>50m</w:t>
                  </w:r>
                  <w:r>
                    <w:rPr>
                      <w:rFonts w:ascii="Times New Roman" w:hAnsi="Times New Roman" w:eastAsia="宋体" w:cs="Times New Roman"/>
                      <w:color w:val="000000" w:themeColor="text1"/>
                      <w:kern w:val="0"/>
                      <w:sz w:val="21"/>
                      <w:szCs w:val="21"/>
                      <w:vertAlign w:val="superscript"/>
                      <w14:textFill>
                        <w14:solidFill>
                          <w14:schemeClr w14:val="tx1"/>
                        </w14:solidFill>
                      </w14:textFill>
                    </w:rPr>
                    <w:t>3</w:t>
                  </w:r>
                  <w:r>
                    <w:rPr>
                      <w:rFonts w:hint="eastAsia" w:ascii="Times New Roman" w:hAnsi="Times New Roman" w:eastAsia="宋体" w:cs="宋体"/>
                      <w:color w:val="000000" w:themeColor="text1"/>
                      <w:kern w:val="0"/>
                      <w:sz w:val="21"/>
                      <w:szCs w:val="21"/>
                      <w14:textFill>
                        <w14:solidFill>
                          <w14:schemeClr w14:val="tx1"/>
                        </w14:solidFill>
                      </w14:textFill>
                    </w:rPr>
                    <w:t>的埋地甲、乙类液体储罐</w:t>
                  </w:r>
                </w:p>
              </w:tc>
              <w:tc>
                <w:tcPr>
                  <w:tcW w:w="559" w:type="pct"/>
                  <w:tcBorders>
                    <w:tl2br w:val="nil"/>
                    <w:tr2bl w:val="nil"/>
                  </w:tcBorders>
                  <w:vAlign w:val="center"/>
                </w:tcPr>
                <w:p w14:paraId="7168EE5B">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规范</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值</w:t>
                  </w:r>
                </w:p>
              </w:tc>
              <w:tc>
                <w:tcPr>
                  <w:tcW w:w="932" w:type="pct"/>
                  <w:tcBorders>
                    <w:tl2br w:val="nil"/>
                    <w:tr2bl w:val="nil"/>
                  </w:tcBorders>
                  <w:shd w:val="clear" w:color="auto" w:fill="auto"/>
                  <w:vAlign w:val="center"/>
                </w:tcPr>
                <w:p w14:paraId="618D1DD4">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11</w:t>
                  </w:r>
                  <w:r>
                    <w:rPr>
                      <w:rFonts w:hint="eastAsia" w:ascii="Times New Roman" w:hAnsi="Times New Roman" w:eastAsia="宋体" w:cs="Times New Roman"/>
                      <w:color w:val="000000" w:themeColor="text1"/>
                      <w:kern w:val="0"/>
                      <w:sz w:val="21"/>
                      <w:szCs w:val="21"/>
                      <w14:textFill>
                        <w14:solidFill>
                          <w14:schemeClr w14:val="tx1"/>
                        </w14:solidFill>
                      </w14:textFill>
                    </w:rPr>
                    <w:t>（9）</w:t>
                  </w:r>
                </w:p>
              </w:tc>
              <w:tc>
                <w:tcPr>
                  <w:tcW w:w="1263" w:type="pct"/>
                  <w:tcBorders>
                    <w:tl2br w:val="nil"/>
                    <w:tr2bl w:val="nil"/>
                  </w:tcBorders>
                  <w:shd w:val="clear" w:color="auto" w:fill="auto"/>
                  <w:vAlign w:val="center"/>
                </w:tcPr>
                <w:p w14:paraId="7DBE491F">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10.5</w:t>
                  </w:r>
                  <w:r>
                    <w:rPr>
                      <w:rFonts w:hint="eastAsia" w:ascii="Times New Roman" w:hAnsi="Times New Roman" w:eastAsia="宋体" w:cs="Times New Roman"/>
                      <w:color w:val="000000" w:themeColor="text1"/>
                      <w:kern w:val="0"/>
                      <w:sz w:val="21"/>
                      <w:szCs w:val="21"/>
                      <w14:textFill>
                        <w14:solidFill>
                          <w14:schemeClr w14:val="tx1"/>
                        </w14:solidFill>
                      </w14:textFill>
                    </w:rPr>
                    <w:t>（9）</w:t>
                  </w:r>
                </w:p>
              </w:tc>
              <w:tc>
                <w:tcPr>
                  <w:tcW w:w="876" w:type="pct"/>
                  <w:tcBorders>
                    <w:tl2br w:val="nil"/>
                    <w:tr2bl w:val="nil"/>
                  </w:tcBorders>
                  <w:vAlign w:val="center"/>
                </w:tcPr>
                <w:p w14:paraId="080814D0">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w:t>
                  </w:r>
                </w:p>
              </w:tc>
            </w:tr>
            <w:tr w14:paraId="0BADAB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67" w:type="pct"/>
                  <w:gridSpan w:val="2"/>
                  <w:vMerge w:val="continue"/>
                  <w:tcBorders>
                    <w:tl2br w:val="nil"/>
                    <w:tr2bl w:val="nil"/>
                  </w:tcBorders>
                  <w:shd w:val="clear" w:color="auto" w:fill="auto"/>
                  <w:vAlign w:val="center"/>
                </w:tcPr>
                <w:p w14:paraId="2FE8F4A6">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宋体"/>
                      <w:color w:val="000000" w:themeColor="text1"/>
                      <w:kern w:val="0"/>
                      <w:sz w:val="21"/>
                      <w:szCs w:val="21"/>
                      <w14:textFill>
                        <w14:solidFill>
                          <w14:schemeClr w14:val="tx1"/>
                        </w14:solidFill>
                      </w14:textFill>
                    </w:rPr>
                  </w:pPr>
                </w:p>
              </w:tc>
              <w:tc>
                <w:tcPr>
                  <w:tcW w:w="559" w:type="pct"/>
                  <w:tcBorders>
                    <w:tl2br w:val="nil"/>
                    <w:tr2bl w:val="nil"/>
                  </w:tcBorders>
                  <w:vAlign w:val="center"/>
                </w:tcPr>
                <w:p w14:paraId="16FE511C">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设计</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值</w:t>
                  </w:r>
                </w:p>
              </w:tc>
              <w:tc>
                <w:tcPr>
                  <w:tcW w:w="932" w:type="pct"/>
                  <w:tcBorders>
                    <w:tl2br w:val="nil"/>
                    <w:tr2bl w:val="nil"/>
                  </w:tcBorders>
                  <w:shd w:val="clear" w:color="auto" w:fill="auto"/>
                  <w:vAlign w:val="center"/>
                </w:tcPr>
                <w:p w14:paraId="357A599E">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无</w:t>
                  </w:r>
                </w:p>
              </w:tc>
              <w:tc>
                <w:tcPr>
                  <w:tcW w:w="1263" w:type="pct"/>
                  <w:tcBorders>
                    <w:tl2br w:val="nil"/>
                    <w:tr2bl w:val="nil"/>
                  </w:tcBorders>
                  <w:shd w:val="clear" w:color="auto" w:fill="auto"/>
                  <w:vAlign w:val="center"/>
                </w:tcPr>
                <w:p w14:paraId="31CCCFF3">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无</w:t>
                  </w:r>
                </w:p>
              </w:tc>
              <w:tc>
                <w:tcPr>
                  <w:tcW w:w="876" w:type="pct"/>
                  <w:tcBorders>
                    <w:tl2br w:val="nil"/>
                    <w:tr2bl w:val="nil"/>
                  </w:tcBorders>
                  <w:vAlign w:val="center"/>
                </w:tcPr>
                <w:p w14:paraId="1952770B">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w:t>
                  </w:r>
                </w:p>
              </w:tc>
            </w:tr>
            <w:tr w14:paraId="726687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67" w:type="pct"/>
                  <w:gridSpan w:val="2"/>
                  <w:vMerge w:val="restart"/>
                  <w:tcBorders>
                    <w:tl2br w:val="nil"/>
                    <w:tr2bl w:val="nil"/>
                  </w:tcBorders>
                  <w:shd w:val="clear" w:color="auto" w:fill="auto"/>
                  <w:vAlign w:val="center"/>
                </w:tcPr>
                <w:p w14:paraId="20A0CF8A">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室外变配电站</w:t>
                  </w:r>
                </w:p>
              </w:tc>
              <w:tc>
                <w:tcPr>
                  <w:tcW w:w="559" w:type="pct"/>
                  <w:tcBorders>
                    <w:tl2br w:val="nil"/>
                    <w:tr2bl w:val="nil"/>
                  </w:tcBorders>
                  <w:vAlign w:val="center"/>
                </w:tcPr>
                <w:p w14:paraId="5446AEFB">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规范</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值</w:t>
                  </w:r>
                </w:p>
              </w:tc>
              <w:tc>
                <w:tcPr>
                  <w:tcW w:w="932" w:type="pct"/>
                  <w:tcBorders>
                    <w:tl2br w:val="nil"/>
                    <w:tr2bl w:val="nil"/>
                  </w:tcBorders>
                  <w:shd w:val="clear" w:color="auto" w:fill="auto"/>
                  <w:vAlign w:val="center"/>
                </w:tcPr>
                <w:p w14:paraId="36B3C8D2">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15.5</w:t>
                  </w:r>
                  <w:r>
                    <w:rPr>
                      <w:rFonts w:hint="eastAsia" w:ascii="Times New Roman" w:hAnsi="Times New Roman" w:eastAsia="宋体" w:cs="Times New Roman"/>
                      <w:color w:val="000000" w:themeColor="text1"/>
                      <w:kern w:val="0"/>
                      <w:sz w:val="21"/>
                      <w:szCs w:val="21"/>
                      <w14:textFill>
                        <w14:solidFill>
                          <w14:schemeClr w14:val="tx1"/>
                        </w14:solidFill>
                      </w14:textFill>
                    </w:rPr>
                    <w:t>（12.5）</w:t>
                  </w:r>
                </w:p>
              </w:tc>
              <w:tc>
                <w:tcPr>
                  <w:tcW w:w="1263" w:type="pct"/>
                  <w:tcBorders>
                    <w:tl2br w:val="nil"/>
                    <w:tr2bl w:val="nil"/>
                  </w:tcBorders>
                  <w:shd w:val="clear" w:color="auto" w:fill="auto"/>
                  <w:vAlign w:val="center"/>
                </w:tcPr>
                <w:p w14:paraId="2A2C00E0">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12.5</w:t>
                  </w:r>
                  <w:r>
                    <w:rPr>
                      <w:rFonts w:hint="eastAsia" w:ascii="Times New Roman" w:hAnsi="Times New Roman" w:eastAsia="宋体" w:cs="Times New Roman"/>
                      <w:color w:val="000000" w:themeColor="text1"/>
                      <w:kern w:val="0"/>
                      <w:sz w:val="21"/>
                      <w:szCs w:val="21"/>
                      <w14:textFill>
                        <w14:solidFill>
                          <w14:schemeClr w14:val="tx1"/>
                        </w14:solidFill>
                      </w14:textFill>
                    </w:rPr>
                    <w:t>（12.5）</w:t>
                  </w:r>
                </w:p>
              </w:tc>
              <w:tc>
                <w:tcPr>
                  <w:tcW w:w="876" w:type="pct"/>
                  <w:tcBorders>
                    <w:tl2br w:val="nil"/>
                    <w:tr2bl w:val="nil"/>
                  </w:tcBorders>
                  <w:vAlign w:val="center"/>
                </w:tcPr>
                <w:p w14:paraId="752A4A05">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w:t>
                  </w:r>
                </w:p>
              </w:tc>
            </w:tr>
            <w:tr w14:paraId="64A55B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67" w:type="pct"/>
                  <w:gridSpan w:val="2"/>
                  <w:vMerge w:val="continue"/>
                  <w:tcBorders>
                    <w:tl2br w:val="nil"/>
                    <w:tr2bl w:val="nil"/>
                  </w:tcBorders>
                  <w:shd w:val="clear" w:color="auto" w:fill="auto"/>
                  <w:vAlign w:val="center"/>
                </w:tcPr>
                <w:p w14:paraId="627A1891">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宋体"/>
                      <w:color w:val="000000" w:themeColor="text1"/>
                      <w:kern w:val="0"/>
                      <w:sz w:val="21"/>
                      <w:szCs w:val="21"/>
                      <w14:textFill>
                        <w14:solidFill>
                          <w14:schemeClr w14:val="tx1"/>
                        </w14:solidFill>
                      </w14:textFill>
                    </w:rPr>
                  </w:pPr>
                </w:p>
              </w:tc>
              <w:tc>
                <w:tcPr>
                  <w:tcW w:w="559" w:type="pct"/>
                  <w:tcBorders>
                    <w:tl2br w:val="nil"/>
                    <w:tr2bl w:val="nil"/>
                  </w:tcBorders>
                  <w:vAlign w:val="center"/>
                </w:tcPr>
                <w:p w14:paraId="010D61CC">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设计</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值</w:t>
                  </w:r>
                </w:p>
              </w:tc>
              <w:tc>
                <w:tcPr>
                  <w:tcW w:w="932" w:type="pct"/>
                  <w:tcBorders>
                    <w:tl2br w:val="nil"/>
                    <w:tr2bl w:val="nil"/>
                  </w:tcBorders>
                  <w:shd w:val="clear" w:color="auto" w:fill="auto"/>
                  <w:vAlign w:val="center"/>
                </w:tcPr>
                <w:p w14:paraId="796D90E5">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无</w:t>
                  </w:r>
                </w:p>
              </w:tc>
              <w:tc>
                <w:tcPr>
                  <w:tcW w:w="1263" w:type="pct"/>
                  <w:tcBorders>
                    <w:tl2br w:val="nil"/>
                    <w:tr2bl w:val="nil"/>
                  </w:tcBorders>
                  <w:shd w:val="clear" w:color="auto" w:fill="auto"/>
                  <w:vAlign w:val="center"/>
                </w:tcPr>
                <w:p w14:paraId="7B5C8D76">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无</w:t>
                  </w:r>
                </w:p>
              </w:tc>
              <w:tc>
                <w:tcPr>
                  <w:tcW w:w="876" w:type="pct"/>
                  <w:tcBorders>
                    <w:tl2br w:val="nil"/>
                    <w:tr2bl w:val="nil"/>
                  </w:tcBorders>
                  <w:vAlign w:val="center"/>
                </w:tcPr>
                <w:p w14:paraId="28ABDF61">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w:t>
                  </w:r>
                </w:p>
              </w:tc>
            </w:tr>
            <w:tr w14:paraId="1FA229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67" w:type="pct"/>
                  <w:gridSpan w:val="2"/>
                  <w:vMerge w:val="restart"/>
                  <w:tcBorders>
                    <w:tl2br w:val="nil"/>
                    <w:tr2bl w:val="nil"/>
                  </w:tcBorders>
                  <w:shd w:val="clear" w:color="auto" w:fill="auto"/>
                  <w:vAlign w:val="center"/>
                </w:tcPr>
                <w:p w14:paraId="36ABF190">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铁路、地上城市轨道线路</w:t>
                  </w:r>
                </w:p>
              </w:tc>
              <w:tc>
                <w:tcPr>
                  <w:tcW w:w="559" w:type="pct"/>
                  <w:tcBorders>
                    <w:tl2br w:val="nil"/>
                    <w:tr2bl w:val="nil"/>
                  </w:tcBorders>
                  <w:vAlign w:val="center"/>
                </w:tcPr>
                <w:p w14:paraId="7D5EE651">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规范</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值</w:t>
                  </w:r>
                </w:p>
              </w:tc>
              <w:tc>
                <w:tcPr>
                  <w:tcW w:w="932" w:type="pct"/>
                  <w:tcBorders>
                    <w:tl2br w:val="nil"/>
                    <w:tr2bl w:val="nil"/>
                  </w:tcBorders>
                  <w:shd w:val="clear" w:color="auto" w:fill="auto"/>
                  <w:vAlign w:val="center"/>
                </w:tcPr>
                <w:p w14:paraId="3CB6BCCB">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15.5</w:t>
                  </w:r>
                  <w:r>
                    <w:rPr>
                      <w:rFonts w:hint="eastAsia" w:ascii="Times New Roman" w:hAnsi="Times New Roman" w:eastAsia="宋体" w:cs="Times New Roman"/>
                      <w:color w:val="000000" w:themeColor="text1"/>
                      <w:kern w:val="0"/>
                      <w:sz w:val="21"/>
                      <w:szCs w:val="21"/>
                      <w14:textFill>
                        <w14:solidFill>
                          <w14:schemeClr w14:val="tx1"/>
                        </w14:solidFill>
                      </w14:textFill>
                    </w:rPr>
                    <w:t>（15）</w:t>
                  </w:r>
                </w:p>
              </w:tc>
              <w:tc>
                <w:tcPr>
                  <w:tcW w:w="1263" w:type="pct"/>
                  <w:tcBorders>
                    <w:tl2br w:val="nil"/>
                    <w:tr2bl w:val="nil"/>
                  </w:tcBorders>
                  <w:shd w:val="clear" w:color="auto" w:fill="auto"/>
                  <w:vAlign w:val="center"/>
                </w:tcPr>
                <w:p w14:paraId="49758BE4">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15.5</w:t>
                  </w:r>
                  <w:r>
                    <w:rPr>
                      <w:rFonts w:hint="eastAsia" w:ascii="Times New Roman" w:hAnsi="Times New Roman" w:eastAsia="宋体" w:cs="Times New Roman"/>
                      <w:color w:val="000000" w:themeColor="text1"/>
                      <w:kern w:val="0"/>
                      <w:sz w:val="21"/>
                      <w:szCs w:val="21"/>
                      <w14:textFill>
                        <w14:solidFill>
                          <w14:schemeClr w14:val="tx1"/>
                        </w14:solidFill>
                      </w14:textFill>
                    </w:rPr>
                    <w:t>（15）</w:t>
                  </w:r>
                </w:p>
              </w:tc>
              <w:tc>
                <w:tcPr>
                  <w:tcW w:w="876" w:type="pct"/>
                  <w:tcBorders>
                    <w:tl2br w:val="nil"/>
                    <w:tr2bl w:val="nil"/>
                  </w:tcBorders>
                  <w:vAlign w:val="center"/>
                </w:tcPr>
                <w:p w14:paraId="3D8482FE">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w:t>
                  </w:r>
                </w:p>
              </w:tc>
            </w:tr>
            <w:tr w14:paraId="3BF07F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67" w:type="pct"/>
                  <w:gridSpan w:val="2"/>
                  <w:vMerge w:val="continue"/>
                  <w:tcBorders>
                    <w:tl2br w:val="nil"/>
                    <w:tr2bl w:val="nil"/>
                  </w:tcBorders>
                  <w:shd w:val="clear" w:color="auto" w:fill="auto"/>
                  <w:vAlign w:val="center"/>
                </w:tcPr>
                <w:p w14:paraId="2B30741F">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宋体"/>
                      <w:color w:val="000000" w:themeColor="text1"/>
                      <w:kern w:val="0"/>
                      <w:sz w:val="21"/>
                      <w:szCs w:val="21"/>
                      <w14:textFill>
                        <w14:solidFill>
                          <w14:schemeClr w14:val="tx1"/>
                        </w14:solidFill>
                      </w14:textFill>
                    </w:rPr>
                  </w:pPr>
                </w:p>
              </w:tc>
              <w:tc>
                <w:tcPr>
                  <w:tcW w:w="559" w:type="pct"/>
                  <w:tcBorders>
                    <w:tl2br w:val="nil"/>
                    <w:tr2bl w:val="nil"/>
                  </w:tcBorders>
                  <w:vAlign w:val="center"/>
                </w:tcPr>
                <w:p w14:paraId="7CE3941D">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设计</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值</w:t>
                  </w:r>
                </w:p>
              </w:tc>
              <w:tc>
                <w:tcPr>
                  <w:tcW w:w="932" w:type="pct"/>
                  <w:tcBorders>
                    <w:tl2br w:val="nil"/>
                    <w:tr2bl w:val="nil"/>
                  </w:tcBorders>
                  <w:shd w:val="clear" w:color="auto" w:fill="auto"/>
                  <w:vAlign w:val="center"/>
                </w:tcPr>
                <w:p w14:paraId="41B607FC">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无</w:t>
                  </w:r>
                </w:p>
              </w:tc>
              <w:tc>
                <w:tcPr>
                  <w:tcW w:w="1263" w:type="pct"/>
                  <w:tcBorders>
                    <w:tl2br w:val="nil"/>
                    <w:tr2bl w:val="nil"/>
                  </w:tcBorders>
                  <w:shd w:val="clear" w:color="auto" w:fill="auto"/>
                  <w:vAlign w:val="center"/>
                </w:tcPr>
                <w:p w14:paraId="7F5D144D">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无</w:t>
                  </w:r>
                </w:p>
              </w:tc>
              <w:tc>
                <w:tcPr>
                  <w:tcW w:w="876" w:type="pct"/>
                  <w:tcBorders>
                    <w:tl2br w:val="nil"/>
                    <w:tr2bl w:val="nil"/>
                  </w:tcBorders>
                  <w:vAlign w:val="center"/>
                </w:tcPr>
                <w:p w14:paraId="30E0D24C">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w:t>
                  </w:r>
                </w:p>
              </w:tc>
            </w:tr>
            <w:tr w14:paraId="1E08B8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367" w:type="pct"/>
                  <w:gridSpan w:val="2"/>
                  <w:vMerge w:val="restart"/>
                  <w:tcBorders>
                    <w:tl2br w:val="nil"/>
                    <w:tr2bl w:val="nil"/>
                  </w:tcBorders>
                  <w:shd w:val="clear" w:color="auto" w:fill="auto"/>
                  <w:vAlign w:val="center"/>
                </w:tcPr>
                <w:p w14:paraId="144726F0">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城市快速路、主干路和高速公路、一级公路、二级公路</w:t>
                  </w:r>
                </w:p>
              </w:tc>
              <w:tc>
                <w:tcPr>
                  <w:tcW w:w="559" w:type="pct"/>
                  <w:tcBorders>
                    <w:tl2br w:val="nil"/>
                    <w:tr2bl w:val="nil"/>
                  </w:tcBorders>
                  <w:vAlign w:val="center"/>
                </w:tcPr>
                <w:p w14:paraId="08AD796B">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规范</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值</w:t>
                  </w:r>
                </w:p>
              </w:tc>
              <w:tc>
                <w:tcPr>
                  <w:tcW w:w="932" w:type="pct"/>
                  <w:tcBorders>
                    <w:tl2br w:val="nil"/>
                    <w:tr2bl w:val="nil"/>
                  </w:tcBorders>
                  <w:shd w:val="clear" w:color="auto" w:fill="auto"/>
                  <w:vAlign w:val="center"/>
                </w:tcPr>
                <w:p w14:paraId="0217A224">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5.5</w:t>
                  </w:r>
                  <w:r>
                    <w:rPr>
                      <w:rFonts w:hint="eastAsia" w:ascii="Times New Roman" w:hAnsi="Times New Roman" w:eastAsia="宋体" w:cs="Times New Roman"/>
                      <w:color w:val="000000" w:themeColor="text1"/>
                      <w:kern w:val="0"/>
                      <w:sz w:val="21"/>
                      <w:szCs w:val="21"/>
                      <w14:textFill>
                        <w14:solidFill>
                          <w14:schemeClr w14:val="tx1"/>
                        </w14:solidFill>
                      </w14:textFill>
                    </w:rPr>
                    <w:t>（3）</w:t>
                  </w:r>
                </w:p>
              </w:tc>
              <w:tc>
                <w:tcPr>
                  <w:tcW w:w="1263" w:type="pct"/>
                  <w:tcBorders>
                    <w:tl2br w:val="nil"/>
                    <w:tr2bl w:val="nil"/>
                  </w:tcBorders>
                  <w:shd w:val="clear" w:color="auto" w:fill="auto"/>
                  <w:vAlign w:val="center"/>
                </w:tcPr>
                <w:p w14:paraId="5FB3EF41">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5</w:t>
                  </w:r>
                  <w:r>
                    <w:rPr>
                      <w:rFonts w:hint="eastAsia" w:ascii="Times New Roman" w:hAnsi="Times New Roman" w:eastAsia="宋体" w:cs="Times New Roman"/>
                      <w:color w:val="000000" w:themeColor="text1"/>
                      <w:kern w:val="0"/>
                      <w:sz w:val="21"/>
                      <w:szCs w:val="21"/>
                      <w14:textFill>
                        <w14:solidFill>
                          <w14:schemeClr w14:val="tx1"/>
                        </w14:solidFill>
                      </w14:textFill>
                    </w:rPr>
                    <w:t>（3）</w:t>
                  </w:r>
                </w:p>
              </w:tc>
              <w:tc>
                <w:tcPr>
                  <w:tcW w:w="876" w:type="pct"/>
                  <w:tcBorders>
                    <w:tl2br w:val="nil"/>
                    <w:tr2bl w:val="nil"/>
                  </w:tcBorders>
                  <w:vAlign w:val="center"/>
                </w:tcPr>
                <w:p w14:paraId="14EE88F4">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w:t>
                  </w:r>
                </w:p>
              </w:tc>
            </w:tr>
            <w:tr w14:paraId="622710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67" w:type="pct"/>
                  <w:gridSpan w:val="2"/>
                  <w:vMerge w:val="continue"/>
                  <w:tcBorders>
                    <w:tl2br w:val="nil"/>
                    <w:tr2bl w:val="nil"/>
                  </w:tcBorders>
                  <w:shd w:val="clear" w:color="auto" w:fill="auto"/>
                  <w:vAlign w:val="center"/>
                </w:tcPr>
                <w:p w14:paraId="4F8E97C0">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宋体"/>
                      <w:color w:val="000000" w:themeColor="text1"/>
                      <w:kern w:val="0"/>
                      <w:sz w:val="21"/>
                      <w:szCs w:val="21"/>
                      <w14:textFill>
                        <w14:solidFill>
                          <w14:schemeClr w14:val="tx1"/>
                        </w14:solidFill>
                      </w14:textFill>
                    </w:rPr>
                  </w:pPr>
                </w:p>
              </w:tc>
              <w:tc>
                <w:tcPr>
                  <w:tcW w:w="559" w:type="pct"/>
                  <w:tcBorders>
                    <w:tl2br w:val="nil"/>
                    <w:tr2bl w:val="nil"/>
                  </w:tcBorders>
                  <w:vAlign w:val="center"/>
                </w:tcPr>
                <w:p w14:paraId="2C606ED4">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设计</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值</w:t>
                  </w:r>
                </w:p>
              </w:tc>
              <w:tc>
                <w:tcPr>
                  <w:tcW w:w="932" w:type="pct"/>
                  <w:tcBorders>
                    <w:tl2br w:val="nil"/>
                    <w:tr2bl w:val="nil"/>
                  </w:tcBorders>
                  <w:shd w:val="clear" w:color="auto" w:fill="auto"/>
                  <w:vAlign w:val="center"/>
                </w:tcPr>
                <w:p w14:paraId="0A8878D6">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46.28</w:t>
                  </w:r>
                </w:p>
              </w:tc>
              <w:tc>
                <w:tcPr>
                  <w:tcW w:w="1263" w:type="pct"/>
                  <w:tcBorders>
                    <w:tl2br w:val="nil"/>
                    <w:tr2bl w:val="nil"/>
                  </w:tcBorders>
                  <w:shd w:val="clear" w:color="auto" w:fill="auto"/>
                  <w:vAlign w:val="center"/>
                </w:tcPr>
                <w:p w14:paraId="30905799">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43.67</w:t>
                  </w:r>
                </w:p>
              </w:tc>
              <w:tc>
                <w:tcPr>
                  <w:tcW w:w="876" w:type="pct"/>
                  <w:tcBorders>
                    <w:tl2br w:val="nil"/>
                    <w:tr2bl w:val="nil"/>
                  </w:tcBorders>
                  <w:vAlign w:val="center"/>
                </w:tcPr>
                <w:p w14:paraId="2C7D68B7">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通江大道</w:t>
                  </w:r>
                </w:p>
              </w:tc>
            </w:tr>
            <w:tr w14:paraId="4303BB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67" w:type="pct"/>
                  <w:gridSpan w:val="2"/>
                  <w:vMerge w:val="restart"/>
                  <w:tcBorders>
                    <w:tl2br w:val="nil"/>
                    <w:tr2bl w:val="nil"/>
                  </w:tcBorders>
                  <w:shd w:val="clear" w:color="auto" w:fill="auto"/>
                  <w:vAlign w:val="center"/>
                </w:tcPr>
                <w:p w14:paraId="0F9F4E7D">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城市次干路、支路和三级公路、四级公路</w:t>
                  </w:r>
                </w:p>
              </w:tc>
              <w:tc>
                <w:tcPr>
                  <w:tcW w:w="559" w:type="pct"/>
                  <w:tcBorders>
                    <w:tl2br w:val="nil"/>
                    <w:tr2bl w:val="nil"/>
                  </w:tcBorders>
                  <w:vAlign w:val="center"/>
                </w:tcPr>
                <w:p w14:paraId="6D92D8BD">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规范</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值</w:t>
                  </w:r>
                </w:p>
              </w:tc>
              <w:tc>
                <w:tcPr>
                  <w:tcW w:w="932" w:type="pct"/>
                  <w:tcBorders>
                    <w:tl2br w:val="nil"/>
                    <w:tr2bl w:val="nil"/>
                  </w:tcBorders>
                  <w:shd w:val="clear" w:color="auto" w:fill="auto"/>
                  <w:vAlign w:val="center"/>
                </w:tcPr>
                <w:p w14:paraId="3591C7DE">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5</w:t>
                  </w:r>
                  <w:r>
                    <w:rPr>
                      <w:rFonts w:hint="eastAsia" w:ascii="Times New Roman" w:hAnsi="Times New Roman" w:eastAsia="宋体" w:cs="Times New Roman"/>
                      <w:color w:val="000000" w:themeColor="text1"/>
                      <w:kern w:val="0"/>
                      <w:sz w:val="21"/>
                      <w:szCs w:val="21"/>
                      <w14:textFill>
                        <w14:solidFill>
                          <w14:schemeClr w14:val="tx1"/>
                        </w14:solidFill>
                      </w14:textFill>
                    </w:rPr>
                    <w:t>（3）</w:t>
                  </w:r>
                </w:p>
              </w:tc>
              <w:tc>
                <w:tcPr>
                  <w:tcW w:w="1263" w:type="pct"/>
                  <w:tcBorders>
                    <w:tl2br w:val="nil"/>
                    <w:tr2bl w:val="nil"/>
                  </w:tcBorders>
                  <w:shd w:val="clear" w:color="auto" w:fill="auto"/>
                  <w:vAlign w:val="center"/>
                </w:tcPr>
                <w:p w14:paraId="34AD5735">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5</w:t>
                  </w:r>
                  <w:r>
                    <w:rPr>
                      <w:rFonts w:hint="eastAsia" w:ascii="Times New Roman" w:hAnsi="Times New Roman" w:eastAsia="宋体" w:cs="Times New Roman"/>
                      <w:color w:val="000000" w:themeColor="text1"/>
                      <w:kern w:val="0"/>
                      <w:sz w:val="21"/>
                      <w:szCs w:val="21"/>
                      <w14:textFill>
                        <w14:solidFill>
                          <w14:schemeClr w14:val="tx1"/>
                        </w14:solidFill>
                      </w14:textFill>
                    </w:rPr>
                    <w:t>（3）</w:t>
                  </w:r>
                </w:p>
              </w:tc>
              <w:tc>
                <w:tcPr>
                  <w:tcW w:w="876" w:type="pct"/>
                  <w:tcBorders>
                    <w:tl2br w:val="nil"/>
                    <w:tr2bl w:val="nil"/>
                  </w:tcBorders>
                  <w:vAlign w:val="center"/>
                </w:tcPr>
                <w:p w14:paraId="78F751A2">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w:t>
                  </w:r>
                </w:p>
              </w:tc>
            </w:tr>
            <w:tr w14:paraId="278119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67" w:type="pct"/>
                  <w:gridSpan w:val="2"/>
                  <w:vMerge w:val="continue"/>
                  <w:tcBorders>
                    <w:tl2br w:val="nil"/>
                    <w:tr2bl w:val="nil"/>
                  </w:tcBorders>
                  <w:shd w:val="clear" w:color="auto" w:fill="auto"/>
                  <w:vAlign w:val="center"/>
                </w:tcPr>
                <w:p w14:paraId="014481A5">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宋体"/>
                      <w:color w:val="000000" w:themeColor="text1"/>
                      <w:kern w:val="0"/>
                      <w:sz w:val="21"/>
                      <w:szCs w:val="21"/>
                      <w14:textFill>
                        <w14:solidFill>
                          <w14:schemeClr w14:val="tx1"/>
                        </w14:solidFill>
                      </w14:textFill>
                    </w:rPr>
                  </w:pPr>
                </w:p>
              </w:tc>
              <w:tc>
                <w:tcPr>
                  <w:tcW w:w="559" w:type="pct"/>
                  <w:tcBorders>
                    <w:tl2br w:val="nil"/>
                    <w:tr2bl w:val="nil"/>
                  </w:tcBorders>
                  <w:vAlign w:val="center"/>
                </w:tcPr>
                <w:p w14:paraId="3C2E5296">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设计</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值</w:t>
                  </w:r>
                </w:p>
              </w:tc>
              <w:tc>
                <w:tcPr>
                  <w:tcW w:w="932" w:type="pct"/>
                  <w:tcBorders>
                    <w:tl2br w:val="nil"/>
                    <w:tr2bl w:val="nil"/>
                  </w:tcBorders>
                  <w:shd w:val="clear" w:color="auto" w:fill="auto"/>
                  <w:vAlign w:val="center"/>
                </w:tcPr>
                <w:p w14:paraId="58230E72">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无</w:t>
                  </w:r>
                </w:p>
              </w:tc>
              <w:tc>
                <w:tcPr>
                  <w:tcW w:w="1263" w:type="pct"/>
                  <w:tcBorders>
                    <w:tl2br w:val="nil"/>
                    <w:tr2bl w:val="nil"/>
                  </w:tcBorders>
                  <w:shd w:val="clear" w:color="auto" w:fill="auto"/>
                  <w:vAlign w:val="center"/>
                </w:tcPr>
                <w:p w14:paraId="53EE1B6E">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无</w:t>
                  </w:r>
                </w:p>
              </w:tc>
              <w:tc>
                <w:tcPr>
                  <w:tcW w:w="876" w:type="pct"/>
                  <w:tcBorders>
                    <w:tl2br w:val="nil"/>
                    <w:tr2bl w:val="nil"/>
                  </w:tcBorders>
                  <w:vAlign w:val="center"/>
                </w:tcPr>
                <w:p w14:paraId="709F3A01">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w:t>
                  </w:r>
                </w:p>
              </w:tc>
            </w:tr>
            <w:tr w14:paraId="1FDA4B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67" w:type="pct"/>
                  <w:gridSpan w:val="2"/>
                  <w:vMerge w:val="restart"/>
                  <w:tcBorders>
                    <w:tl2br w:val="nil"/>
                    <w:tr2bl w:val="nil"/>
                  </w:tcBorders>
                  <w:shd w:val="clear" w:color="auto" w:fill="auto"/>
                  <w:vAlign w:val="center"/>
                </w:tcPr>
                <w:p w14:paraId="1EBDD9F7">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架空通信线</w:t>
                  </w:r>
                </w:p>
              </w:tc>
              <w:tc>
                <w:tcPr>
                  <w:tcW w:w="559" w:type="pct"/>
                  <w:tcBorders>
                    <w:tl2br w:val="nil"/>
                    <w:tr2bl w:val="nil"/>
                  </w:tcBorders>
                  <w:vAlign w:val="center"/>
                </w:tcPr>
                <w:p w14:paraId="745FA4DB">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规范</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值</w:t>
                  </w:r>
                </w:p>
              </w:tc>
              <w:tc>
                <w:tcPr>
                  <w:tcW w:w="932" w:type="pct"/>
                  <w:tcBorders>
                    <w:tl2br w:val="nil"/>
                    <w:tr2bl w:val="nil"/>
                  </w:tcBorders>
                  <w:shd w:val="clear" w:color="auto" w:fill="auto"/>
                  <w:vAlign w:val="center"/>
                </w:tcPr>
                <w:p w14:paraId="14445461">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5</w:t>
                  </w:r>
                  <w:r>
                    <w:rPr>
                      <w:rFonts w:hint="eastAsia" w:ascii="Times New Roman" w:hAnsi="Times New Roman" w:eastAsia="宋体" w:cs="Times New Roman"/>
                      <w:color w:val="000000" w:themeColor="text1"/>
                      <w:kern w:val="0"/>
                      <w:sz w:val="21"/>
                      <w:szCs w:val="21"/>
                      <w14:textFill>
                        <w14:solidFill>
                          <w14:schemeClr w14:val="tx1"/>
                        </w14:solidFill>
                      </w14:textFill>
                    </w:rPr>
                    <w:t>（5）</w:t>
                  </w:r>
                </w:p>
              </w:tc>
              <w:tc>
                <w:tcPr>
                  <w:tcW w:w="1263" w:type="pct"/>
                  <w:tcBorders>
                    <w:tl2br w:val="nil"/>
                    <w:tr2bl w:val="nil"/>
                  </w:tcBorders>
                  <w:vAlign w:val="center"/>
                </w:tcPr>
                <w:p w14:paraId="1C65D998">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5（5）</w:t>
                  </w:r>
                </w:p>
              </w:tc>
              <w:tc>
                <w:tcPr>
                  <w:tcW w:w="876" w:type="pct"/>
                  <w:tcBorders>
                    <w:tl2br w:val="nil"/>
                    <w:tr2bl w:val="nil"/>
                  </w:tcBorders>
                  <w:vAlign w:val="center"/>
                </w:tcPr>
                <w:p w14:paraId="0A595338">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p>
              </w:tc>
            </w:tr>
            <w:tr w14:paraId="424938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67" w:type="pct"/>
                  <w:gridSpan w:val="2"/>
                  <w:vMerge w:val="continue"/>
                  <w:tcBorders>
                    <w:tl2br w:val="nil"/>
                    <w:tr2bl w:val="nil"/>
                  </w:tcBorders>
                  <w:shd w:val="clear" w:color="auto" w:fill="auto"/>
                  <w:vAlign w:val="center"/>
                </w:tcPr>
                <w:p w14:paraId="1485FA7F">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宋体"/>
                      <w:color w:val="000000" w:themeColor="text1"/>
                      <w:kern w:val="0"/>
                      <w:sz w:val="21"/>
                      <w:szCs w:val="21"/>
                      <w14:textFill>
                        <w14:solidFill>
                          <w14:schemeClr w14:val="tx1"/>
                        </w14:solidFill>
                      </w14:textFill>
                    </w:rPr>
                  </w:pPr>
                </w:p>
              </w:tc>
              <w:tc>
                <w:tcPr>
                  <w:tcW w:w="559" w:type="pct"/>
                  <w:tcBorders>
                    <w:tl2br w:val="nil"/>
                    <w:tr2bl w:val="nil"/>
                  </w:tcBorders>
                  <w:vAlign w:val="center"/>
                </w:tcPr>
                <w:p w14:paraId="72E7939B">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设计</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值</w:t>
                  </w:r>
                </w:p>
              </w:tc>
              <w:tc>
                <w:tcPr>
                  <w:tcW w:w="932" w:type="pct"/>
                  <w:tcBorders>
                    <w:tl2br w:val="nil"/>
                    <w:tr2bl w:val="nil"/>
                  </w:tcBorders>
                  <w:shd w:val="clear" w:color="auto" w:fill="auto"/>
                  <w:vAlign w:val="center"/>
                </w:tcPr>
                <w:p w14:paraId="3916875D">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无</w:t>
                  </w:r>
                </w:p>
              </w:tc>
              <w:tc>
                <w:tcPr>
                  <w:tcW w:w="1263" w:type="pct"/>
                  <w:tcBorders>
                    <w:tl2br w:val="nil"/>
                    <w:tr2bl w:val="nil"/>
                  </w:tcBorders>
                  <w:vAlign w:val="center"/>
                </w:tcPr>
                <w:p w14:paraId="3053BD8C">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无</w:t>
                  </w:r>
                </w:p>
              </w:tc>
              <w:tc>
                <w:tcPr>
                  <w:tcW w:w="876" w:type="pct"/>
                  <w:tcBorders>
                    <w:tl2br w:val="nil"/>
                    <w:tr2bl w:val="nil"/>
                  </w:tcBorders>
                  <w:vAlign w:val="center"/>
                </w:tcPr>
                <w:p w14:paraId="179B77A2">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w:t>
                  </w:r>
                </w:p>
              </w:tc>
            </w:tr>
            <w:tr w14:paraId="23BA24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5" w:type="pct"/>
                  <w:vMerge w:val="restart"/>
                  <w:tcBorders>
                    <w:tl2br w:val="nil"/>
                    <w:tr2bl w:val="nil"/>
                  </w:tcBorders>
                  <w:shd w:val="clear" w:color="auto" w:fill="auto"/>
                  <w:vAlign w:val="center"/>
                </w:tcPr>
                <w:p w14:paraId="0DFCE447">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架空电力线路</w:t>
                  </w:r>
                </w:p>
              </w:tc>
              <w:tc>
                <w:tcPr>
                  <w:tcW w:w="941" w:type="pct"/>
                  <w:vMerge w:val="restart"/>
                  <w:tcBorders>
                    <w:tl2br w:val="nil"/>
                    <w:tr2bl w:val="nil"/>
                  </w:tcBorders>
                  <w:shd w:val="clear" w:color="auto" w:fill="auto"/>
                  <w:vAlign w:val="center"/>
                </w:tcPr>
                <w:p w14:paraId="39CE27AC">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无绝缘层</w:t>
                  </w:r>
                </w:p>
              </w:tc>
              <w:tc>
                <w:tcPr>
                  <w:tcW w:w="559" w:type="pct"/>
                  <w:tcBorders>
                    <w:tl2br w:val="nil"/>
                    <w:tr2bl w:val="nil"/>
                  </w:tcBorders>
                  <w:vAlign w:val="center"/>
                </w:tcPr>
                <w:p w14:paraId="34D4CDF2">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规范</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值</w:t>
                  </w:r>
                </w:p>
              </w:tc>
              <w:tc>
                <w:tcPr>
                  <w:tcW w:w="932" w:type="pct"/>
                  <w:tcBorders>
                    <w:tl2br w:val="nil"/>
                    <w:tr2bl w:val="nil"/>
                  </w:tcBorders>
                  <w:shd w:val="clear" w:color="auto" w:fill="auto"/>
                  <w:vAlign w:val="center"/>
                </w:tcPr>
                <w:p w14:paraId="62ED9C4C">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1.0（0.75）杆高或塔高，且≥6.5m</w:t>
                  </w:r>
                </w:p>
              </w:tc>
              <w:tc>
                <w:tcPr>
                  <w:tcW w:w="1263" w:type="pct"/>
                  <w:tcBorders>
                    <w:tl2br w:val="nil"/>
                    <w:tr2bl w:val="nil"/>
                  </w:tcBorders>
                  <w:vAlign w:val="center"/>
                </w:tcPr>
                <w:p w14:paraId="5091F237">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6.5</w:t>
                  </w:r>
                  <w:r>
                    <w:rPr>
                      <w:rFonts w:hint="eastAsia" w:ascii="Times New Roman" w:hAnsi="Times New Roman" w:eastAsia="宋体" w:cs="Times New Roman"/>
                      <w:color w:val="000000" w:themeColor="text1"/>
                      <w:kern w:val="0"/>
                      <w:sz w:val="21"/>
                      <w:szCs w:val="21"/>
                      <w14:textFill>
                        <w14:solidFill>
                          <w14:schemeClr w14:val="tx1"/>
                        </w14:solidFill>
                      </w14:textFill>
                    </w:rPr>
                    <w:t>（6.5）</w:t>
                  </w:r>
                </w:p>
              </w:tc>
              <w:tc>
                <w:tcPr>
                  <w:tcW w:w="876" w:type="pct"/>
                  <w:tcBorders>
                    <w:tl2br w:val="nil"/>
                    <w:tr2bl w:val="nil"/>
                  </w:tcBorders>
                  <w:vAlign w:val="center"/>
                </w:tcPr>
                <w:p w14:paraId="0A060352">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p>
              </w:tc>
            </w:tr>
            <w:tr w14:paraId="449F0D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5" w:type="pct"/>
                  <w:vMerge w:val="continue"/>
                  <w:tcBorders>
                    <w:tl2br w:val="nil"/>
                    <w:tr2bl w:val="nil"/>
                  </w:tcBorders>
                  <w:shd w:val="clear" w:color="auto" w:fill="auto"/>
                  <w:vAlign w:val="center"/>
                </w:tcPr>
                <w:p w14:paraId="37124A92">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宋体"/>
                      <w:color w:val="000000" w:themeColor="text1"/>
                      <w:kern w:val="0"/>
                      <w:sz w:val="21"/>
                      <w:szCs w:val="21"/>
                      <w14:textFill>
                        <w14:solidFill>
                          <w14:schemeClr w14:val="tx1"/>
                        </w14:solidFill>
                      </w14:textFill>
                    </w:rPr>
                  </w:pPr>
                </w:p>
              </w:tc>
              <w:tc>
                <w:tcPr>
                  <w:tcW w:w="941" w:type="pct"/>
                  <w:vMerge w:val="continue"/>
                  <w:tcBorders>
                    <w:tl2br w:val="nil"/>
                    <w:tr2bl w:val="nil"/>
                  </w:tcBorders>
                  <w:shd w:val="clear" w:color="auto" w:fill="auto"/>
                  <w:vAlign w:val="center"/>
                </w:tcPr>
                <w:p w14:paraId="53C398C2">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宋体"/>
                      <w:color w:val="000000" w:themeColor="text1"/>
                      <w:kern w:val="0"/>
                      <w:sz w:val="21"/>
                      <w:szCs w:val="21"/>
                      <w14:textFill>
                        <w14:solidFill>
                          <w14:schemeClr w14:val="tx1"/>
                        </w14:solidFill>
                      </w14:textFill>
                    </w:rPr>
                  </w:pPr>
                </w:p>
              </w:tc>
              <w:tc>
                <w:tcPr>
                  <w:tcW w:w="559" w:type="pct"/>
                  <w:tcBorders>
                    <w:tl2br w:val="nil"/>
                    <w:tr2bl w:val="nil"/>
                  </w:tcBorders>
                  <w:vAlign w:val="center"/>
                </w:tcPr>
                <w:p w14:paraId="11C81C87">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设计</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值</w:t>
                  </w:r>
                </w:p>
              </w:tc>
              <w:tc>
                <w:tcPr>
                  <w:tcW w:w="932" w:type="pct"/>
                  <w:tcBorders>
                    <w:tl2br w:val="nil"/>
                    <w:tr2bl w:val="nil"/>
                  </w:tcBorders>
                  <w:shd w:val="clear" w:color="auto" w:fill="auto"/>
                  <w:vAlign w:val="center"/>
                </w:tcPr>
                <w:p w14:paraId="44FB168C">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无</w:t>
                  </w:r>
                </w:p>
              </w:tc>
              <w:tc>
                <w:tcPr>
                  <w:tcW w:w="1263" w:type="pct"/>
                  <w:tcBorders>
                    <w:tl2br w:val="nil"/>
                    <w:tr2bl w:val="nil"/>
                  </w:tcBorders>
                  <w:vAlign w:val="center"/>
                </w:tcPr>
                <w:p w14:paraId="6F9CD8D7">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无</w:t>
                  </w:r>
                </w:p>
              </w:tc>
              <w:tc>
                <w:tcPr>
                  <w:tcW w:w="876" w:type="pct"/>
                  <w:tcBorders>
                    <w:tl2br w:val="nil"/>
                    <w:tr2bl w:val="nil"/>
                  </w:tcBorders>
                  <w:vAlign w:val="center"/>
                </w:tcPr>
                <w:p w14:paraId="6F37A418">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w:t>
                  </w:r>
                </w:p>
              </w:tc>
            </w:tr>
            <w:tr w14:paraId="34850D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5" w:type="pct"/>
                  <w:vMerge w:val="continue"/>
                  <w:tcBorders>
                    <w:tl2br w:val="nil"/>
                    <w:tr2bl w:val="nil"/>
                  </w:tcBorders>
                  <w:vAlign w:val="center"/>
                </w:tcPr>
                <w:p w14:paraId="24D3E1CD">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auto"/>
                    <w:rPr>
                      <w:rFonts w:ascii="Times New Roman" w:hAnsi="Times New Roman" w:eastAsia="宋体" w:cs="宋体"/>
                      <w:color w:val="000000" w:themeColor="text1"/>
                      <w:kern w:val="0"/>
                      <w:sz w:val="21"/>
                      <w:szCs w:val="21"/>
                      <w14:textFill>
                        <w14:solidFill>
                          <w14:schemeClr w14:val="tx1"/>
                        </w14:solidFill>
                      </w14:textFill>
                    </w:rPr>
                  </w:pPr>
                </w:p>
              </w:tc>
              <w:tc>
                <w:tcPr>
                  <w:tcW w:w="941" w:type="pct"/>
                  <w:vMerge w:val="restart"/>
                  <w:tcBorders>
                    <w:tl2br w:val="nil"/>
                    <w:tr2bl w:val="nil"/>
                  </w:tcBorders>
                  <w:shd w:val="clear" w:color="auto" w:fill="auto"/>
                  <w:vAlign w:val="center"/>
                </w:tcPr>
                <w:p w14:paraId="6F8A33F6">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有绝缘层</w:t>
                  </w:r>
                </w:p>
              </w:tc>
              <w:tc>
                <w:tcPr>
                  <w:tcW w:w="559" w:type="pct"/>
                  <w:tcBorders>
                    <w:tl2br w:val="nil"/>
                    <w:tr2bl w:val="nil"/>
                  </w:tcBorders>
                  <w:vAlign w:val="center"/>
                </w:tcPr>
                <w:p w14:paraId="23F850F1">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规范</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值</w:t>
                  </w:r>
                </w:p>
              </w:tc>
              <w:tc>
                <w:tcPr>
                  <w:tcW w:w="932" w:type="pct"/>
                  <w:tcBorders>
                    <w:tl2br w:val="nil"/>
                    <w:tr2bl w:val="nil"/>
                  </w:tcBorders>
                  <w:shd w:val="clear" w:color="auto" w:fill="auto"/>
                  <w:vAlign w:val="center"/>
                </w:tcPr>
                <w:p w14:paraId="0845E8AC">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1.0（0.75）杆高或塔高，且≥5m</w:t>
                  </w:r>
                </w:p>
              </w:tc>
              <w:tc>
                <w:tcPr>
                  <w:tcW w:w="1263" w:type="pct"/>
                  <w:tcBorders>
                    <w:tl2br w:val="nil"/>
                    <w:tr2bl w:val="nil"/>
                  </w:tcBorders>
                  <w:vAlign w:val="center"/>
                </w:tcPr>
                <w:p w14:paraId="7CFBCE05">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5</w:t>
                  </w:r>
                  <w:r>
                    <w:rPr>
                      <w:rFonts w:hint="eastAsia" w:ascii="Times New Roman" w:hAnsi="Times New Roman" w:eastAsia="宋体" w:cs="Times New Roman"/>
                      <w:color w:val="000000" w:themeColor="text1"/>
                      <w:kern w:val="0"/>
                      <w:sz w:val="21"/>
                      <w:szCs w:val="21"/>
                      <w14:textFill>
                        <w14:solidFill>
                          <w14:schemeClr w14:val="tx1"/>
                        </w14:solidFill>
                      </w14:textFill>
                    </w:rPr>
                    <w:t>（5）</w:t>
                  </w:r>
                </w:p>
              </w:tc>
              <w:tc>
                <w:tcPr>
                  <w:tcW w:w="876" w:type="pct"/>
                  <w:tcBorders>
                    <w:tl2br w:val="nil"/>
                    <w:tr2bl w:val="nil"/>
                  </w:tcBorders>
                  <w:vAlign w:val="center"/>
                </w:tcPr>
                <w:p w14:paraId="631B9737">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w:t>
                  </w:r>
                </w:p>
              </w:tc>
            </w:tr>
            <w:tr w14:paraId="233436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5" w:type="pct"/>
                  <w:vMerge w:val="continue"/>
                  <w:tcBorders>
                    <w:tl2br w:val="nil"/>
                    <w:tr2bl w:val="nil"/>
                  </w:tcBorders>
                  <w:vAlign w:val="center"/>
                </w:tcPr>
                <w:p w14:paraId="6F6385EB">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auto"/>
                    <w:rPr>
                      <w:rFonts w:ascii="Times New Roman" w:hAnsi="Times New Roman" w:eastAsia="宋体" w:cs="宋体"/>
                      <w:color w:val="000000" w:themeColor="text1"/>
                      <w:kern w:val="0"/>
                      <w:sz w:val="21"/>
                      <w:szCs w:val="21"/>
                      <w14:textFill>
                        <w14:solidFill>
                          <w14:schemeClr w14:val="tx1"/>
                        </w14:solidFill>
                      </w14:textFill>
                    </w:rPr>
                  </w:pPr>
                </w:p>
              </w:tc>
              <w:tc>
                <w:tcPr>
                  <w:tcW w:w="941" w:type="pct"/>
                  <w:vMerge w:val="continue"/>
                  <w:tcBorders>
                    <w:tl2br w:val="nil"/>
                    <w:tr2bl w:val="nil"/>
                  </w:tcBorders>
                  <w:shd w:val="clear" w:color="auto" w:fill="auto"/>
                  <w:vAlign w:val="center"/>
                </w:tcPr>
                <w:p w14:paraId="58157ED5">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宋体"/>
                      <w:color w:val="000000" w:themeColor="text1"/>
                      <w:kern w:val="0"/>
                      <w:sz w:val="21"/>
                      <w:szCs w:val="21"/>
                      <w14:textFill>
                        <w14:solidFill>
                          <w14:schemeClr w14:val="tx1"/>
                        </w14:solidFill>
                      </w14:textFill>
                    </w:rPr>
                  </w:pPr>
                </w:p>
              </w:tc>
              <w:tc>
                <w:tcPr>
                  <w:tcW w:w="559" w:type="pct"/>
                  <w:tcBorders>
                    <w:tl2br w:val="nil"/>
                    <w:tr2bl w:val="nil"/>
                  </w:tcBorders>
                  <w:vAlign w:val="center"/>
                </w:tcPr>
                <w:p w14:paraId="4BAF91F6">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设计</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值</w:t>
                  </w:r>
                </w:p>
              </w:tc>
              <w:tc>
                <w:tcPr>
                  <w:tcW w:w="932" w:type="pct"/>
                  <w:tcBorders>
                    <w:tl2br w:val="nil"/>
                    <w:tr2bl w:val="nil"/>
                  </w:tcBorders>
                  <w:shd w:val="clear" w:color="auto" w:fill="auto"/>
                  <w:vAlign w:val="center"/>
                </w:tcPr>
                <w:p w14:paraId="297F6961">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无</w:t>
                  </w:r>
                </w:p>
              </w:tc>
              <w:tc>
                <w:tcPr>
                  <w:tcW w:w="1263" w:type="pct"/>
                  <w:tcBorders>
                    <w:tl2br w:val="nil"/>
                    <w:tr2bl w:val="nil"/>
                  </w:tcBorders>
                  <w:vAlign w:val="center"/>
                </w:tcPr>
                <w:p w14:paraId="17FA6E01">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无</w:t>
                  </w:r>
                </w:p>
              </w:tc>
              <w:tc>
                <w:tcPr>
                  <w:tcW w:w="876" w:type="pct"/>
                  <w:tcBorders>
                    <w:tl2br w:val="nil"/>
                    <w:tr2bl w:val="nil"/>
                  </w:tcBorders>
                  <w:vAlign w:val="center"/>
                </w:tcPr>
                <w:p w14:paraId="7D5AE5F0">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w:t>
                  </w:r>
                </w:p>
              </w:tc>
            </w:tr>
          </w:tbl>
          <w:p w14:paraId="4B50A7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color w:val="auto"/>
                <w:sz w:val="21"/>
                <w:szCs w:val="21"/>
                <w:highlight w:val="none"/>
              </w:rPr>
            </w:pPr>
            <w:r>
              <w:rPr>
                <w:b/>
                <w:bCs/>
                <w:color w:val="auto"/>
                <w:sz w:val="21"/>
                <w:szCs w:val="21"/>
                <w:highlight w:val="none"/>
                <w:lang w:val="en-GB"/>
              </w:rPr>
              <w:t>表</w:t>
            </w:r>
            <w:r>
              <w:rPr>
                <w:rFonts w:hint="eastAsia"/>
                <w:b/>
                <w:bCs/>
                <w:color w:val="auto"/>
                <w:sz w:val="21"/>
                <w:szCs w:val="21"/>
                <w:highlight w:val="none"/>
              </w:rPr>
              <w:t>1-1</w:t>
            </w:r>
            <w:r>
              <w:rPr>
                <w:rFonts w:hint="eastAsia"/>
                <w:b/>
                <w:bCs/>
                <w:color w:val="auto"/>
                <w:sz w:val="21"/>
                <w:szCs w:val="21"/>
                <w:highlight w:val="none"/>
                <w:lang w:val="en-US" w:eastAsia="zh-CN"/>
              </w:rPr>
              <w:t>6</w:t>
            </w:r>
            <w:r>
              <w:rPr>
                <w:rFonts w:hint="eastAsia"/>
                <w:b/>
                <w:bCs/>
                <w:color w:val="auto"/>
                <w:sz w:val="21"/>
                <w:szCs w:val="21"/>
                <w:highlight w:val="none"/>
              </w:rPr>
              <w:t xml:space="preserve">   </w:t>
            </w:r>
            <w:r>
              <w:rPr>
                <w:rFonts w:hint="eastAsia" w:ascii="Times New Roman" w:hAnsi="Times New Roman" w:eastAsia="宋体" w:cs="宋体"/>
                <w:b/>
                <w:color w:val="auto"/>
                <w:kern w:val="0"/>
                <w:sz w:val="21"/>
                <w:szCs w:val="21"/>
                <w:lang w:val="en-US" w:eastAsia="zh-CN"/>
              </w:rPr>
              <w:t>加油站</w:t>
            </w:r>
            <w:r>
              <w:rPr>
                <w:b/>
                <w:color w:val="auto"/>
                <w:sz w:val="21"/>
                <w:szCs w:val="21"/>
                <w:highlight w:val="none"/>
              </w:rPr>
              <w:t>站区内平面布置防火间距（单位</w:t>
            </w:r>
            <w:r>
              <w:rPr>
                <w:rFonts w:hint="eastAsia"/>
                <w:b/>
                <w:color w:val="auto"/>
                <w:sz w:val="21"/>
                <w:szCs w:val="21"/>
                <w:highlight w:val="none"/>
                <w:lang w:eastAsia="zh-CN"/>
              </w:rPr>
              <w:t>：</w:t>
            </w:r>
            <w:r>
              <w:rPr>
                <w:b/>
                <w:color w:val="auto"/>
                <w:sz w:val="21"/>
                <w:szCs w:val="21"/>
                <w:highlight w:val="none"/>
              </w:rPr>
              <w:t>m）</w:t>
            </w:r>
          </w:p>
          <w:tbl>
            <w:tblPr>
              <w:tblStyle w:val="35"/>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848"/>
              <w:gridCol w:w="859"/>
              <w:gridCol w:w="838"/>
              <w:gridCol w:w="839"/>
              <w:gridCol w:w="1145"/>
              <w:gridCol w:w="1146"/>
              <w:gridCol w:w="852"/>
              <w:gridCol w:w="852"/>
              <w:gridCol w:w="660"/>
            </w:tblGrid>
            <w:tr w14:paraId="382F122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1707" w:type="dxa"/>
                  <w:gridSpan w:val="2"/>
                  <w:vMerge w:val="restart"/>
                  <w:tcBorders>
                    <w:tl2br w:val="nil"/>
                    <w:tr2bl w:val="nil"/>
                  </w:tcBorders>
                  <w:noWrap w:val="0"/>
                  <w:vAlign w:val="center"/>
                </w:tcPr>
                <w:p w14:paraId="30657D14">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设施名称</w:t>
                  </w:r>
                </w:p>
              </w:tc>
              <w:tc>
                <w:tcPr>
                  <w:tcW w:w="838" w:type="dxa"/>
                  <w:vMerge w:val="restart"/>
                  <w:tcBorders>
                    <w:tl2br w:val="nil"/>
                    <w:tr2bl w:val="nil"/>
                  </w:tcBorders>
                  <w:noWrap w:val="0"/>
                  <w:vAlign w:val="center"/>
                </w:tcPr>
                <w:p w14:paraId="229E955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汽油罐</w:t>
                  </w:r>
                </w:p>
              </w:tc>
              <w:tc>
                <w:tcPr>
                  <w:tcW w:w="839" w:type="dxa"/>
                  <w:vMerge w:val="restart"/>
                  <w:tcBorders>
                    <w:tl2br w:val="nil"/>
                    <w:tr2bl w:val="nil"/>
                  </w:tcBorders>
                  <w:noWrap w:val="0"/>
                  <w:vAlign w:val="center"/>
                </w:tcPr>
                <w:p w14:paraId="4DED6E0F">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柴油罐</w:t>
                  </w:r>
                </w:p>
              </w:tc>
              <w:tc>
                <w:tcPr>
                  <w:tcW w:w="1145" w:type="dxa"/>
                  <w:vMerge w:val="restart"/>
                  <w:tcBorders>
                    <w:tl2br w:val="nil"/>
                    <w:tr2bl w:val="nil"/>
                  </w:tcBorders>
                  <w:noWrap w:val="0"/>
                  <w:vAlign w:val="center"/>
                </w:tcPr>
                <w:p w14:paraId="57FBCD0B">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汽油通气管管口</w:t>
                  </w:r>
                </w:p>
              </w:tc>
              <w:tc>
                <w:tcPr>
                  <w:tcW w:w="1146" w:type="dxa"/>
                  <w:vMerge w:val="restart"/>
                  <w:tcBorders>
                    <w:tl2br w:val="nil"/>
                    <w:tr2bl w:val="nil"/>
                  </w:tcBorders>
                  <w:noWrap w:val="0"/>
                  <w:vAlign w:val="center"/>
                </w:tcPr>
                <w:p w14:paraId="425125B6">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柴油通气管管口</w:t>
                  </w:r>
                </w:p>
              </w:tc>
              <w:tc>
                <w:tcPr>
                  <w:tcW w:w="852" w:type="dxa"/>
                  <w:vMerge w:val="restart"/>
                  <w:tcBorders>
                    <w:tl2br w:val="nil"/>
                    <w:tr2bl w:val="nil"/>
                  </w:tcBorders>
                  <w:noWrap w:val="0"/>
                  <w:vAlign w:val="center"/>
                </w:tcPr>
                <w:p w14:paraId="56F5B20B">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加油机</w:t>
                  </w:r>
                </w:p>
              </w:tc>
              <w:tc>
                <w:tcPr>
                  <w:tcW w:w="852" w:type="dxa"/>
                  <w:vMerge w:val="restart"/>
                  <w:tcBorders>
                    <w:tl2br w:val="nil"/>
                    <w:tr2bl w:val="nil"/>
                  </w:tcBorders>
                  <w:noWrap w:val="0"/>
                  <w:vAlign w:val="center"/>
                </w:tcPr>
                <w:p w14:paraId="0AABDEAB">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油品卸车点</w:t>
                  </w:r>
                </w:p>
              </w:tc>
              <w:tc>
                <w:tcPr>
                  <w:tcW w:w="660" w:type="dxa"/>
                  <w:vMerge w:val="restart"/>
                  <w:tcBorders>
                    <w:tl2br w:val="nil"/>
                    <w:tr2bl w:val="nil"/>
                  </w:tcBorders>
                  <w:noWrap w:val="0"/>
                  <w:vAlign w:val="center"/>
                </w:tcPr>
                <w:p w14:paraId="4227BDBA">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结论</w:t>
                  </w:r>
                </w:p>
              </w:tc>
            </w:tr>
            <w:tr w14:paraId="35AA17C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1707" w:type="dxa"/>
                  <w:gridSpan w:val="2"/>
                  <w:vMerge w:val="continue"/>
                  <w:tcBorders>
                    <w:tl2br w:val="nil"/>
                    <w:tr2bl w:val="nil"/>
                  </w:tcBorders>
                  <w:noWrap w:val="0"/>
                  <w:vAlign w:val="center"/>
                </w:tcPr>
                <w:p w14:paraId="25F6FD89">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p>
              </w:tc>
              <w:tc>
                <w:tcPr>
                  <w:tcW w:w="838" w:type="dxa"/>
                  <w:vMerge w:val="continue"/>
                  <w:tcBorders>
                    <w:tl2br w:val="nil"/>
                    <w:tr2bl w:val="nil"/>
                  </w:tcBorders>
                  <w:noWrap w:val="0"/>
                  <w:vAlign w:val="center"/>
                </w:tcPr>
                <w:p w14:paraId="4CB1E1A5">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p>
              </w:tc>
              <w:tc>
                <w:tcPr>
                  <w:tcW w:w="839" w:type="dxa"/>
                  <w:vMerge w:val="continue"/>
                  <w:tcBorders>
                    <w:tl2br w:val="nil"/>
                    <w:tr2bl w:val="nil"/>
                  </w:tcBorders>
                  <w:noWrap w:val="0"/>
                  <w:vAlign w:val="center"/>
                </w:tcPr>
                <w:p w14:paraId="65D2ACEA">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p>
              </w:tc>
              <w:tc>
                <w:tcPr>
                  <w:tcW w:w="1145" w:type="dxa"/>
                  <w:vMerge w:val="continue"/>
                  <w:tcBorders>
                    <w:tl2br w:val="nil"/>
                    <w:tr2bl w:val="nil"/>
                  </w:tcBorders>
                  <w:noWrap w:val="0"/>
                  <w:vAlign w:val="center"/>
                </w:tcPr>
                <w:p w14:paraId="1D5E722B">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p>
              </w:tc>
              <w:tc>
                <w:tcPr>
                  <w:tcW w:w="1146" w:type="dxa"/>
                  <w:vMerge w:val="continue"/>
                  <w:tcBorders>
                    <w:tl2br w:val="nil"/>
                    <w:tr2bl w:val="nil"/>
                  </w:tcBorders>
                  <w:noWrap w:val="0"/>
                  <w:vAlign w:val="center"/>
                </w:tcPr>
                <w:p w14:paraId="3096B121">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p>
              </w:tc>
              <w:tc>
                <w:tcPr>
                  <w:tcW w:w="852" w:type="dxa"/>
                  <w:vMerge w:val="continue"/>
                  <w:tcBorders>
                    <w:tl2br w:val="nil"/>
                    <w:tr2bl w:val="nil"/>
                  </w:tcBorders>
                  <w:noWrap w:val="0"/>
                  <w:vAlign w:val="center"/>
                </w:tcPr>
                <w:p w14:paraId="5AD420D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p>
              </w:tc>
              <w:tc>
                <w:tcPr>
                  <w:tcW w:w="852" w:type="dxa"/>
                  <w:vMerge w:val="continue"/>
                  <w:tcBorders>
                    <w:tl2br w:val="nil"/>
                    <w:tr2bl w:val="nil"/>
                  </w:tcBorders>
                  <w:noWrap w:val="0"/>
                  <w:vAlign w:val="center"/>
                </w:tcPr>
                <w:p w14:paraId="7EA69C47">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p>
              </w:tc>
              <w:tc>
                <w:tcPr>
                  <w:tcW w:w="660" w:type="dxa"/>
                  <w:vMerge w:val="continue"/>
                  <w:tcBorders>
                    <w:tl2br w:val="nil"/>
                    <w:tr2bl w:val="nil"/>
                  </w:tcBorders>
                  <w:noWrap w:val="0"/>
                  <w:vAlign w:val="center"/>
                </w:tcPr>
                <w:p w14:paraId="15529617">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p>
              </w:tc>
            </w:tr>
            <w:tr w14:paraId="3DAF8D9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48" w:type="dxa"/>
                  <w:vMerge w:val="restart"/>
                  <w:tcBorders>
                    <w:tl2br w:val="nil"/>
                    <w:tr2bl w:val="nil"/>
                  </w:tcBorders>
                  <w:noWrap w:val="0"/>
                  <w:vAlign w:val="center"/>
                </w:tcPr>
                <w:p w14:paraId="65648466">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汽油罐</w:t>
                  </w:r>
                </w:p>
              </w:tc>
              <w:tc>
                <w:tcPr>
                  <w:tcW w:w="859" w:type="dxa"/>
                  <w:tcBorders>
                    <w:tl2br w:val="nil"/>
                    <w:tr2bl w:val="nil"/>
                  </w:tcBorders>
                  <w:noWrap w:val="0"/>
                  <w:vAlign w:val="center"/>
                </w:tcPr>
                <w:p w14:paraId="2A0FE2A8">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规范值</w:t>
                  </w:r>
                </w:p>
              </w:tc>
              <w:tc>
                <w:tcPr>
                  <w:tcW w:w="838" w:type="dxa"/>
                  <w:tcBorders>
                    <w:tl2br w:val="nil"/>
                    <w:tr2bl w:val="nil"/>
                  </w:tcBorders>
                  <w:noWrap w:val="0"/>
                  <w:vAlign w:val="center"/>
                </w:tcPr>
                <w:p w14:paraId="1B80D77F">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0.5</w:t>
                  </w:r>
                </w:p>
              </w:tc>
              <w:tc>
                <w:tcPr>
                  <w:tcW w:w="839" w:type="dxa"/>
                  <w:tcBorders>
                    <w:tl2br w:val="nil"/>
                    <w:tr2bl w:val="nil"/>
                  </w:tcBorders>
                  <w:noWrap w:val="0"/>
                  <w:vAlign w:val="center"/>
                </w:tcPr>
                <w:p w14:paraId="775D69A4">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0.5</w:t>
                  </w:r>
                </w:p>
              </w:tc>
              <w:tc>
                <w:tcPr>
                  <w:tcW w:w="1145" w:type="dxa"/>
                  <w:tcBorders>
                    <w:tl2br w:val="nil"/>
                    <w:tr2bl w:val="nil"/>
                  </w:tcBorders>
                  <w:noWrap w:val="0"/>
                  <w:vAlign w:val="center"/>
                </w:tcPr>
                <w:p w14:paraId="62AC96C2">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w:t>
                  </w:r>
                </w:p>
              </w:tc>
              <w:tc>
                <w:tcPr>
                  <w:tcW w:w="1146" w:type="dxa"/>
                  <w:tcBorders>
                    <w:tl2br w:val="nil"/>
                    <w:tr2bl w:val="nil"/>
                  </w:tcBorders>
                  <w:noWrap w:val="0"/>
                  <w:vAlign w:val="center"/>
                </w:tcPr>
                <w:p w14:paraId="79C53E65">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w:t>
                  </w:r>
                </w:p>
              </w:tc>
              <w:tc>
                <w:tcPr>
                  <w:tcW w:w="852" w:type="dxa"/>
                  <w:tcBorders>
                    <w:tl2br w:val="nil"/>
                    <w:tr2bl w:val="nil"/>
                  </w:tcBorders>
                  <w:noWrap w:val="0"/>
                  <w:vAlign w:val="center"/>
                </w:tcPr>
                <w:p w14:paraId="4665EA47">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w:t>
                  </w:r>
                </w:p>
              </w:tc>
              <w:tc>
                <w:tcPr>
                  <w:tcW w:w="852" w:type="dxa"/>
                  <w:tcBorders>
                    <w:tl2br w:val="nil"/>
                    <w:tr2bl w:val="nil"/>
                  </w:tcBorders>
                  <w:noWrap w:val="0"/>
                  <w:vAlign w:val="center"/>
                </w:tcPr>
                <w:p w14:paraId="11B30EA6">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w:t>
                  </w:r>
                </w:p>
              </w:tc>
              <w:tc>
                <w:tcPr>
                  <w:tcW w:w="660" w:type="dxa"/>
                  <w:tcBorders>
                    <w:tl2br w:val="nil"/>
                    <w:tr2bl w:val="nil"/>
                  </w:tcBorders>
                  <w:noWrap w:val="0"/>
                  <w:vAlign w:val="center"/>
                </w:tcPr>
                <w:p w14:paraId="28030128">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w:t>
                  </w:r>
                </w:p>
              </w:tc>
            </w:tr>
            <w:tr w14:paraId="1C2E149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48" w:type="dxa"/>
                  <w:vMerge w:val="continue"/>
                  <w:tcBorders>
                    <w:tl2br w:val="nil"/>
                    <w:tr2bl w:val="nil"/>
                  </w:tcBorders>
                  <w:noWrap w:val="0"/>
                  <w:vAlign w:val="center"/>
                </w:tcPr>
                <w:p w14:paraId="724B0D15">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p>
              </w:tc>
              <w:tc>
                <w:tcPr>
                  <w:tcW w:w="859" w:type="dxa"/>
                  <w:tcBorders>
                    <w:tl2br w:val="nil"/>
                    <w:tr2bl w:val="nil"/>
                  </w:tcBorders>
                  <w:noWrap w:val="0"/>
                  <w:vAlign w:val="center"/>
                </w:tcPr>
                <w:p w14:paraId="10DCED29">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设计值</w:t>
                  </w:r>
                </w:p>
              </w:tc>
              <w:tc>
                <w:tcPr>
                  <w:tcW w:w="838" w:type="dxa"/>
                  <w:tcBorders>
                    <w:tl2br w:val="nil"/>
                    <w:tr2bl w:val="nil"/>
                  </w:tcBorders>
                  <w:noWrap w:val="0"/>
                  <w:vAlign w:val="center"/>
                </w:tcPr>
                <w:p w14:paraId="4393D7CB">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1.4</w:t>
                  </w:r>
                </w:p>
              </w:tc>
              <w:tc>
                <w:tcPr>
                  <w:tcW w:w="839" w:type="dxa"/>
                  <w:tcBorders>
                    <w:tl2br w:val="nil"/>
                    <w:tr2bl w:val="nil"/>
                  </w:tcBorders>
                  <w:noWrap w:val="0"/>
                  <w:vAlign w:val="center"/>
                </w:tcPr>
                <w:p w14:paraId="3C99847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1.4</w:t>
                  </w:r>
                </w:p>
              </w:tc>
              <w:tc>
                <w:tcPr>
                  <w:tcW w:w="1145" w:type="dxa"/>
                  <w:tcBorders>
                    <w:tl2br w:val="nil"/>
                    <w:tr2bl w:val="nil"/>
                  </w:tcBorders>
                  <w:noWrap w:val="0"/>
                  <w:vAlign w:val="center"/>
                </w:tcPr>
                <w:p w14:paraId="5A8C459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w:t>
                  </w:r>
                </w:p>
              </w:tc>
              <w:tc>
                <w:tcPr>
                  <w:tcW w:w="1146" w:type="dxa"/>
                  <w:tcBorders>
                    <w:tl2br w:val="nil"/>
                    <w:tr2bl w:val="nil"/>
                  </w:tcBorders>
                  <w:noWrap w:val="0"/>
                  <w:vAlign w:val="center"/>
                </w:tcPr>
                <w:p w14:paraId="5B3948C9">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w:t>
                  </w:r>
                </w:p>
              </w:tc>
              <w:tc>
                <w:tcPr>
                  <w:tcW w:w="852" w:type="dxa"/>
                  <w:tcBorders>
                    <w:tl2br w:val="nil"/>
                    <w:tr2bl w:val="nil"/>
                  </w:tcBorders>
                  <w:noWrap w:val="0"/>
                  <w:vAlign w:val="center"/>
                </w:tcPr>
                <w:p w14:paraId="25CF7DF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w:t>
                  </w:r>
                </w:p>
              </w:tc>
              <w:tc>
                <w:tcPr>
                  <w:tcW w:w="852" w:type="dxa"/>
                  <w:tcBorders>
                    <w:tl2br w:val="nil"/>
                    <w:tr2bl w:val="nil"/>
                  </w:tcBorders>
                  <w:noWrap w:val="0"/>
                  <w:vAlign w:val="center"/>
                </w:tcPr>
                <w:p w14:paraId="2A514B8B">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w:t>
                  </w:r>
                </w:p>
              </w:tc>
              <w:tc>
                <w:tcPr>
                  <w:tcW w:w="660" w:type="dxa"/>
                  <w:tcBorders>
                    <w:tl2br w:val="nil"/>
                    <w:tr2bl w:val="nil"/>
                  </w:tcBorders>
                  <w:noWrap w:val="0"/>
                  <w:vAlign w:val="center"/>
                </w:tcPr>
                <w:p w14:paraId="4BA38475">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符合</w:t>
                  </w:r>
                </w:p>
              </w:tc>
            </w:tr>
            <w:tr w14:paraId="49F0947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48" w:type="dxa"/>
                  <w:vMerge w:val="restart"/>
                  <w:tcBorders>
                    <w:tl2br w:val="nil"/>
                    <w:tr2bl w:val="nil"/>
                  </w:tcBorders>
                  <w:noWrap w:val="0"/>
                  <w:vAlign w:val="center"/>
                </w:tcPr>
                <w:p w14:paraId="24BE36C5">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柴油罐</w:t>
                  </w:r>
                </w:p>
              </w:tc>
              <w:tc>
                <w:tcPr>
                  <w:tcW w:w="859" w:type="dxa"/>
                  <w:tcBorders>
                    <w:tl2br w:val="nil"/>
                    <w:tr2bl w:val="nil"/>
                  </w:tcBorders>
                  <w:noWrap w:val="0"/>
                  <w:vAlign w:val="center"/>
                </w:tcPr>
                <w:p w14:paraId="29043AE8">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规范值</w:t>
                  </w:r>
                </w:p>
              </w:tc>
              <w:tc>
                <w:tcPr>
                  <w:tcW w:w="838" w:type="dxa"/>
                  <w:tcBorders>
                    <w:tl2br w:val="nil"/>
                    <w:tr2bl w:val="nil"/>
                  </w:tcBorders>
                  <w:noWrap w:val="0"/>
                  <w:vAlign w:val="center"/>
                </w:tcPr>
                <w:p w14:paraId="4747F65A">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0.5</w:t>
                  </w:r>
                </w:p>
              </w:tc>
              <w:tc>
                <w:tcPr>
                  <w:tcW w:w="839" w:type="dxa"/>
                  <w:tcBorders>
                    <w:tl2br w:val="nil"/>
                    <w:tr2bl w:val="nil"/>
                  </w:tcBorders>
                  <w:noWrap w:val="0"/>
                  <w:vAlign w:val="center"/>
                </w:tcPr>
                <w:p w14:paraId="43E81B67">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0.5</w:t>
                  </w:r>
                </w:p>
              </w:tc>
              <w:tc>
                <w:tcPr>
                  <w:tcW w:w="1145" w:type="dxa"/>
                  <w:tcBorders>
                    <w:tl2br w:val="nil"/>
                    <w:tr2bl w:val="nil"/>
                  </w:tcBorders>
                  <w:noWrap w:val="0"/>
                  <w:vAlign w:val="center"/>
                </w:tcPr>
                <w:p w14:paraId="753C5BB8">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w:t>
                  </w:r>
                </w:p>
              </w:tc>
              <w:tc>
                <w:tcPr>
                  <w:tcW w:w="1146" w:type="dxa"/>
                  <w:tcBorders>
                    <w:tl2br w:val="nil"/>
                    <w:tr2bl w:val="nil"/>
                  </w:tcBorders>
                  <w:noWrap w:val="0"/>
                  <w:vAlign w:val="center"/>
                </w:tcPr>
                <w:p w14:paraId="3DCC3DE1">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w:t>
                  </w:r>
                </w:p>
              </w:tc>
              <w:tc>
                <w:tcPr>
                  <w:tcW w:w="852" w:type="dxa"/>
                  <w:tcBorders>
                    <w:tl2br w:val="nil"/>
                    <w:tr2bl w:val="nil"/>
                  </w:tcBorders>
                  <w:noWrap w:val="0"/>
                  <w:vAlign w:val="center"/>
                </w:tcPr>
                <w:p w14:paraId="01275EA2">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w:t>
                  </w:r>
                </w:p>
              </w:tc>
              <w:tc>
                <w:tcPr>
                  <w:tcW w:w="852" w:type="dxa"/>
                  <w:tcBorders>
                    <w:tl2br w:val="nil"/>
                    <w:tr2bl w:val="nil"/>
                  </w:tcBorders>
                  <w:noWrap w:val="0"/>
                  <w:vAlign w:val="center"/>
                </w:tcPr>
                <w:p w14:paraId="7BDEF52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w:t>
                  </w:r>
                </w:p>
              </w:tc>
              <w:tc>
                <w:tcPr>
                  <w:tcW w:w="660" w:type="dxa"/>
                  <w:tcBorders>
                    <w:tl2br w:val="nil"/>
                    <w:tr2bl w:val="nil"/>
                  </w:tcBorders>
                  <w:noWrap w:val="0"/>
                  <w:vAlign w:val="center"/>
                </w:tcPr>
                <w:p w14:paraId="280090D0">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w:t>
                  </w:r>
                </w:p>
              </w:tc>
            </w:tr>
            <w:tr w14:paraId="3A08E35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48" w:type="dxa"/>
                  <w:vMerge w:val="continue"/>
                  <w:tcBorders>
                    <w:tl2br w:val="nil"/>
                    <w:tr2bl w:val="nil"/>
                  </w:tcBorders>
                  <w:noWrap w:val="0"/>
                  <w:vAlign w:val="center"/>
                </w:tcPr>
                <w:p w14:paraId="1EA4C20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p>
              </w:tc>
              <w:tc>
                <w:tcPr>
                  <w:tcW w:w="859" w:type="dxa"/>
                  <w:tcBorders>
                    <w:tl2br w:val="nil"/>
                    <w:tr2bl w:val="nil"/>
                  </w:tcBorders>
                  <w:noWrap w:val="0"/>
                  <w:vAlign w:val="center"/>
                </w:tcPr>
                <w:p w14:paraId="2BB45188">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设计值</w:t>
                  </w:r>
                </w:p>
              </w:tc>
              <w:tc>
                <w:tcPr>
                  <w:tcW w:w="838" w:type="dxa"/>
                  <w:tcBorders>
                    <w:tl2br w:val="nil"/>
                    <w:tr2bl w:val="nil"/>
                  </w:tcBorders>
                  <w:noWrap w:val="0"/>
                  <w:vAlign w:val="center"/>
                </w:tcPr>
                <w:p w14:paraId="25EAD4F1">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1.4</w:t>
                  </w:r>
                </w:p>
              </w:tc>
              <w:tc>
                <w:tcPr>
                  <w:tcW w:w="839" w:type="dxa"/>
                  <w:tcBorders>
                    <w:tl2br w:val="nil"/>
                    <w:tr2bl w:val="nil"/>
                  </w:tcBorders>
                  <w:noWrap w:val="0"/>
                  <w:vAlign w:val="center"/>
                </w:tcPr>
                <w:p w14:paraId="7B4C6DF5">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1.4</w:t>
                  </w:r>
                </w:p>
              </w:tc>
              <w:tc>
                <w:tcPr>
                  <w:tcW w:w="1145" w:type="dxa"/>
                  <w:tcBorders>
                    <w:tl2br w:val="nil"/>
                    <w:tr2bl w:val="nil"/>
                  </w:tcBorders>
                  <w:noWrap w:val="0"/>
                  <w:vAlign w:val="center"/>
                </w:tcPr>
                <w:p w14:paraId="208E5A66">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w:t>
                  </w:r>
                </w:p>
              </w:tc>
              <w:tc>
                <w:tcPr>
                  <w:tcW w:w="1146" w:type="dxa"/>
                  <w:tcBorders>
                    <w:tl2br w:val="nil"/>
                    <w:tr2bl w:val="nil"/>
                  </w:tcBorders>
                  <w:noWrap w:val="0"/>
                  <w:vAlign w:val="center"/>
                </w:tcPr>
                <w:p w14:paraId="10CDF97D">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w:t>
                  </w:r>
                </w:p>
              </w:tc>
              <w:tc>
                <w:tcPr>
                  <w:tcW w:w="852" w:type="dxa"/>
                  <w:tcBorders>
                    <w:tl2br w:val="nil"/>
                    <w:tr2bl w:val="nil"/>
                  </w:tcBorders>
                  <w:noWrap w:val="0"/>
                  <w:vAlign w:val="center"/>
                </w:tcPr>
                <w:p w14:paraId="6052F08A">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w:t>
                  </w:r>
                </w:p>
              </w:tc>
              <w:tc>
                <w:tcPr>
                  <w:tcW w:w="852" w:type="dxa"/>
                  <w:tcBorders>
                    <w:tl2br w:val="nil"/>
                    <w:tr2bl w:val="nil"/>
                  </w:tcBorders>
                  <w:noWrap w:val="0"/>
                  <w:vAlign w:val="center"/>
                </w:tcPr>
                <w:p w14:paraId="15F4FDB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w:t>
                  </w:r>
                </w:p>
              </w:tc>
              <w:tc>
                <w:tcPr>
                  <w:tcW w:w="660" w:type="dxa"/>
                  <w:tcBorders>
                    <w:tl2br w:val="nil"/>
                    <w:tr2bl w:val="nil"/>
                  </w:tcBorders>
                  <w:noWrap w:val="0"/>
                  <w:vAlign w:val="center"/>
                </w:tcPr>
                <w:p w14:paraId="6C61D12F">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符合</w:t>
                  </w:r>
                </w:p>
              </w:tc>
            </w:tr>
            <w:tr w14:paraId="4A693EF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848" w:type="dxa"/>
                  <w:vMerge w:val="restart"/>
                  <w:tcBorders>
                    <w:tl2br w:val="nil"/>
                    <w:tr2bl w:val="nil"/>
                  </w:tcBorders>
                  <w:noWrap w:val="0"/>
                  <w:vAlign w:val="center"/>
                </w:tcPr>
                <w:p w14:paraId="58FBC028">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汽油通气管管口</w:t>
                  </w:r>
                </w:p>
              </w:tc>
              <w:tc>
                <w:tcPr>
                  <w:tcW w:w="859" w:type="dxa"/>
                  <w:tcBorders>
                    <w:tl2br w:val="nil"/>
                    <w:tr2bl w:val="nil"/>
                  </w:tcBorders>
                  <w:noWrap w:val="0"/>
                  <w:vAlign w:val="center"/>
                </w:tcPr>
                <w:p w14:paraId="141611C0">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规范值</w:t>
                  </w:r>
                </w:p>
              </w:tc>
              <w:tc>
                <w:tcPr>
                  <w:tcW w:w="838" w:type="dxa"/>
                  <w:tcBorders>
                    <w:tl2br w:val="nil"/>
                    <w:tr2bl w:val="nil"/>
                  </w:tcBorders>
                  <w:noWrap w:val="0"/>
                  <w:vAlign w:val="center"/>
                </w:tcPr>
                <w:p w14:paraId="39C70781">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w:t>
                  </w:r>
                </w:p>
              </w:tc>
              <w:tc>
                <w:tcPr>
                  <w:tcW w:w="839" w:type="dxa"/>
                  <w:tcBorders>
                    <w:tl2br w:val="nil"/>
                    <w:tr2bl w:val="nil"/>
                  </w:tcBorders>
                  <w:noWrap w:val="0"/>
                  <w:vAlign w:val="center"/>
                </w:tcPr>
                <w:p w14:paraId="1E181F95">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w:t>
                  </w:r>
                </w:p>
              </w:tc>
              <w:tc>
                <w:tcPr>
                  <w:tcW w:w="1145" w:type="dxa"/>
                  <w:tcBorders>
                    <w:tl2br w:val="nil"/>
                    <w:tr2bl w:val="nil"/>
                  </w:tcBorders>
                  <w:noWrap w:val="0"/>
                  <w:vAlign w:val="center"/>
                </w:tcPr>
                <w:p w14:paraId="3B470F00">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w:t>
                  </w:r>
                </w:p>
              </w:tc>
              <w:tc>
                <w:tcPr>
                  <w:tcW w:w="1146" w:type="dxa"/>
                  <w:tcBorders>
                    <w:tl2br w:val="nil"/>
                    <w:tr2bl w:val="nil"/>
                  </w:tcBorders>
                  <w:noWrap w:val="0"/>
                  <w:vAlign w:val="center"/>
                </w:tcPr>
                <w:p w14:paraId="36E888C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w:t>
                  </w:r>
                </w:p>
              </w:tc>
              <w:tc>
                <w:tcPr>
                  <w:tcW w:w="852" w:type="dxa"/>
                  <w:tcBorders>
                    <w:tl2br w:val="nil"/>
                    <w:tr2bl w:val="nil"/>
                  </w:tcBorders>
                  <w:noWrap w:val="0"/>
                  <w:vAlign w:val="center"/>
                </w:tcPr>
                <w:p w14:paraId="72E14DFA">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w:t>
                  </w:r>
                </w:p>
              </w:tc>
              <w:tc>
                <w:tcPr>
                  <w:tcW w:w="852" w:type="dxa"/>
                  <w:tcBorders>
                    <w:tl2br w:val="nil"/>
                    <w:tr2bl w:val="nil"/>
                  </w:tcBorders>
                  <w:noWrap w:val="0"/>
                  <w:vAlign w:val="center"/>
                </w:tcPr>
                <w:p w14:paraId="3A08AA1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3</w:t>
                  </w:r>
                </w:p>
              </w:tc>
              <w:tc>
                <w:tcPr>
                  <w:tcW w:w="660" w:type="dxa"/>
                  <w:tcBorders>
                    <w:tl2br w:val="nil"/>
                    <w:tr2bl w:val="nil"/>
                  </w:tcBorders>
                  <w:noWrap w:val="0"/>
                  <w:vAlign w:val="center"/>
                </w:tcPr>
                <w:p w14:paraId="3F7F512F">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w:t>
                  </w:r>
                </w:p>
              </w:tc>
            </w:tr>
            <w:tr w14:paraId="5B268E1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48" w:type="dxa"/>
                  <w:vMerge w:val="continue"/>
                  <w:tcBorders>
                    <w:tl2br w:val="nil"/>
                    <w:tr2bl w:val="nil"/>
                  </w:tcBorders>
                  <w:noWrap w:val="0"/>
                  <w:vAlign w:val="center"/>
                </w:tcPr>
                <w:p w14:paraId="609E9C14">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p>
              </w:tc>
              <w:tc>
                <w:tcPr>
                  <w:tcW w:w="859" w:type="dxa"/>
                  <w:tcBorders>
                    <w:tl2br w:val="nil"/>
                    <w:tr2bl w:val="nil"/>
                  </w:tcBorders>
                  <w:noWrap w:val="0"/>
                  <w:vAlign w:val="center"/>
                </w:tcPr>
                <w:p w14:paraId="3916713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设计值</w:t>
                  </w:r>
                </w:p>
              </w:tc>
              <w:tc>
                <w:tcPr>
                  <w:tcW w:w="838" w:type="dxa"/>
                  <w:tcBorders>
                    <w:tl2br w:val="nil"/>
                    <w:tr2bl w:val="nil"/>
                  </w:tcBorders>
                  <w:noWrap w:val="0"/>
                  <w:vAlign w:val="center"/>
                </w:tcPr>
                <w:p w14:paraId="2FE2A3F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w:t>
                  </w:r>
                </w:p>
              </w:tc>
              <w:tc>
                <w:tcPr>
                  <w:tcW w:w="839" w:type="dxa"/>
                  <w:tcBorders>
                    <w:tl2br w:val="nil"/>
                    <w:tr2bl w:val="nil"/>
                  </w:tcBorders>
                  <w:noWrap w:val="0"/>
                  <w:vAlign w:val="center"/>
                </w:tcPr>
                <w:p w14:paraId="1AC932C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w:t>
                  </w:r>
                </w:p>
              </w:tc>
              <w:tc>
                <w:tcPr>
                  <w:tcW w:w="1145" w:type="dxa"/>
                  <w:tcBorders>
                    <w:tl2br w:val="nil"/>
                    <w:tr2bl w:val="nil"/>
                  </w:tcBorders>
                  <w:noWrap w:val="0"/>
                  <w:vAlign w:val="center"/>
                </w:tcPr>
                <w:p w14:paraId="2EE9DAD5">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w:t>
                  </w:r>
                </w:p>
              </w:tc>
              <w:tc>
                <w:tcPr>
                  <w:tcW w:w="1146" w:type="dxa"/>
                  <w:tcBorders>
                    <w:tl2br w:val="nil"/>
                    <w:tr2bl w:val="nil"/>
                  </w:tcBorders>
                  <w:noWrap w:val="0"/>
                  <w:vAlign w:val="center"/>
                </w:tcPr>
                <w:p w14:paraId="6B1CD12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w:t>
                  </w:r>
                </w:p>
              </w:tc>
              <w:tc>
                <w:tcPr>
                  <w:tcW w:w="852" w:type="dxa"/>
                  <w:tcBorders>
                    <w:tl2br w:val="nil"/>
                    <w:tr2bl w:val="nil"/>
                  </w:tcBorders>
                  <w:noWrap w:val="0"/>
                  <w:vAlign w:val="center"/>
                </w:tcPr>
                <w:p w14:paraId="6B5CA2F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w:t>
                  </w:r>
                </w:p>
              </w:tc>
              <w:tc>
                <w:tcPr>
                  <w:tcW w:w="852" w:type="dxa"/>
                  <w:tcBorders>
                    <w:tl2br w:val="nil"/>
                    <w:tr2bl w:val="nil"/>
                  </w:tcBorders>
                  <w:noWrap w:val="0"/>
                  <w:vAlign w:val="center"/>
                </w:tcPr>
                <w:p w14:paraId="003BF1CA">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26.94</w:t>
                  </w:r>
                </w:p>
              </w:tc>
              <w:tc>
                <w:tcPr>
                  <w:tcW w:w="660" w:type="dxa"/>
                  <w:tcBorders>
                    <w:tl2br w:val="nil"/>
                    <w:tr2bl w:val="nil"/>
                  </w:tcBorders>
                  <w:noWrap w:val="0"/>
                  <w:vAlign w:val="center"/>
                </w:tcPr>
                <w:p w14:paraId="08F1D552">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符合</w:t>
                  </w:r>
                </w:p>
              </w:tc>
            </w:tr>
            <w:tr w14:paraId="55D826A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848" w:type="dxa"/>
                  <w:vMerge w:val="restart"/>
                  <w:tcBorders>
                    <w:tl2br w:val="nil"/>
                    <w:tr2bl w:val="nil"/>
                  </w:tcBorders>
                  <w:noWrap w:val="0"/>
                  <w:vAlign w:val="center"/>
                </w:tcPr>
                <w:p w14:paraId="3994C879">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柴油通气管管口</w:t>
                  </w:r>
                </w:p>
              </w:tc>
              <w:tc>
                <w:tcPr>
                  <w:tcW w:w="859" w:type="dxa"/>
                  <w:tcBorders>
                    <w:tl2br w:val="nil"/>
                    <w:tr2bl w:val="nil"/>
                  </w:tcBorders>
                  <w:noWrap w:val="0"/>
                  <w:vAlign w:val="center"/>
                </w:tcPr>
                <w:p w14:paraId="3F91CEA2">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规范值</w:t>
                  </w:r>
                </w:p>
              </w:tc>
              <w:tc>
                <w:tcPr>
                  <w:tcW w:w="838" w:type="dxa"/>
                  <w:tcBorders>
                    <w:tl2br w:val="nil"/>
                    <w:tr2bl w:val="nil"/>
                  </w:tcBorders>
                  <w:noWrap w:val="0"/>
                  <w:vAlign w:val="center"/>
                </w:tcPr>
                <w:p w14:paraId="0C32F31A">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w:t>
                  </w:r>
                </w:p>
              </w:tc>
              <w:tc>
                <w:tcPr>
                  <w:tcW w:w="839" w:type="dxa"/>
                  <w:tcBorders>
                    <w:tl2br w:val="nil"/>
                    <w:tr2bl w:val="nil"/>
                  </w:tcBorders>
                  <w:noWrap w:val="0"/>
                  <w:vAlign w:val="center"/>
                </w:tcPr>
                <w:p w14:paraId="15EC62B7">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w:t>
                  </w:r>
                </w:p>
              </w:tc>
              <w:tc>
                <w:tcPr>
                  <w:tcW w:w="1145" w:type="dxa"/>
                  <w:tcBorders>
                    <w:tl2br w:val="nil"/>
                    <w:tr2bl w:val="nil"/>
                  </w:tcBorders>
                  <w:noWrap w:val="0"/>
                  <w:vAlign w:val="center"/>
                </w:tcPr>
                <w:p w14:paraId="7DC8B812">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w:t>
                  </w:r>
                </w:p>
              </w:tc>
              <w:tc>
                <w:tcPr>
                  <w:tcW w:w="1146" w:type="dxa"/>
                  <w:tcBorders>
                    <w:tl2br w:val="nil"/>
                    <w:tr2bl w:val="nil"/>
                  </w:tcBorders>
                  <w:noWrap w:val="0"/>
                  <w:vAlign w:val="center"/>
                </w:tcPr>
                <w:p w14:paraId="6A9547E2">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w:t>
                  </w:r>
                </w:p>
              </w:tc>
              <w:tc>
                <w:tcPr>
                  <w:tcW w:w="852" w:type="dxa"/>
                  <w:tcBorders>
                    <w:tl2br w:val="nil"/>
                    <w:tr2bl w:val="nil"/>
                  </w:tcBorders>
                  <w:noWrap w:val="0"/>
                  <w:vAlign w:val="center"/>
                </w:tcPr>
                <w:p w14:paraId="498DB039">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w:t>
                  </w:r>
                </w:p>
              </w:tc>
              <w:tc>
                <w:tcPr>
                  <w:tcW w:w="852" w:type="dxa"/>
                  <w:tcBorders>
                    <w:tl2br w:val="nil"/>
                    <w:tr2bl w:val="nil"/>
                  </w:tcBorders>
                  <w:noWrap w:val="0"/>
                  <w:vAlign w:val="center"/>
                </w:tcPr>
                <w:p w14:paraId="0BB08B16">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2</w:t>
                  </w:r>
                </w:p>
              </w:tc>
              <w:tc>
                <w:tcPr>
                  <w:tcW w:w="660" w:type="dxa"/>
                  <w:tcBorders>
                    <w:tl2br w:val="nil"/>
                    <w:tr2bl w:val="nil"/>
                  </w:tcBorders>
                  <w:noWrap w:val="0"/>
                  <w:vAlign w:val="center"/>
                </w:tcPr>
                <w:p w14:paraId="7DB45A46">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w:t>
                  </w:r>
                </w:p>
              </w:tc>
            </w:tr>
            <w:tr w14:paraId="33A981E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48" w:type="dxa"/>
                  <w:vMerge w:val="continue"/>
                  <w:tcBorders>
                    <w:tl2br w:val="nil"/>
                    <w:tr2bl w:val="nil"/>
                  </w:tcBorders>
                  <w:noWrap w:val="0"/>
                  <w:vAlign w:val="center"/>
                </w:tcPr>
                <w:p w14:paraId="30EC4551">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p>
              </w:tc>
              <w:tc>
                <w:tcPr>
                  <w:tcW w:w="859" w:type="dxa"/>
                  <w:tcBorders>
                    <w:tl2br w:val="nil"/>
                    <w:tr2bl w:val="nil"/>
                  </w:tcBorders>
                  <w:noWrap w:val="0"/>
                  <w:vAlign w:val="center"/>
                </w:tcPr>
                <w:p w14:paraId="2B4E44F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设计值</w:t>
                  </w:r>
                </w:p>
              </w:tc>
              <w:tc>
                <w:tcPr>
                  <w:tcW w:w="838" w:type="dxa"/>
                  <w:tcBorders>
                    <w:tl2br w:val="nil"/>
                    <w:tr2bl w:val="nil"/>
                  </w:tcBorders>
                  <w:noWrap w:val="0"/>
                  <w:vAlign w:val="center"/>
                </w:tcPr>
                <w:p w14:paraId="1F5CCDB5">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w:t>
                  </w:r>
                </w:p>
              </w:tc>
              <w:tc>
                <w:tcPr>
                  <w:tcW w:w="839" w:type="dxa"/>
                  <w:tcBorders>
                    <w:tl2br w:val="nil"/>
                    <w:tr2bl w:val="nil"/>
                  </w:tcBorders>
                  <w:noWrap w:val="0"/>
                  <w:vAlign w:val="center"/>
                </w:tcPr>
                <w:p w14:paraId="73A3CEFA">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w:t>
                  </w:r>
                </w:p>
              </w:tc>
              <w:tc>
                <w:tcPr>
                  <w:tcW w:w="1145" w:type="dxa"/>
                  <w:tcBorders>
                    <w:tl2br w:val="nil"/>
                    <w:tr2bl w:val="nil"/>
                  </w:tcBorders>
                  <w:noWrap w:val="0"/>
                  <w:vAlign w:val="center"/>
                </w:tcPr>
                <w:p w14:paraId="625A49A2">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w:t>
                  </w:r>
                </w:p>
              </w:tc>
              <w:tc>
                <w:tcPr>
                  <w:tcW w:w="1146" w:type="dxa"/>
                  <w:tcBorders>
                    <w:tl2br w:val="nil"/>
                    <w:tr2bl w:val="nil"/>
                  </w:tcBorders>
                  <w:noWrap w:val="0"/>
                  <w:vAlign w:val="center"/>
                </w:tcPr>
                <w:p w14:paraId="2794F8F1">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w:t>
                  </w:r>
                </w:p>
              </w:tc>
              <w:tc>
                <w:tcPr>
                  <w:tcW w:w="852" w:type="dxa"/>
                  <w:tcBorders>
                    <w:tl2br w:val="nil"/>
                    <w:tr2bl w:val="nil"/>
                  </w:tcBorders>
                  <w:noWrap w:val="0"/>
                  <w:vAlign w:val="center"/>
                </w:tcPr>
                <w:p w14:paraId="354D1799">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w:t>
                  </w:r>
                </w:p>
              </w:tc>
              <w:tc>
                <w:tcPr>
                  <w:tcW w:w="852" w:type="dxa"/>
                  <w:tcBorders>
                    <w:tl2br w:val="nil"/>
                    <w:tr2bl w:val="nil"/>
                  </w:tcBorders>
                  <w:noWrap w:val="0"/>
                  <w:vAlign w:val="center"/>
                </w:tcPr>
                <w:p w14:paraId="4B550289">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26.70</w:t>
                  </w:r>
                </w:p>
              </w:tc>
              <w:tc>
                <w:tcPr>
                  <w:tcW w:w="660" w:type="dxa"/>
                  <w:tcBorders>
                    <w:tl2br w:val="nil"/>
                    <w:tr2bl w:val="nil"/>
                  </w:tcBorders>
                  <w:noWrap w:val="0"/>
                  <w:vAlign w:val="center"/>
                </w:tcPr>
                <w:p w14:paraId="2299BB08">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符合</w:t>
                  </w:r>
                </w:p>
              </w:tc>
            </w:tr>
            <w:tr w14:paraId="16B07D7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48" w:type="dxa"/>
                  <w:vMerge w:val="restart"/>
                  <w:tcBorders>
                    <w:tl2br w:val="nil"/>
                    <w:tr2bl w:val="nil"/>
                  </w:tcBorders>
                  <w:noWrap w:val="0"/>
                  <w:vAlign w:val="center"/>
                </w:tcPr>
                <w:p w14:paraId="039A35C7">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加油机</w:t>
                  </w:r>
                </w:p>
              </w:tc>
              <w:tc>
                <w:tcPr>
                  <w:tcW w:w="859" w:type="dxa"/>
                  <w:tcBorders>
                    <w:tl2br w:val="nil"/>
                    <w:tr2bl w:val="nil"/>
                  </w:tcBorders>
                  <w:noWrap w:val="0"/>
                  <w:vAlign w:val="center"/>
                </w:tcPr>
                <w:p w14:paraId="1FDB5DF4">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规范值</w:t>
                  </w:r>
                </w:p>
              </w:tc>
              <w:tc>
                <w:tcPr>
                  <w:tcW w:w="838" w:type="dxa"/>
                  <w:tcBorders>
                    <w:tl2br w:val="nil"/>
                    <w:tr2bl w:val="nil"/>
                  </w:tcBorders>
                  <w:noWrap w:val="0"/>
                  <w:vAlign w:val="center"/>
                </w:tcPr>
                <w:p w14:paraId="0E6641FA">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w:t>
                  </w:r>
                </w:p>
              </w:tc>
              <w:tc>
                <w:tcPr>
                  <w:tcW w:w="839" w:type="dxa"/>
                  <w:tcBorders>
                    <w:tl2br w:val="nil"/>
                    <w:tr2bl w:val="nil"/>
                  </w:tcBorders>
                  <w:noWrap w:val="0"/>
                  <w:vAlign w:val="center"/>
                </w:tcPr>
                <w:p w14:paraId="6A38D982">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w:t>
                  </w:r>
                </w:p>
              </w:tc>
              <w:tc>
                <w:tcPr>
                  <w:tcW w:w="1145" w:type="dxa"/>
                  <w:tcBorders>
                    <w:tl2br w:val="nil"/>
                    <w:tr2bl w:val="nil"/>
                  </w:tcBorders>
                  <w:noWrap w:val="0"/>
                  <w:vAlign w:val="center"/>
                </w:tcPr>
                <w:p w14:paraId="0352D4A7">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w:t>
                  </w:r>
                </w:p>
              </w:tc>
              <w:tc>
                <w:tcPr>
                  <w:tcW w:w="1146" w:type="dxa"/>
                  <w:tcBorders>
                    <w:tl2br w:val="nil"/>
                    <w:tr2bl w:val="nil"/>
                  </w:tcBorders>
                  <w:noWrap w:val="0"/>
                  <w:vAlign w:val="center"/>
                </w:tcPr>
                <w:p w14:paraId="1FB2215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w:t>
                  </w:r>
                </w:p>
              </w:tc>
              <w:tc>
                <w:tcPr>
                  <w:tcW w:w="852" w:type="dxa"/>
                  <w:tcBorders>
                    <w:tl2br w:val="nil"/>
                    <w:tr2bl w:val="nil"/>
                  </w:tcBorders>
                  <w:noWrap w:val="0"/>
                  <w:vAlign w:val="center"/>
                </w:tcPr>
                <w:p w14:paraId="6107DD6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w:t>
                  </w:r>
                </w:p>
              </w:tc>
              <w:tc>
                <w:tcPr>
                  <w:tcW w:w="852" w:type="dxa"/>
                  <w:tcBorders>
                    <w:tl2br w:val="nil"/>
                    <w:tr2bl w:val="nil"/>
                  </w:tcBorders>
                  <w:noWrap w:val="0"/>
                  <w:vAlign w:val="center"/>
                </w:tcPr>
                <w:p w14:paraId="2614AC39">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w:t>
                  </w:r>
                </w:p>
              </w:tc>
              <w:tc>
                <w:tcPr>
                  <w:tcW w:w="660" w:type="dxa"/>
                  <w:tcBorders>
                    <w:tl2br w:val="nil"/>
                    <w:tr2bl w:val="nil"/>
                  </w:tcBorders>
                  <w:noWrap w:val="0"/>
                  <w:vAlign w:val="center"/>
                </w:tcPr>
                <w:p w14:paraId="130D1F9A">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w:t>
                  </w:r>
                </w:p>
              </w:tc>
            </w:tr>
            <w:tr w14:paraId="2DC26B9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48" w:type="dxa"/>
                  <w:vMerge w:val="continue"/>
                  <w:tcBorders>
                    <w:tl2br w:val="nil"/>
                    <w:tr2bl w:val="nil"/>
                  </w:tcBorders>
                  <w:noWrap w:val="0"/>
                  <w:vAlign w:val="center"/>
                </w:tcPr>
                <w:p w14:paraId="4EA1BA5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p>
              </w:tc>
              <w:tc>
                <w:tcPr>
                  <w:tcW w:w="859" w:type="dxa"/>
                  <w:tcBorders>
                    <w:tl2br w:val="nil"/>
                    <w:tr2bl w:val="nil"/>
                  </w:tcBorders>
                  <w:noWrap w:val="0"/>
                  <w:vAlign w:val="center"/>
                </w:tcPr>
                <w:p w14:paraId="455BDA8A">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设计值</w:t>
                  </w:r>
                </w:p>
              </w:tc>
              <w:tc>
                <w:tcPr>
                  <w:tcW w:w="838" w:type="dxa"/>
                  <w:tcBorders>
                    <w:tl2br w:val="nil"/>
                    <w:tr2bl w:val="nil"/>
                  </w:tcBorders>
                  <w:noWrap w:val="0"/>
                  <w:vAlign w:val="center"/>
                </w:tcPr>
                <w:p w14:paraId="6BDC5C5A">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w:t>
                  </w:r>
                </w:p>
              </w:tc>
              <w:tc>
                <w:tcPr>
                  <w:tcW w:w="839" w:type="dxa"/>
                  <w:tcBorders>
                    <w:tl2br w:val="nil"/>
                    <w:tr2bl w:val="nil"/>
                  </w:tcBorders>
                  <w:noWrap w:val="0"/>
                  <w:vAlign w:val="center"/>
                </w:tcPr>
                <w:p w14:paraId="14C237BF">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w:t>
                  </w:r>
                </w:p>
              </w:tc>
              <w:tc>
                <w:tcPr>
                  <w:tcW w:w="1145" w:type="dxa"/>
                  <w:tcBorders>
                    <w:tl2br w:val="nil"/>
                    <w:tr2bl w:val="nil"/>
                  </w:tcBorders>
                  <w:noWrap w:val="0"/>
                  <w:vAlign w:val="center"/>
                </w:tcPr>
                <w:p w14:paraId="6EDADEA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w:t>
                  </w:r>
                </w:p>
              </w:tc>
              <w:tc>
                <w:tcPr>
                  <w:tcW w:w="1146" w:type="dxa"/>
                  <w:tcBorders>
                    <w:tl2br w:val="nil"/>
                    <w:tr2bl w:val="nil"/>
                  </w:tcBorders>
                  <w:noWrap w:val="0"/>
                  <w:vAlign w:val="center"/>
                </w:tcPr>
                <w:p w14:paraId="1CC4B27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w:t>
                  </w:r>
                </w:p>
              </w:tc>
              <w:tc>
                <w:tcPr>
                  <w:tcW w:w="852" w:type="dxa"/>
                  <w:tcBorders>
                    <w:tl2br w:val="nil"/>
                    <w:tr2bl w:val="nil"/>
                  </w:tcBorders>
                  <w:noWrap w:val="0"/>
                  <w:vAlign w:val="center"/>
                </w:tcPr>
                <w:p w14:paraId="74133556">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w:t>
                  </w:r>
                </w:p>
              </w:tc>
              <w:tc>
                <w:tcPr>
                  <w:tcW w:w="852" w:type="dxa"/>
                  <w:tcBorders>
                    <w:tl2br w:val="nil"/>
                    <w:tr2bl w:val="nil"/>
                  </w:tcBorders>
                  <w:noWrap w:val="0"/>
                  <w:vAlign w:val="center"/>
                </w:tcPr>
                <w:p w14:paraId="2AC5831A">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w:t>
                  </w:r>
                </w:p>
              </w:tc>
              <w:tc>
                <w:tcPr>
                  <w:tcW w:w="660" w:type="dxa"/>
                  <w:tcBorders>
                    <w:tl2br w:val="nil"/>
                    <w:tr2bl w:val="nil"/>
                  </w:tcBorders>
                  <w:noWrap w:val="0"/>
                  <w:vAlign w:val="center"/>
                </w:tcPr>
                <w:p w14:paraId="54E49AB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w:t>
                  </w:r>
                </w:p>
              </w:tc>
            </w:tr>
            <w:tr w14:paraId="6118691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48" w:type="dxa"/>
                  <w:vMerge w:val="restart"/>
                  <w:tcBorders>
                    <w:tl2br w:val="nil"/>
                    <w:tr2bl w:val="nil"/>
                  </w:tcBorders>
                  <w:noWrap w:val="0"/>
                  <w:vAlign w:val="center"/>
                </w:tcPr>
                <w:p w14:paraId="046FD3CF">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油品卸车点</w:t>
                  </w:r>
                </w:p>
              </w:tc>
              <w:tc>
                <w:tcPr>
                  <w:tcW w:w="859" w:type="dxa"/>
                  <w:tcBorders>
                    <w:tl2br w:val="nil"/>
                    <w:tr2bl w:val="nil"/>
                  </w:tcBorders>
                  <w:noWrap w:val="0"/>
                  <w:vAlign w:val="center"/>
                </w:tcPr>
                <w:p w14:paraId="5FDFA39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规范值</w:t>
                  </w:r>
                </w:p>
              </w:tc>
              <w:tc>
                <w:tcPr>
                  <w:tcW w:w="838" w:type="dxa"/>
                  <w:tcBorders>
                    <w:tl2br w:val="nil"/>
                    <w:tr2bl w:val="nil"/>
                  </w:tcBorders>
                  <w:noWrap w:val="0"/>
                  <w:vAlign w:val="center"/>
                </w:tcPr>
                <w:p w14:paraId="11544A1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w:t>
                  </w:r>
                </w:p>
              </w:tc>
              <w:tc>
                <w:tcPr>
                  <w:tcW w:w="839" w:type="dxa"/>
                  <w:tcBorders>
                    <w:tl2br w:val="nil"/>
                    <w:tr2bl w:val="nil"/>
                  </w:tcBorders>
                  <w:noWrap w:val="0"/>
                  <w:vAlign w:val="center"/>
                </w:tcPr>
                <w:p w14:paraId="1FDDD47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w:t>
                  </w:r>
                </w:p>
              </w:tc>
              <w:tc>
                <w:tcPr>
                  <w:tcW w:w="1145" w:type="dxa"/>
                  <w:tcBorders>
                    <w:tl2br w:val="nil"/>
                    <w:tr2bl w:val="nil"/>
                  </w:tcBorders>
                  <w:noWrap w:val="0"/>
                  <w:vAlign w:val="center"/>
                </w:tcPr>
                <w:p w14:paraId="6E326A9F">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3</w:t>
                  </w:r>
                </w:p>
              </w:tc>
              <w:tc>
                <w:tcPr>
                  <w:tcW w:w="1146" w:type="dxa"/>
                  <w:tcBorders>
                    <w:tl2br w:val="nil"/>
                    <w:tr2bl w:val="nil"/>
                  </w:tcBorders>
                  <w:noWrap w:val="0"/>
                  <w:vAlign w:val="center"/>
                </w:tcPr>
                <w:p w14:paraId="0BC0CC1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2</w:t>
                  </w:r>
                </w:p>
              </w:tc>
              <w:tc>
                <w:tcPr>
                  <w:tcW w:w="852" w:type="dxa"/>
                  <w:tcBorders>
                    <w:tl2br w:val="nil"/>
                    <w:tr2bl w:val="nil"/>
                  </w:tcBorders>
                  <w:noWrap w:val="0"/>
                  <w:vAlign w:val="center"/>
                </w:tcPr>
                <w:p w14:paraId="5AF3FFA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w:t>
                  </w:r>
                </w:p>
              </w:tc>
              <w:tc>
                <w:tcPr>
                  <w:tcW w:w="852" w:type="dxa"/>
                  <w:tcBorders>
                    <w:tl2br w:val="nil"/>
                    <w:tr2bl w:val="nil"/>
                  </w:tcBorders>
                  <w:noWrap w:val="0"/>
                  <w:vAlign w:val="center"/>
                </w:tcPr>
                <w:p w14:paraId="40212945">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w:t>
                  </w:r>
                </w:p>
              </w:tc>
              <w:tc>
                <w:tcPr>
                  <w:tcW w:w="660" w:type="dxa"/>
                  <w:tcBorders>
                    <w:tl2br w:val="nil"/>
                    <w:tr2bl w:val="nil"/>
                  </w:tcBorders>
                  <w:noWrap w:val="0"/>
                  <w:vAlign w:val="center"/>
                </w:tcPr>
                <w:p w14:paraId="740A1E0A">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w:t>
                  </w:r>
                </w:p>
              </w:tc>
            </w:tr>
            <w:tr w14:paraId="34F23A1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81" w:hRule="atLeast"/>
                <w:jc w:val="center"/>
              </w:trPr>
              <w:tc>
                <w:tcPr>
                  <w:tcW w:w="848" w:type="dxa"/>
                  <w:vMerge w:val="continue"/>
                  <w:tcBorders>
                    <w:bottom w:val="single" w:color="auto" w:sz="4" w:space="0"/>
                    <w:tl2br w:val="nil"/>
                    <w:tr2bl w:val="nil"/>
                  </w:tcBorders>
                  <w:noWrap w:val="0"/>
                  <w:vAlign w:val="center"/>
                </w:tcPr>
                <w:p w14:paraId="0A1C7F24">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p>
              </w:tc>
              <w:tc>
                <w:tcPr>
                  <w:tcW w:w="859" w:type="dxa"/>
                  <w:tcBorders>
                    <w:tl2br w:val="nil"/>
                    <w:tr2bl w:val="nil"/>
                  </w:tcBorders>
                  <w:noWrap w:val="0"/>
                  <w:vAlign w:val="center"/>
                </w:tcPr>
                <w:p w14:paraId="4596AB74">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设计值</w:t>
                  </w:r>
                </w:p>
              </w:tc>
              <w:tc>
                <w:tcPr>
                  <w:tcW w:w="838" w:type="dxa"/>
                  <w:tcBorders>
                    <w:tl2br w:val="nil"/>
                    <w:tr2bl w:val="nil"/>
                  </w:tcBorders>
                  <w:noWrap w:val="0"/>
                  <w:vAlign w:val="center"/>
                </w:tcPr>
                <w:p w14:paraId="6A3C9008">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w:t>
                  </w:r>
                </w:p>
              </w:tc>
              <w:tc>
                <w:tcPr>
                  <w:tcW w:w="839" w:type="dxa"/>
                  <w:tcBorders>
                    <w:tl2br w:val="nil"/>
                    <w:tr2bl w:val="nil"/>
                  </w:tcBorders>
                  <w:noWrap w:val="0"/>
                  <w:vAlign w:val="center"/>
                </w:tcPr>
                <w:p w14:paraId="10D10049">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w:t>
                  </w:r>
                </w:p>
              </w:tc>
              <w:tc>
                <w:tcPr>
                  <w:tcW w:w="1145" w:type="dxa"/>
                  <w:tcBorders>
                    <w:tl2br w:val="nil"/>
                    <w:tr2bl w:val="nil"/>
                  </w:tcBorders>
                  <w:noWrap w:val="0"/>
                  <w:vAlign w:val="center"/>
                </w:tcPr>
                <w:p w14:paraId="13540D58">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27</w:t>
                  </w:r>
                </w:p>
              </w:tc>
              <w:tc>
                <w:tcPr>
                  <w:tcW w:w="1146" w:type="dxa"/>
                  <w:tcBorders>
                    <w:tl2br w:val="nil"/>
                    <w:tr2bl w:val="nil"/>
                  </w:tcBorders>
                  <w:noWrap w:val="0"/>
                  <w:vAlign w:val="center"/>
                </w:tcPr>
                <w:p w14:paraId="752A4302">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26.70</w:t>
                  </w:r>
                </w:p>
              </w:tc>
              <w:tc>
                <w:tcPr>
                  <w:tcW w:w="852" w:type="dxa"/>
                  <w:tcBorders>
                    <w:tl2br w:val="nil"/>
                    <w:tr2bl w:val="nil"/>
                  </w:tcBorders>
                  <w:noWrap w:val="0"/>
                  <w:vAlign w:val="center"/>
                </w:tcPr>
                <w:p w14:paraId="17F32648">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w:t>
                  </w:r>
                </w:p>
              </w:tc>
              <w:tc>
                <w:tcPr>
                  <w:tcW w:w="852" w:type="dxa"/>
                  <w:tcBorders>
                    <w:tl2br w:val="nil"/>
                    <w:tr2bl w:val="nil"/>
                  </w:tcBorders>
                  <w:noWrap w:val="0"/>
                  <w:vAlign w:val="center"/>
                </w:tcPr>
                <w:p w14:paraId="4FE4D198">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w:t>
                  </w:r>
                </w:p>
              </w:tc>
              <w:tc>
                <w:tcPr>
                  <w:tcW w:w="660" w:type="dxa"/>
                  <w:tcBorders>
                    <w:tl2br w:val="nil"/>
                    <w:tr2bl w:val="nil"/>
                  </w:tcBorders>
                  <w:noWrap w:val="0"/>
                  <w:vAlign w:val="center"/>
                </w:tcPr>
                <w:p w14:paraId="26C5B80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符合</w:t>
                  </w:r>
                </w:p>
              </w:tc>
            </w:tr>
            <w:tr w14:paraId="4E17E2E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81" w:hRule="atLeast"/>
                <w:jc w:val="center"/>
              </w:trPr>
              <w:tc>
                <w:tcPr>
                  <w:tcW w:w="848" w:type="dxa"/>
                  <w:vMerge w:val="restart"/>
                  <w:tcBorders>
                    <w:top w:val="single" w:color="auto" w:sz="4" w:space="0"/>
                    <w:tl2br w:val="nil"/>
                    <w:tr2bl w:val="nil"/>
                  </w:tcBorders>
                  <w:noWrap w:val="0"/>
                  <w:vAlign w:val="center"/>
                </w:tcPr>
                <w:p w14:paraId="65C7BAA1">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eastAsia" w:eastAsia="宋体"/>
                      <w:color w:val="auto"/>
                      <w:lang w:val="en-US" w:eastAsia="zh-CN"/>
                    </w:rPr>
                  </w:pPr>
                  <w:r>
                    <w:rPr>
                      <w:rFonts w:hint="eastAsia"/>
                      <w:color w:val="auto"/>
                      <w:sz w:val="21"/>
                      <w:szCs w:val="21"/>
                      <w:lang w:val="en-US" w:eastAsia="zh-CN"/>
                    </w:rPr>
                    <w:t>站房</w:t>
                  </w:r>
                </w:p>
              </w:tc>
              <w:tc>
                <w:tcPr>
                  <w:tcW w:w="859" w:type="dxa"/>
                  <w:tcBorders>
                    <w:tl2br w:val="nil"/>
                    <w:tr2bl w:val="nil"/>
                  </w:tcBorders>
                  <w:noWrap w:val="0"/>
                  <w:vAlign w:val="center"/>
                </w:tcPr>
                <w:p w14:paraId="5799D27A">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规范值</w:t>
                  </w:r>
                </w:p>
              </w:tc>
              <w:tc>
                <w:tcPr>
                  <w:tcW w:w="838" w:type="dxa"/>
                  <w:tcBorders>
                    <w:tl2br w:val="nil"/>
                    <w:tr2bl w:val="nil"/>
                  </w:tcBorders>
                  <w:noWrap w:val="0"/>
                  <w:vAlign w:val="center"/>
                </w:tcPr>
                <w:p w14:paraId="77AF8C35">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4</w:t>
                  </w:r>
                </w:p>
              </w:tc>
              <w:tc>
                <w:tcPr>
                  <w:tcW w:w="839" w:type="dxa"/>
                  <w:tcBorders>
                    <w:tl2br w:val="nil"/>
                    <w:tr2bl w:val="nil"/>
                  </w:tcBorders>
                  <w:noWrap w:val="0"/>
                  <w:vAlign w:val="center"/>
                </w:tcPr>
                <w:p w14:paraId="18801A0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3</w:t>
                  </w:r>
                </w:p>
              </w:tc>
              <w:tc>
                <w:tcPr>
                  <w:tcW w:w="1145" w:type="dxa"/>
                  <w:tcBorders>
                    <w:tl2br w:val="nil"/>
                    <w:tr2bl w:val="nil"/>
                  </w:tcBorders>
                  <w:noWrap w:val="0"/>
                  <w:vAlign w:val="center"/>
                </w:tcPr>
                <w:p w14:paraId="7B0AF0DF">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4</w:t>
                  </w:r>
                </w:p>
              </w:tc>
              <w:tc>
                <w:tcPr>
                  <w:tcW w:w="1146" w:type="dxa"/>
                  <w:tcBorders>
                    <w:tl2br w:val="nil"/>
                    <w:tr2bl w:val="nil"/>
                  </w:tcBorders>
                  <w:noWrap w:val="0"/>
                  <w:vAlign w:val="center"/>
                </w:tcPr>
                <w:p w14:paraId="444661C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3.5</w:t>
                  </w:r>
                </w:p>
              </w:tc>
              <w:tc>
                <w:tcPr>
                  <w:tcW w:w="852" w:type="dxa"/>
                  <w:tcBorders>
                    <w:tl2br w:val="nil"/>
                    <w:tr2bl w:val="nil"/>
                  </w:tcBorders>
                  <w:noWrap w:val="0"/>
                  <w:vAlign w:val="center"/>
                </w:tcPr>
                <w:p w14:paraId="3484FA3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5（4）</w:t>
                  </w:r>
                </w:p>
              </w:tc>
              <w:tc>
                <w:tcPr>
                  <w:tcW w:w="852" w:type="dxa"/>
                  <w:tcBorders>
                    <w:tl2br w:val="nil"/>
                    <w:tr2bl w:val="nil"/>
                  </w:tcBorders>
                  <w:noWrap w:val="0"/>
                  <w:vAlign w:val="center"/>
                </w:tcPr>
                <w:p w14:paraId="782EBF5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5</w:t>
                  </w:r>
                </w:p>
              </w:tc>
              <w:tc>
                <w:tcPr>
                  <w:tcW w:w="660" w:type="dxa"/>
                  <w:tcBorders>
                    <w:tl2br w:val="nil"/>
                    <w:tr2bl w:val="nil"/>
                  </w:tcBorders>
                  <w:noWrap w:val="0"/>
                  <w:vAlign w:val="center"/>
                </w:tcPr>
                <w:p w14:paraId="144C632B">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w:t>
                  </w:r>
                </w:p>
              </w:tc>
            </w:tr>
            <w:tr w14:paraId="69F9561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0" w:hRule="atLeast"/>
                <w:jc w:val="center"/>
              </w:trPr>
              <w:tc>
                <w:tcPr>
                  <w:tcW w:w="848" w:type="dxa"/>
                  <w:vMerge w:val="continue"/>
                  <w:tcBorders>
                    <w:bottom w:val="single" w:color="auto" w:sz="4" w:space="0"/>
                    <w:tl2br w:val="nil"/>
                    <w:tr2bl w:val="nil"/>
                  </w:tcBorders>
                  <w:noWrap w:val="0"/>
                  <w:vAlign w:val="center"/>
                </w:tcPr>
                <w:p w14:paraId="22EF3B6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p>
              </w:tc>
              <w:tc>
                <w:tcPr>
                  <w:tcW w:w="859" w:type="dxa"/>
                  <w:tcBorders>
                    <w:bottom w:val="single" w:color="auto" w:sz="4" w:space="0"/>
                    <w:tl2br w:val="nil"/>
                    <w:tr2bl w:val="nil"/>
                  </w:tcBorders>
                  <w:noWrap w:val="0"/>
                  <w:vAlign w:val="center"/>
                </w:tcPr>
                <w:p w14:paraId="24E835BA">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设计值</w:t>
                  </w:r>
                </w:p>
              </w:tc>
              <w:tc>
                <w:tcPr>
                  <w:tcW w:w="838" w:type="dxa"/>
                  <w:tcBorders>
                    <w:tl2br w:val="nil"/>
                    <w:tr2bl w:val="nil"/>
                  </w:tcBorders>
                  <w:noWrap w:val="0"/>
                  <w:vAlign w:val="center"/>
                </w:tcPr>
                <w:p w14:paraId="5D2087D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34.70</w:t>
                  </w:r>
                </w:p>
              </w:tc>
              <w:tc>
                <w:tcPr>
                  <w:tcW w:w="839" w:type="dxa"/>
                  <w:tcBorders>
                    <w:tl2br w:val="nil"/>
                    <w:tr2bl w:val="nil"/>
                  </w:tcBorders>
                  <w:noWrap w:val="0"/>
                  <w:vAlign w:val="center"/>
                </w:tcPr>
                <w:p w14:paraId="36037DCA">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34.70</w:t>
                  </w:r>
                </w:p>
              </w:tc>
              <w:tc>
                <w:tcPr>
                  <w:tcW w:w="1145" w:type="dxa"/>
                  <w:tcBorders>
                    <w:tl2br w:val="nil"/>
                    <w:tr2bl w:val="nil"/>
                  </w:tcBorders>
                  <w:noWrap w:val="0"/>
                  <w:vAlign w:val="center"/>
                </w:tcPr>
                <w:p w14:paraId="5DBC8A2F">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32</w:t>
                  </w:r>
                </w:p>
              </w:tc>
              <w:tc>
                <w:tcPr>
                  <w:tcW w:w="1146" w:type="dxa"/>
                  <w:tcBorders>
                    <w:tl2br w:val="nil"/>
                    <w:tr2bl w:val="nil"/>
                  </w:tcBorders>
                  <w:noWrap w:val="0"/>
                  <w:vAlign w:val="center"/>
                </w:tcPr>
                <w:p w14:paraId="75233C04">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32</w:t>
                  </w:r>
                </w:p>
              </w:tc>
              <w:tc>
                <w:tcPr>
                  <w:tcW w:w="852" w:type="dxa"/>
                  <w:tcBorders>
                    <w:tl2br w:val="nil"/>
                    <w:tr2bl w:val="nil"/>
                  </w:tcBorders>
                  <w:noWrap w:val="0"/>
                  <w:vAlign w:val="center"/>
                </w:tcPr>
                <w:p w14:paraId="22DB812F">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8</w:t>
                  </w:r>
                </w:p>
              </w:tc>
              <w:tc>
                <w:tcPr>
                  <w:tcW w:w="852" w:type="dxa"/>
                  <w:tcBorders>
                    <w:tl2br w:val="nil"/>
                    <w:tr2bl w:val="nil"/>
                  </w:tcBorders>
                  <w:noWrap w:val="0"/>
                  <w:vAlign w:val="center"/>
                </w:tcPr>
                <w:p w14:paraId="430CCB00">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60</w:t>
                  </w:r>
                </w:p>
              </w:tc>
              <w:tc>
                <w:tcPr>
                  <w:tcW w:w="660" w:type="dxa"/>
                  <w:tcBorders>
                    <w:tl2br w:val="nil"/>
                    <w:tr2bl w:val="nil"/>
                  </w:tcBorders>
                  <w:noWrap w:val="0"/>
                  <w:vAlign w:val="center"/>
                </w:tcPr>
                <w:p w14:paraId="32D232D1">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符合</w:t>
                  </w:r>
                </w:p>
              </w:tc>
            </w:tr>
            <w:tr w14:paraId="75FF58D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0" w:hRule="atLeast"/>
                <w:jc w:val="center"/>
              </w:trPr>
              <w:tc>
                <w:tcPr>
                  <w:tcW w:w="848" w:type="dxa"/>
                  <w:vMerge w:val="restart"/>
                  <w:tcBorders>
                    <w:top w:val="single" w:color="auto" w:sz="4" w:space="0"/>
                    <w:tl2br w:val="nil"/>
                    <w:tr2bl w:val="nil"/>
                  </w:tcBorders>
                  <w:noWrap w:val="0"/>
                  <w:vAlign w:val="center"/>
                </w:tcPr>
                <w:p w14:paraId="2976E516">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eastAsia="宋体"/>
                      <w:color w:val="auto"/>
                      <w:lang w:val="en-US" w:eastAsia="zh-CN"/>
                    </w:rPr>
                  </w:pPr>
                  <w:r>
                    <w:rPr>
                      <w:rFonts w:hint="eastAsia"/>
                      <w:color w:val="auto"/>
                      <w:sz w:val="21"/>
                      <w:szCs w:val="21"/>
                      <w:lang w:val="en-US" w:eastAsia="zh-CN"/>
                    </w:rPr>
                    <w:t>站区围墙</w:t>
                  </w:r>
                </w:p>
              </w:tc>
              <w:tc>
                <w:tcPr>
                  <w:tcW w:w="859" w:type="dxa"/>
                  <w:tcBorders>
                    <w:top w:val="single" w:color="auto" w:sz="4" w:space="0"/>
                    <w:tl2br w:val="nil"/>
                    <w:tr2bl w:val="nil"/>
                  </w:tcBorders>
                  <w:noWrap w:val="0"/>
                  <w:vAlign w:val="center"/>
                </w:tcPr>
                <w:p w14:paraId="7131A5E1">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规范值</w:t>
                  </w:r>
                </w:p>
              </w:tc>
              <w:tc>
                <w:tcPr>
                  <w:tcW w:w="838" w:type="dxa"/>
                  <w:tcBorders>
                    <w:tl2br w:val="nil"/>
                    <w:tr2bl w:val="nil"/>
                  </w:tcBorders>
                  <w:noWrap w:val="0"/>
                  <w:vAlign w:val="center"/>
                </w:tcPr>
                <w:p w14:paraId="14FA3500">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2</w:t>
                  </w:r>
                </w:p>
              </w:tc>
              <w:tc>
                <w:tcPr>
                  <w:tcW w:w="839" w:type="dxa"/>
                  <w:tcBorders>
                    <w:tl2br w:val="nil"/>
                    <w:tr2bl w:val="nil"/>
                  </w:tcBorders>
                  <w:noWrap w:val="0"/>
                  <w:vAlign w:val="center"/>
                </w:tcPr>
                <w:p w14:paraId="288F918A">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2</w:t>
                  </w:r>
                </w:p>
              </w:tc>
              <w:tc>
                <w:tcPr>
                  <w:tcW w:w="1145" w:type="dxa"/>
                  <w:tcBorders>
                    <w:tl2br w:val="nil"/>
                    <w:tr2bl w:val="nil"/>
                  </w:tcBorders>
                  <w:noWrap w:val="0"/>
                  <w:vAlign w:val="center"/>
                </w:tcPr>
                <w:p w14:paraId="5D5197FF">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2</w:t>
                  </w:r>
                </w:p>
              </w:tc>
              <w:tc>
                <w:tcPr>
                  <w:tcW w:w="1146" w:type="dxa"/>
                  <w:tcBorders>
                    <w:tl2br w:val="nil"/>
                    <w:tr2bl w:val="nil"/>
                  </w:tcBorders>
                  <w:noWrap w:val="0"/>
                  <w:vAlign w:val="center"/>
                </w:tcPr>
                <w:p w14:paraId="0A84D664">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2</w:t>
                  </w:r>
                </w:p>
              </w:tc>
              <w:tc>
                <w:tcPr>
                  <w:tcW w:w="852" w:type="dxa"/>
                  <w:tcBorders>
                    <w:tl2br w:val="nil"/>
                    <w:tr2bl w:val="nil"/>
                  </w:tcBorders>
                  <w:noWrap w:val="0"/>
                  <w:vAlign w:val="center"/>
                </w:tcPr>
                <w:p w14:paraId="389F3CAA">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w:t>
                  </w:r>
                </w:p>
              </w:tc>
              <w:tc>
                <w:tcPr>
                  <w:tcW w:w="852" w:type="dxa"/>
                  <w:tcBorders>
                    <w:tl2br w:val="nil"/>
                    <w:tr2bl w:val="nil"/>
                  </w:tcBorders>
                  <w:noWrap w:val="0"/>
                  <w:vAlign w:val="center"/>
                </w:tcPr>
                <w:p w14:paraId="18650E62">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w:t>
                  </w:r>
                </w:p>
              </w:tc>
              <w:tc>
                <w:tcPr>
                  <w:tcW w:w="660" w:type="dxa"/>
                  <w:tcBorders>
                    <w:tl2br w:val="nil"/>
                    <w:tr2bl w:val="nil"/>
                  </w:tcBorders>
                  <w:noWrap w:val="0"/>
                  <w:vAlign w:val="center"/>
                </w:tcPr>
                <w:p w14:paraId="4451B90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w:t>
                  </w:r>
                </w:p>
              </w:tc>
            </w:tr>
            <w:tr w14:paraId="70CAE3A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0" w:hRule="atLeast"/>
                <w:jc w:val="center"/>
              </w:trPr>
              <w:tc>
                <w:tcPr>
                  <w:tcW w:w="848" w:type="dxa"/>
                  <w:vMerge w:val="continue"/>
                  <w:tcBorders>
                    <w:tl2br w:val="nil"/>
                    <w:tr2bl w:val="nil"/>
                  </w:tcBorders>
                  <w:noWrap w:val="0"/>
                  <w:vAlign w:val="center"/>
                </w:tcPr>
                <w:p w14:paraId="3A165EF4">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p>
              </w:tc>
              <w:tc>
                <w:tcPr>
                  <w:tcW w:w="859" w:type="dxa"/>
                  <w:tcBorders>
                    <w:tl2br w:val="nil"/>
                    <w:tr2bl w:val="nil"/>
                  </w:tcBorders>
                  <w:noWrap w:val="0"/>
                  <w:vAlign w:val="center"/>
                </w:tcPr>
                <w:p w14:paraId="0F55B138">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设计值</w:t>
                  </w:r>
                </w:p>
              </w:tc>
              <w:tc>
                <w:tcPr>
                  <w:tcW w:w="838" w:type="dxa"/>
                  <w:tcBorders>
                    <w:tl2br w:val="nil"/>
                    <w:tr2bl w:val="nil"/>
                  </w:tcBorders>
                  <w:noWrap w:val="0"/>
                  <w:vAlign w:val="center"/>
                </w:tcPr>
                <w:p w14:paraId="6EB2E7DB">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18.29</w:t>
                  </w:r>
                </w:p>
              </w:tc>
              <w:tc>
                <w:tcPr>
                  <w:tcW w:w="839" w:type="dxa"/>
                  <w:tcBorders>
                    <w:tl2br w:val="nil"/>
                    <w:tr2bl w:val="nil"/>
                  </w:tcBorders>
                  <w:noWrap w:val="0"/>
                  <w:vAlign w:val="center"/>
                </w:tcPr>
                <w:p w14:paraId="21DA871D">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20.04</w:t>
                  </w:r>
                </w:p>
              </w:tc>
              <w:tc>
                <w:tcPr>
                  <w:tcW w:w="1145" w:type="dxa"/>
                  <w:tcBorders>
                    <w:tl2br w:val="nil"/>
                    <w:tr2bl w:val="nil"/>
                  </w:tcBorders>
                  <w:noWrap w:val="0"/>
                  <w:vAlign w:val="center"/>
                </w:tcPr>
                <w:p w14:paraId="4D6A82E1">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24.76</w:t>
                  </w:r>
                </w:p>
              </w:tc>
              <w:tc>
                <w:tcPr>
                  <w:tcW w:w="1146" w:type="dxa"/>
                  <w:tcBorders>
                    <w:tl2br w:val="nil"/>
                    <w:tr2bl w:val="nil"/>
                  </w:tcBorders>
                  <w:noWrap w:val="0"/>
                  <w:vAlign w:val="center"/>
                </w:tcPr>
                <w:p w14:paraId="6D69097F">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26.21</w:t>
                  </w:r>
                </w:p>
              </w:tc>
              <w:tc>
                <w:tcPr>
                  <w:tcW w:w="852" w:type="dxa"/>
                  <w:tcBorders>
                    <w:tl2br w:val="nil"/>
                    <w:tr2bl w:val="nil"/>
                  </w:tcBorders>
                  <w:noWrap w:val="0"/>
                  <w:vAlign w:val="center"/>
                </w:tcPr>
                <w:p w14:paraId="3940B638">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w:t>
                  </w:r>
                </w:p>
              </w:tc>
              <w:tc>
                <w:tcPr>
                  <w:tcW w:w="852" w:type="dxa"/>
                  <w:tcBorders>
                    <w:tl2br w:val="nil"/>
                    <w:tr2bl w:val="nil"/>
                  </w:tcBorders>
                  <w:noWrap w:val="0"/>
                  <w:vAlign w:val="center"/>
                </w:tcPr>
                <w:p w14:paraId="068A31E4">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w:t>
                  </w:r>
                </w:p>
              </w:tc>
              <w:tc>
                <w:tcPr>
                  <w:tcW w:w="660" w:type="dxa"/>
                  <w:tcBorders>
                    <w:tl2br w:val="nil"/>
                    <w:tr2bl w:val="nil"/>
                  </w:tcBorders>
                  <w:noWrap w:val="0"/>
                  <w:vAlign w:val="center"/>
                </w:tcPr>
                <w:p w14:paraId="3BB6638A">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符合</w:t>
                  </w:r>
                </w:p>
              </w:tc>
            </w:tr>
          </w:tbl>
          <w:p w14:paraId="7F5F709C">
            <w:pPr>
              <w:pStyle w:val="54"/>
              <w:keepNext w:val="0"/>
              <w:keepLines w:val="0"/>
              <w:pageBreakBefore w:val="0"/>
              <w:widowControl w:val="0"/>
              <w:numPr>
                <w:ilvl w:val="0"/>
                <w:numId w:val="0"/>
              </w:numPr>
              <w:kinsoku/>
              <w:wordWrap/>
              <w:overflowPunct/>
              <w:topLinePunct w:val="0"/>
              <w:autoSpaceDE/>
              <w:autoSpaceDN/>
              <w:bidi w:val="0"/>
              <w:adjustRightInd/>
              <w:snapToGrid/>
              <w:ind w:left="0" w:leftChars="0" w:firstLine="480" w:firstLineChars="200"/>
              <w:textAlignment w:val="auto"/>
              <w:rPr>
                <w:rFonts w:hint="eastAsia"/>
                <w:b/>
                <w:color w:val="auto"/>
                <w:lang w:val="en-US" w:eastAsia="zh-CN"/>
              </w:rPr>
            </w:pPr>
            <w:r>
              <w:rPr>
                <w:rFonts w:hint="eastAsia" w:cs="宋体"/>
                <w:color w:val="auto"/>
                <w:kern w:val="0"/>
                <w:sz w:val="24"/>
                <w:lang w:val="en-US" w:eastAsia="zh-CN"/>
              </w:rPr>
              <w:t>综上所述</w:t>
            </w:r>
            <w:r>
              <w:rPr>
                <w:rFonts w:hint="eastAsia" w:cs="宋体"/>
                <w:color w:val="auto"/>
                <w:kern w:val="0"/>
                <w:sz w:val="24"/>
              </w:rPr>
              <w:t>，本项目按规范设计建设，与站外、站内建、构筑物的防火、安全距离均满足要求</w:t>
            </w:r>
            <w:r>
              <w:rPr>
                <w:rFonts w:cs="宋体"/>
                <w:color w:val="auto"/>
                <w:kern w:val="0"/>
                <w:sz w:val="24"/>
              </w:rPr>
              <w:t>。</w:t>
            </w:r>
          </w:p>
          <w:p w14:paraId="527BF3DC">
            <w:pPr>
              <w:pStyle w:val="54"/>
              <w:keepNext w:val="0"/>
              <w:keepLines w:val="0"/>
              <w:pageBreakBefore w:val="0"/>
              <w:widowControl w:val="0"/>
              <w:numPr>
                <w:ilvl w:val="0"/>
                <w:numId w:val="0"/>
              </w:numPr>
              <w:kinsoku/>
              <w:wordWrap/>
              <w:overflowPunct/>
              <w:topLinePunct w:val="0"/>
              <w:autoSpaceDE/>
              <w:autoSpaceDN/>
              <w:bidi w:val="0"/>
              <w:adjustRightInd/>
              <w:snapToGrid/>
              <w:ind w:left="0" w:leftChars="0" w:firstLine="482" w:firstLineChars="200"/>
              <w:textAlignment w:val="auto"/>
              <w:rPr>
                <w:b/>
                <w:color w:val="FF0000"/>
              </w:rPr>
            </w:pPr>
            <w:r>
              <w:rPr>
                <w:rFonts w:hint="eastAsia"/>
                <w:b/>
                <w:color w:val="auto"/>
                <w:lang w:val="en-US" w:eastAsia="zh-CN"/>
              </w:rPr>
              <w:t>16、项目</w:t>
            </w:r>
            <w:r>
              <w:rPr>
                <w:rFonts w:hint="eastAsia"/>
                <w:b/>
                <w:color w:val="auto"/>
              </w:rPr>
              <w:t>与《江西省储油库、加油站和油罐车油气回收综合治理工作方案》</w:t>
            </w:r>
            <w:r>
              <w:rPr>
                <w:rFonts w:hint="eastAsia"/>
                <w:b/>
                <w:color w:val="auto"/>
                <w:lang w:val="en-US" w:eastAsia="zh-CN"/>
              </w:rPr>
              <w:t>相符</w:t>
            </w:r>
            <w:r>
              <w:rPr>
                <w:rFonts w:hint="eastAsia"/>
                <w:b/>
                <w:color w:val="auto"/>
              </w:rPr>
              <w:t>性分析</w:t>
            </w:r>
          </w:p>
          <w:p w14:paraId="332D62D5">
            <w:pPr>
              <w:keepNext w:val="0"/>
              <w:keepLines w:val="0"/>
              <w:pageBreakBefore w:val="0"/>
              <w:widowControl w:val="0"/>
              <w:kinsoku/>
              <w:wordWrap/>
              <w:overflowPunct/>
              <w:topLinePunct w:val="0"/>
              <w:autoSpaceDE w:val="0"/>
              <w:autoSpaceDN w:val="0"/>
              <w:bidi w:val="0"/>
              <w:adjustRightInd/>
              <w:snapToGrid/>
              <w:ind w:firstLine="480"/>
              <w:textAlignment w:val="auto"/>
              <w:rPr>
                <w:color w:val="FF0000"/>
              </w:rPr>
            </w:pPr>
            <w:r>
              <w:rPr>
                <w:rFonts w:hint="eastAsia"/>
                <w:color w:val="auto"/>
              </w:rPr>
              <w:t>根据《江西省储油库、加油站和油罐车油气回收综合治理工作方案》的规定，全省所有储油库、加油站和油罐车于2015年1月1日前完成油气回收综合治理工作，经治理后应满足国家三项强制性排放标准规定，确保稳定达标排放。新建储油库、加油站和新购置的油罐车，必须配备油气回收设施并符合三项强制性排放标准规定。</w:t>
            </w:r>
          </w:p>
          <w:p w14:paraId="093789EA">
            <w:pPr>
              <w:keepNext w:val="0"/>
              <w:keepLines w:val="0"/>
              <w:pageBreakBefore w:val="0"/>
              <w:widowControl w:val="0"/>
              <w:kinsoku/>
              <w:wordWrap/>
              <w:overflowPunct/>
              <w:topLinePunct w:val="0"/>
              <w:autoSpaceDE w:val="0"/>
              <w:autoSpaceDN w:val="0"/>
              <w:bidi w:val="0"/>
              <w:adjustRightInd/>
              <w:snapToGrid/>
              <w:ind w:firstLine="480"/>
              <w:textAlignment w:val="auto"/>
              <w:rPr>
                <w:color w:val="auto"/>
                <w:highlight w:val="none"/>
              </w:rPr>
            </w:pPr>
            <w:r>
              <w:rPr>
                <w:rFonts w:hint="eastAsia"/>
                <w:color w:val="auto"/>
                <w:highlight w:val="none"/>
              </w:rPr>
              <w:t>本项目</w:t>
            </w:r>
            <w:r>
              <w:rPr>
                <w:rFonts w:hint="eastAsia"/>
                <w:color w:val="auto"/>
                <w:highlight w:val="none"/>
                <w:lang w:val="en-US" w:eastAsia="zh-CN"/>
              </w:rPr>
              <w:t>为新建加油站，项目设置</w:t>
            </w:r>
            <w:r>
              <w:rPr>
                <w:rFonts w:hint="eastAsia"/>
                <w:color w:val="auto"/>
                <w:highlight w:val="none"/>
              </w:rPr>
              <w:t>二</w:t>
            </w:r>
            <w:r>
              <w:rPr>
                <w:rFonts w:hint="eastAsia"/>
                <w:color w:val="auto"/>
                <w:highlight w:val="none"/>
                <w:lang w:val="en-US" w:eastAsia="zh-CN"/>
              </w:rPr>
              <w:t>级</w:t>
            </w:r>
            <w:r>
              <w:rPr>
                <w:rFonts w:hint="eastAsia"/>
                <w:color w:val="auto"/>
                <w:highlight w:val="none"/>
              </w:rPr>
              <w:t>油气回收</w:t>
            </w:r>
            <w:r>
              <w:rPr>
                <w:rFonts w:hint="eastAsia"/>
                <w:color w:val="auto"/>
                <w:highlight w:val="none"/>
                <w:lang w:val="en-US" w:eastAsia="zh-CN"/>
              </w:rPr>
              <w:t>系统</w:t>
            </w:r>
            <w:r>
              <w:rPr>
                <w:rFonts w:hint="eastAsia"/>
                <w:color w:val="auto"/>
                <w:highlight w:val="none"/>
              </w:rPr>
              <w:t>，采</w:t>
            </w:r>
            <w:r>
              <w:rPr>
                <w:rFonts w:hint="eastAsia"/>
                <w:color w:val="auto"/>
                <w:highlight w:val="none"/>
                <w:lang w:val="en-US" w:eastAsia="zh-CN"/>
              </w:rPr>
              <w:t>取</w:t>
            </w:r>
            <w:r>
              <w:rPr>
                <w:rFonts w:hint="eastAsia"/>
                <w:color w:val="auto"/>
                <w:highlight w:val="none"/>
              </w:rPr>
              <w:t>自封式加油枪及密闭卸油等方式，</w:t>
            </w:r>
            <w:r>
              <w:rPr>
                <w:rFonts w:hint="eastAsia"/>
                <w:color w:val="auto"/>
                <w:highlight w:val="none"/>
                <w:lang w:val="en-US" w:eastAsia="zh-CN"/>
              </w:rPr>
              <w:t>满足《加油站大气污染物排放标准》（GB20952-2020）要求，故项目建设</w:t>
            </w:r>
            <w:r>
              <w:rPr>
                <w:rFonts w:hint="eastAsia"/>
                <w:color w:val="auto"/>
                <w:highlight w:val="none"/>
              </w:rPr>
              <w:t>与《江西省储油库、加油站和油罐车油气回收综合治理工作方案》相符。</w:t>
            </w:r>
          </w:p>
          <w:p w14:paraId="017F07B4">
            <w:pPr>
              <w:pStyle w:val="54"/>
              <w:keepNext w:val="0"/>
              <w:keepLines w:val="0"/>
              <w:pageBreakBefore w:val="0"/>
              <w:widowControl w:val="0"/>
              <w:numPr>
                <w:ilvl w:val="0"/>
                <w:numId w:val="0"/>
              </w:numPr>
              <w:kinsoku/>
              <w:wordWrap/>
              <w:overflowPunct/>
              <w:topLinePunct w:val="0"/>
              <w:autoSpaceDE/>
              <w:autoSpaceDN/>
              <w:bidi w:val="0"/>
              <w:adjustRightInd/>
              <w:snapToGrid/>
              <w:ind w:left="0" w:leftChars="0" w:firstLine="482" w:firstLineChars="200"/>
              <w:textAlignment w:val="auto"/>
              <w:rPr>
                <w:rFonts w:hint="default" w:eastAsia="宋体"/>
                <w:b/>
                <w:bCs/>
                <w:color w:val="FF0000"/>
                <w:spacing w:val="4"/>
                <w:kern w:val="0"/>
                <w:lang w:val="en-US" w:eastAsia="zh-CN"/>
              </w:rPr>
            </w:pPr>
            <w:r>
              <w:rPr>
                <w:rFonts w:hint="eastAsia"/>
                <w:b/>
                <w:color w:val="auto"/>
                <w:lang w:val="en-US" w:eastAsia="zh-CN"/>
              </w:rPr>
              <w:t>17、项目选址合理性分析</w:t>
            </w:r>
          </w:p>
          <w:p w14:paraId="31D41AF7">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宋体"/>
                <w:color w:val="000000" w:themeColor="text1"/>
                <w:kern w:val="0"/>
                <w:sz w:val="24"/>
                <w:szCs w:val="24"/>
                <w14:textFill>
                  <w14:solidFill>
                    <w14:schemeClr w14:val="tx1"/>
                  </w14:solidFill>
                </w14:textFill>
              </w:rPr>
            </w:pPr>
            <w:r>
              <w:rPr>
                <w:rFonts w:hint="eastAsia" w:ascii="Times New Roman" w:hAnsi="Times New Roman" w:eastAsia="宋体" w:cs="宋体"/>
                <w:color w:val="000000" w:themeColor="text1"/>
                <w:kern w:val="0"/>
                <w:sz w:val="24"/>
                <w:szCs w:val="24"/>
                <w14:textFill>
                  <w14:solidFill>
                    <w14:schemeClr w14:val="tx1"/>
                  </w14:solidFill>
                </w14:textFill>
              </w:rPr>
              <w:t>根据现场勘查，</w:t>
            </w:r>
            <w:r>
              <w:rPr>
                <w:rFonts w:hint="eastAsia" w:ascii="Times New Roman" w:hAnsi="Times New Roman" w:eastAsia="宋体" w:cs="宋体"/>
                <w:color w:val="000000" w:themeColor="text1"/>
                <w:kern w:val="0"/>
                <w:sz w:val="24"/>
                <w:szCs w:val="24"/>
                <w:lang w:val="en-US" w:eastAsia="zh-CN"/>
                <w14:textFill>
                  <w14:solidFill>
                    <w14:schemeClr w14:val="tx1"/>
                  </w14:solidFill>
                </w14:textFill>
              </w:rPr>
              <w:t>本</w:t>
            </w:r>
            <w:r>
              <w:rPr>
                <w:rFonts w:hint="eastAsia" w:ascii="Times New Roman" w:hAnsi="Times New Roman" w:eastAsia="宋体" w:cs="宋体"/>
                <w:color w:val="000000" w:themeColor="text1"/>
                <w:kern w:val="0"/>
                <w:sz w:val="24"/>
                <w:szCs w:val="24"/>
                <w14:textFill>
                  <w14:solidFill>
                    <w14:schemeClr w14:val="tx1"/>
                  </w14:solidFill>
                </w14:textFill>
              </w:rPr>
              <w:t>项目选址</w:t>
            </w:r>
            <w:r>
              <w:rPr>
                <w:rFonts w:hint="eastAsia" w:ascii="Times New Roman" w:hAnsi="Times New Roman" w:eastAsia="宋体" w:cs="宋体"/>
                <w:color w:val="000000" w:themeColor="text1"/>
                <w:kern w:val="0"/>
                <w:sz w:val="24"/>
                <w:szCs w:val="24"/>
                <w:lang w:val="en-US" w:eastAsia="zh-CN"/>
                <w14:textFill>
                  <w14:solidFill>
                    <w14:schemeClr w14:val="tx1"/>
                  </w14:solidFill>
                </w14:textFill>
              </w:rPr>
              <w:t>位于江西省九江市柴桑区通江大道西侧、城门街道南垅新村南侧</w:t>
            </w:r>
            <w:r>
              <w:rPr>
                <w:rFonts w:hint="eastAsia" w:ascii="Times New Roman" w:hAnsi="Times New Roman" w:eastAsia="宋体" w:cs="宋体"/>
                <w:color w:val="000000" w:themeColor="text1"/>
                <w:kern w:val="0"/>
                <w:sz w:val="24"/>
                <w:szCs w:val="24"/>
                <w14:textFill>
                  <w14:solidFill>
                    <w14:schemeClr w14:val="tx1"/>
                  </w14:solidFill>
                </w14:textFill>
              </w:rPr>
              <w:t>，项目</w:t>
            </w:r>
            <w:r>
              <w:rPr>
                <w:rFonts w:hint="eastAsia" w:ascii="Times New Roman" w:hAnsi="Times New Roman" w:eastAsia="宋体" w:cs="宋体"/>
                <w:color w:val="000000" w:themeColor="text1"/>
                <w:kern w:val="0"/>
                <w:sz w:val="24"/>
                <w:szCs w:val="24"/>
                <w:lang w:val="en-US" w:eastAsia="zh-CN"/>
                <w14:textFill>
                  <w14:solidFill>
                    <w14:schemeClr w14:val="tx1"/>
                  </w14:solidFill>
                </w14:textFill>
              </w:rPr>
              <w:t>东侧为通江大道，南侧为</w:t>
            </w:r>
            <w:r>
              <w:rPr>
                <w:rFonts w:hint="eastAsia" w:ascii="Times New Roman" w:hAnsi="Times New Roman" w:eastAsia="宋体" w:cs="宋体"/>
                <w:color w:val="000000" w:themeColor="text1"/>
                <w:kern w:val="0"/>
                <w:sz w:val="24"/>
                <w:szCs w:val="24"/>
                <w:lang w:eastAsia="zh-CN"/>
                <w14:textFill>
                  <w14:solidFill>
                    <w14:schemeClr w14:val="tx1"/>
                  </w14:solidFill>
                </w14:textFill>
              </w:rPr>
              <w:t>钢筋加工厂（废弃），西侧、北侧为红心村居民区</w:t>
            </w:r>
            <w:r>
              <w:rPr>
                <w:rFonts w:ascii="Times New Roman" w:hAnsi="Times New Roman" w:eastAsia="宋体" w:cs="宋体"/>
                <w:color w:val="000000" w:themeColor="text1"/>
                <w:kern w:val="0"/>
                <w:sz w:val="24"/>
                <w:szCs w:val="24"/>
                <w14:textFill>
                  <w14:solidFill>
                    <w14:schemeClr w14:val="tx1"/>
                  </w14:solidFill>
                </w14:textFill>
              </w:rPr>
              <w:t>。</w:t>
            </w:r>
          </w:p>
          <w:p w14:paraId="3C1456ED">
            <w:pPr>
              <w:keepNext w:val="0"/>
              <w:keepLines w:val="0"/>
              <w:pageBreakBefore w:val="0"/>
              <w:widowControl w:val="0"/>
              <w:kinsoku/>
              <w:wordWrap/>
              <w:overflowPunct/>
              <w:topLinePunct w:val="0"/>
              <w:autoSpaceDE/>
              <w:autoSpaceDN/>
              <w:bidi w:val="0"/>
              <w:adjustRightInd/>
              <w:snapToGrid/>
              <w:ind w:firstLine="480"/>
              <w:textAlignment w:val="auto"/>
              <w:rPr>
                <w:color w:val="FF0000"/>
              </w:rPr>
            </w:pPr>
            <w:r>
              <w:rPr>
                <w:rFonts w:hint="eastAsia" w:ascii="宋体" w:hAnsi="宋体" w:eastAsia="宋体" w:cs="宋体"/>
                <w:color w:val="000000" w:themeColor="text1"/>
                <w:kern w:val="0"/>
                <w:sz w:val="24"/>
                <w:szCs w:val="24"/>
                <w14:textFill>
                  <w14:solidFill>
                    <w14:schemeClr w14:val="tx1"/>
                  </w14:solidFill>
                </w14:textFill>
              </w:rPr>
              <w:t>本项目建设符合国家产业政策，符合“三线一单”要求</w:t>
            </w:r>
            <w:r>
              <w:rPr>
                <w:rFonts w:hint="eastAsia" w:ascii="Times New Roman" w:hAnsi="Times New Roman" w:eastAsia="宋体" w:cs="宋体"/>
                <w:color w:val="000000" w:themeColor="text1"/>
                <w:kern w:val="0"/>
                <w:sz w:val="24"/>
                <w:szCs w:val="24"/>
                <w14:textFill>
                  <w14:solidFill>
                    <w14:schemeClr w14:val="tx1"/>
                  </w14:solidFill>
                </w14:textFill>
              </w:rPr>
              <w:t>，加油站</w:t>
            </w:r>
            <w:r>
              <w:rPr>
                <w:rFonts w:hint="eastAsia" w:ascii="Times New Roman" w:hAnsi="Times New Roman" w:eastAsia="宋体" w:cs="宋体"/>
                <w:color w:val="000000" w:themeColor="text1"/>
                <w:kern w:val="0"/>
                <w:sz w:val="24"/>
                <w:szCs w:val="24"/>
                <w:lang w:val="en-US" w:eastAsia="zh-CN"/>
                <w14:textFill>
                  <w14:solidFill>
                    <w14:schemeClr w14:val="tx1"/>
                  </w14:solidFill>
                </w14:textFill>
              </w:rPr>
              <w:t>储</w:t>
            </w:r>
            <w:r>
              <w:rPr>
                <w:rFonts w:hint="eastAsia" w:ascii="Times New Roman" w:hAnsi="Times New Roman" w:eastAsia="宋体" w:cs="宋体"/>
                <w:color w:val="000000" w:themeColor="text1"/>
                <w:kern w:val="0"/>
                <w:sz w:val="24"/>
                <w:szCs w:val="24"/>
                <w14:textFill>
                  <w14:solidFill>
                    <w14:schemeClr w14:val="tx1"/>
                  </w14:solidFill>
                </w14:textFill>
              </w:rPr>
              <w:t>油罐、加油机和通气管管口与站外、站内建、构筑物的防火距离均满足防火间距要求，符合</w:t>
            </w:r>
            <w:r>
              <w:rPr>
                <w:rFonts w:ascii="Times New Roman" w:hAnsi="Times New Roman" w:eastAsia="宋体" w:cs="宋体"/>
                <w:color w:val="000000" w:themeColor="text1"/>
                <w:kern w:val="0"/>
                <w:sz w:val="24"/>
                <w:szCs w:val="24"/>
                <w14:textFill>
                  <w14:solidFill>
                    <w14:schemeClr w14:val="tx1"/>
                  </w14:solidFill>
                </w14:textFill>
              </w:rPr>
              <w:t>《</w:t>
            </w:r>
            <w:r>
              <w:rPr>
                <w:rFonts w:hint="eastAsia" w:ascii="Times New Roman" w:hAnsi="Times New Roman" w:eastAsia="宋体" w:cs="宋体"/>
                <w:color w:val="000000" w:themeColor="text1"/>
                <w:kern w:val="0"/>
                <w:sz w:val="24"/>
                <w:szCs w:val="24"/>
                <w14:textFill>
                  <w14:solidFill>
                    <w14:schemeClr w14:val="tx1"/>
                  </w14:solidFill>
                </w14:textFill>
              </w:rPr>
              <w:t>汽车加油加气加氢站技术标准</w:t>
            </w:r>
            <w:r>
              <w:rPr>
                <w:rFonts w:ascii="Times New Roman" w:hAnsi="Times New Roman" w:eastAsia="宋体" w:cs="宋体"/>
                <w:color w:val="000000" w:themeColor="text1"/>
                <w:kern w:val="0"/>
                <w:sz w:val="24"/>
                <w:szCs w:val="24"/>
                <w14:textFill>
                  <w14:solidFill>
                    <w14:schemeClr w14:val="tx1"/>
                  </w14:solidFill>
                </w14:textFill>
              </w:rPr>
              <w:t>》</w:t>
            </w:r>
            <w:r>
              <w:rPr>
                <w:rFonts w:hint="eastAsia" w:cs="宋体"/>
                <w:color w:val="000000" w:themeColor="text1"/>
                <w:kern w:val="0"/>
                <w:sz w:val="24"/>
                <w:szCs w:val="24"/>
                <w:lang w:eastAsia="zh-CN"/>
                <w14:textFill>
                  <w14:solidFill>
                    <w14:schemeClr w14:val="tx1"/>
                  </w14:solidFill>
                </w14:textFill>
              </w:rPr>
              <w:t>（GB50156-2021）</w:t>
            </w:r>
            <w:r>
              <w:rPr>
                <w:rFonts w:hint="eastAsia" w:ascii="Times New Roman" w:hAnsi="Times New Roman" w:eastAsia="宋体" w:cs="宋体"/>
                <w:color w:val="000000" w:themeColor="text1"/>
                <w:kern w:val="0"/>
                <w:sz w:val="24"/>
                <w:szCs w:val="24"/>
                <w14:textFill>
                  <w14:solidFill>
                    <w14:schemeClr w14:val="tx1"/>
                  </w14:solidFill>
                </w14:textFill>
              </w:rPr>
              <w:t>要求。</w:t>
            </w:r>
            <w:r>
              <w:rPr>
                <w:rFonts w:hint="eastAsia" w:ascii="Times New Roman" w:hAnsi="Times New Roman" w:eastAsia="宋体" w:cs="宋体"/>
                <w:color w:val="1F497D" w:themeColor="text2"/>
                <w:kern w:val="0"/>
                <w:sz w:val="24"/>
                <w:szCs w:val="24"/>
                <w14:textFill>
                  <w14:solidFill>
                    <w14:schemeClr w14:val="tx2"/>
                  </w14:solidFill>
                </w14:textFill>
              </w:rPr>
              <w:t>充电区和配电室的建</w:t>
            </w:r>
            <w:r>
              <w:rPr>
                <w:rFonts w:hint="eastAsia" w:cs="宋体"/>
                <w:color w:val="1F497D" w:themeColor="text2"/>
                <w:kern w:val="0"/>
                <w:sz w:val="24"/>
                <w:szCs w:val="24"/>
                <w:lang w:eastAsia="zh-CN"/>
                <w14:textFill>
                  <w14:solidFill>
                    <w14:schemeClr w14:val="tx2"/>
                  </w14:solidFill>
                </w14:textFill>
              </w:rPr>
              <w:t>（</w:t>
            </w:r>
            <w:r>
              <w:rPr>
                <w:rFonts w:hint="eastAsia" w:ascii="Times New Roman" w:hAnsi="Times New Roman" w:eastAsia="宋体" w:cs="宋体"/>
                <w:color w:val="1F497D" w:themeColor="text2"/>
                <w:kern w:val="0"/>
                <w:sz w:val="24"/>
                <w:szCs w:val="24"/>
                <w14:textFill>
                  <w14:solidFill>
                    <w14:schemeClr w14:val="tx2"/>
                  </w14:solidFill>
                </w14:textFill>
              </w:rPr>
              <w:t>构</w:t>
            </w:r>
            <w:r>
              <w:rPr>
                <w:rFonts w:hint="eastAsia" w:cs="宋体"/>
                <w:color w:val="1F497D" w:themeColor="text2"/>
                <w:kern w:val="0"/>
                <w:sz w:val="24"/>
                <w:szCs w:val="24"/>
                <w:lang w:eastAsia="zh-CN"/>
                <w14:textFill>
                  <w14:solidFill>
                    <w14:schemeClr w14:val="tx2"/>
                  </w14:solidFill>
                </w14:textFill>
              </w:rPr>
              <w:t>）</w:t>
            </w:r>
            <w:r>
              <w:rPr>
                <w:rFonts w:hint="eastAsia" w:ascii="Times New Roman" w:hAnsi="Times New Roman" w:eastAsia="宋体" w:cs="宋体"/>
                <w:color w:val="1F497D" w:themeColor="text2"/>
                <w:kern w:val="0"/>
                <w:sz w:val="24"/>
                <w:szCs w:val="24"/>
                <w14:textFill>
                  <w14:solidFill>
                    <w14:schemeClr w14:val="tx2"/>
                  </w14:solidFill>
                </w14:textFill>
              </w:rPr>
              <w:t>筑物与站内外建筑之间的防火间距符合《建筑设计防火规范》</w:t>
            </w:r>
            <w:r>
              <w:rPr>
                <w:rFonts w:hint="eastAsia" w:cs="宋体"/>
                <w:color w:val="1F497D" w:themeColor="text2"/>
                <w:kern w:val="0"/>
                <w:sz w:val="24"/>
                <w:szCs w:val="24"/>
                <w:lang w:eastAsia="zh-CN"/>
                <w14:textFill>
                  <w14:solidFill>
                    <w14:schemeClr w14:val="tx2"/>
                  </w14:solidFill>
                </w14:textFill>
              </w:rPr>
              <w:t>（</w:t>
            </w:r>
            <w:r>
              <w:rPr>
                <w:rFonts w:hint="eastAsia" w:ascii="Times New Roman" w:hAnsi="Times New Roman" w:eastAsia="宋体" w:cs="宋体"/>
                <w:color w:val="1F497D" w:themeColor="text2"/>
                <w:kern w:val="0"/>
                <w:sz w:val="24"/>
                <w:szCs w:val="24"/>
                <w14:textFill>
                  <w14:solidFill>
                    <w14:schemeClr w14:val="tx2"/>
                  </w14:solidFill>
                </w14:textFill>
              </w:rPr>
              <w:t>GB50016</w:t>
            </w:r>
            <w:r>
              <w:rPr>
                <w:rFonts w:hint="eastAsia" w:cs="宋体"/>
                <w:color w:val="1F497D" w:themeColor="text2"/>
                <w:kern w:val="0"/>
                <w:sz w:val="24"/>
                <w:szCs w:val="24"/>
                <w:lang w:eastAsia="zh-CN"/>
                <w14:textFill>
                  <w14:solidFill>
                    <w14:schemeClr w14:val="tx2"/>
                  </w14:solidFill>
                </w14:textFill>
              </w:rPr>
              <w:t>）</w:t>
            </w:r>
            <w:r>
              <w:rPr>
                <w:rFonts w:hint="eastAsia" w:ascii="Times New Roman" w:hAnsi="Times New Roman" w:eastAsia="宋体" w:cs="宋体"/>
                <w:color w:val="1F497D" w:themeColor="text2"/>
                <w:kern w:val="0"/>
                <w:sz w:val="24"/>
                <w:szCs w:val="24"/>
                <w14:textFill>
                  <w14:solidFill>
                    <w14:schemeClr w14:val="tx2"/>
                  </w14:solidFill>
                </w14:textFill>
              </w:rPr>
              <w:t>和《高层民用建筑设计防火规范》</w:t>
            </w:r>
            <w:r>
              <w:rPr>
                <w:rFonts w:hint="eastAsia" w:cs="宋体"/>
                <w:color w:val="1F497D" w:themeColor="text2"/>
                <w:kern w:val="0"/>
                <w:sz w:val="24"/>
                <w:szCs w:val="24"/>
                <w:lang w:eastAsia="zh-CN"/>
                <w14:textFill>
                  <w14:solidFill>
                    <w14:schemeClr w14:val="tx2"/>
                  </w14:solidFill>
                </w14:textFill>
              </w:rPr>
              <w:t>（</w:t>
            </w:r>
            <w:r>
              <w:rPr>
                <w:rFonts w:hint="eastAsia" w:ascii="Times New Roman" w:hAnsi="Times New Roman" w:eastAsia="宋体" w:cs="宋体"/>
                <w:color w:val="1F497D" w:themeColor="text2"/>
                <w:kern w:val="0"/>
                <w:sz w:val="24"/>
                <w:szCs w:val="24"/>
                <w14:textFill>
                  <w14:solidFill>
                    <w14:schemeClr w14:val="tx2"/>
                  </w14:solidFill>
                </w14:textFill>
              </w:rPr>
              <w:t>GB50045</w:t>
            </w:r>
            <w:r>
              <w:rPr>
                <w:rFonts w:hint="eastAsia" w:cs="宋体"/>
                <w:color w:val="1F497D" w:themeColor="text2"/>
                <w:kern w:val="0"/>
                <w:sz w:val="24"/>
                <w:szCs w:val="24"/>
                <w:lang w:eastAsia="zh-CN"/>
                <w14:textFill>
                  <w14:solidFill>
                    <w14:schemeClr w14:val="tx2"/>
                  </w14:solidFill>
                </w14:textFill>
              </w:rPr>
              <w:t>）</w:t>
            </w:r>
            <w:r>
              <w:rPr>
                <w:rFonts w:hint="eastAsia" w:ascii="Times New Roman" w:hAnsi="Times New Roman" w:eastAsia="宋体" w:cs="宋体"/>
                <w:color w:val="1F497D" w:themeColor="text2"/>
                <w:kern w:val="0"/>
                <w:sz w:val="24"/>
                <w:szCs w:val="24"/>
                <w14:textFill>
                  <w14:solidFill>
                    <w14:schemeClr w14:val="tx2"/>
                  </w14:solidFill>
                </w14:textFill>
              </w:rPr>
              <w:t>的有关规定</w:t>
            </w:r>
            <w:r>
              <w:rPr>
                <w:rFonts w:hint="eastAsia" w:cs="宋体"/>
                <w:color w:val="1F497D" w:themeColor="text2"/>
                <w:kern w:val="0"/>
                <w:sz w:val="24"/>
                <w:szCs w:val="24"/>
                <w:lang w:eastAsia="zh-CN"/>
                <w14:textFill>
                  <w14:solidFill>
                    <w14:schemeClr w14:val="tx2"/>
                  </w14:solidFill>
                </w14:textFill>
              </w:rPr>
              <w:t>，</w:t>
            </w:r>
            <w:r>
              <w:rPr>
                <w:rFonts w:hint="eastAsia" w:cs="宋体"/>
                <w:color w:val="1F497D" w:themeColor="text2"/>
                <w:kern w:val="0"/>
                <w:sz w:val="24"/>
                <w:szCs w:val="24"/>
                <w:lang w:val="en-US" w:eastAsia="zh-CN"/>
                <w14:textFill>
                  <w14:solidFill>
                    <w14:schemeClr w14:val="tx2"/>
                  </w14:solidFill>
                </w14:textFill>
              </w:rPr>
              <w:t>符合《电动汽车充电站设计规范》（GB50966-2014）中站址选择要求</w:t>
            </w:r>
            <w:r>
              <w:rPr>
                <w:rFonts w:hint="eastAsia" w:cs="宋体"/>
                <w:color w:val="1F497D" w:themeColor="text2"/>
                <w:kern w:val="0"/>
                <w:sz w:val="24"/>
                <w:szCs w:val="24"/>
                <w:lang w:eastAsia="zh-CN"/>
                <w14:textFill>
                  <w14:solidFill>
                    <w14:schemeClr w14:val="tx2"/>
                  </w14:solidFill>
                </w14:textFill>
              </w:rPr>
              <w:t>。</w:t>
            </w:r>
            <w:r>
              <w:rPr>
                <w:rFonts w:hint="eastAsia" w:cs="宋体"/>
                <w:color w:val="FF0000"/>
                <w:kern w:val="0"/>
                <w:sz w:val="24"/>
                <w:szCs w:val="24"/>
                <w:lang w:val="en-US" w:eastAsia="zh-CN"/>
              </w:rPr>
              <w:t>根据《江西省商务厅关于同意调整九江市城门加油站规划布点地址的批复》（详见附件7），同意在《江西省成品油零售体系“十四五”发展规划》中对规划编号为GG-013的“城门加油站”规划布点地址由“九江市柴桑区城门街道通江大道西侧陈家凹，武九客运专线铁路桥往北方向”调整为“通江街道西侧柴桑区城门街道红心村南垅新村旁”。</w:t>
            </w:r>
            <w:r>
              <w:rPr>
                <w:rFonts w:hint="eastAsia" w:ascii="Times New Roman" w:hAnsi="Times New Roman" w:eastAsia="宋体" w:cs="宋体"/>
                <w:color w:val="000000" w:themeColor="text1"/>
                <w:kern w:val="0"/>
                <w:sz w:val="24"/>
                <w:szCs w:val="24"/>
                <w14:textFill>
                  <w14:solidFill>
                    <w14:schemeClr w14:val="tx1"/>
                  </w14:solidFill>
                </w14:textFill>
              </w:rPr>
              <w:t>项目占地</w:t>
            </w:r>
            <w:r>
              <w:rPr>
                <w:rFonts w:ascii="Times New Roman" w:hAnsi="Times New Roman" w:eastAsia="宋体" w:cs="宋体"/>
                <w:color w:val="000000" w:themeColor="text1"/>
                <w:kern w:val="0"/>
                <w:sz w:val="24"/>
                <w:szCs w:val="24"/>
                <w14:textFill>
                  <w14:solidFill>
                    <w14:schemeClr w14:val="tx1"/>
                  </w14:solidFill>
                </w14:textFill>
              </w:rPr>
              <w:t>不涉及自然保护区、</w:t>
            </w:r>
            <w:r>
              <w:rPr>
                <w:rFonts w:hint="eastAsia" w:ascii="Times New Roman" w:hAnsi="Times New Roman" w:eastAsia="宋体" w:cs="宋体"/>
                <w:color w:val="000000" w:themeColor="text1"/>
                <w:kern w:val="0"/>
                <w:sz w:val="24"/>
                <w:szCs w:val="24"/>
                <w14:textFill>
                  <w14:solidFill>
                    <w14:schemeClr w14:val="tx1"/>
                  </w14:solidFill>
                </w14:textFill>
              </w:rPr>
              <w:t>风景</w:t>
            </w:r>
            <w:r>
              <w:rPr>
                <w:rFonts w:ascii="Times New Roman" w:hAnsi="Times New Roman" w:eastAsia="宋体" w:cs="宋体"/>
                <w:color w:val="000000" w:themeColor="text1"/>
                <w:kern w:val="0"/>
                <w:sz w:val="24"/>
                <w:szCs w:val="24"/>
                <w14:textFill>
                  <w14:solidFill>
                    <w14:schemeClr w14:val="tx1"/>
                  </w14:solidFill>
                </w14:textFill>
              </w:rPr>
              <w:t>名胜区、</w:t>
            </w:r>
            <w:r>
              <w:rPr>
                <w:rFonts w:hint="eastAsia" w:ascii="Times New Roman" w:hAnsi="Times New Roman" w:eastAsia="宋体" w:cs="宋体"/>
                <w:color w:val="000000" w:themeColor="text1"/>
                <w:kern w:val="0"/>
                <w:sz w:val="24"/>
                <w:szCs w:val="24"/>
                <w14:textFill>
                  <w14:solidFill>
                    <w14:schemeClr w14:val="tx1"/>
                  </w14:solidFill>
                </w14:textFill>
              </w:rPr>
              <w:t>饮用</w:t>
            </w:r>
            <w:r>
              <w:rPr>
                <w:rFonts w:ascii="Times New Roman" w:hAnsi="Times New Roman" w:eastAsia="宋体" w:cs="宋体"/>
                <w:color w:val="000000" w:themeColor="text1"/>
                <w:kern w:val="0"/>
                <w:sz w:val="24"/>
                <w:szCs w:val="24"/>
                <w14:textFill>
                  <w14:solidFill>
                    <w14:schemeClr w14:val="tx1"/>
                  </w14:solidFill>
                </w14:textFill>
              </w:rPr>
              <w:t>水源保护区、森林公园、世界自然遗产以及</w:t>
            </w:r>
            <w:r>
              <w:rPr>
                <w:rFonts w:hint="eastAsia" w:ascii="Times New Roman" w:hAnsi="Times New Roman" w:eastAsia="宋体" w:cs="宋体"/>
                <w:color w:val="000000" w:themeColor="text1"/>
                <w:kern w:val="0"/>
                <w:sz w:val="24"/>
                <w:szCs w:val="24"/>
                <w14:textFill>
                  <w14:solidFill>
                    <w14:schemeClr w14:val="tx1"/>
                  </w14:solidFill>
                </w14:textFill>
              </w:rPr>
              <w:t>文物</w:t>
            </w:r>
            <w:r>
              <w:rPr>
                <w:rFonts w:ascii="Times New Roman" w:hAnsi="Times New Roman" w:eastAsia="宋体" w:cs="宋体"/>
                <w:color w:val="000000" w:themeColor="text1"/>
                <w:kern w:val="0"/>
                <w:sz w:val="24"/>
                <w:szCs w:val="24"/>
                <w14:textFill>
                  <w14:solidFill>
                    <w14:schemeClr w14:val="tx1"/>
                  </w14:solidFill>
                </w14:textFill>
              </w:rPr>
              <w:t>保护单位等环境敏感区域，在选址上无重大环境制约因素。项目运营期产生的废气、废水、噪声和固废在采取防治措施后，对周边环境影响较小，与周边环境兼容</w:t>
            </w:r>
            <w:r>
              <w:rPr>
                <w:rFonts w:hint="eastAsia" w:ascii="Times New Roman" w:hAnsi="Times New Roman" w:eastAsia="宋体" w:cs="宋体"/>
                <w:color w:val="000000" w:themeColor="text1"/>
                <w:kern w:val="0"/>
                <w:sz w:val="24"/>
                <w:szCs w:val="24"/>
                <w14:textFill>
                  <w14:solidFill>
                    <w14:schemeClr w14:val="tx1"/>
                  </w14:solidFill>
                </w14:textFill>
              </w:rPr>
              <w:t>。</w:t>
            </w:r>
            <w:r>
              <w:rPr>
                <w:rFonts w:ascii="Times New Roman" w:hAnsi="Times New Roman" w:eastAsia="宋体"/>
                <w:color w:val="FF0000"/>
                <w:sz w:val="24"/>
              </w:rPr>
              <w:t>项目</w:t>
            </w:r>
            <w:r>
              <w:rPr>
                <w:rFonts w:hint="eastAsia" w:ascii="Times New Roman" w:hAnsi="Times New Roman" w:eastAsia="宋体"/>
                <w:color w:val="FF0000"/>
                <w:sz w:val="24"/>
              </w:rPr>
              <w:t>卫生防护距离</w:t>
            </w:r>
            <w:r>
              <w:rPr>
                <w:rFonts w:hint="default" w:ascii="Times New Roman" w:hAnsi="Times New Roman" w:eastAsia="Times New Roman" w:cs="Times New Roman"/>
                <w:color w:val="FF0000"/>
                <w:sz w:val="24"/>
                <w:lang w:val="en-US"/>
              </w:rPr>
              <w:t>范围内没有居民住宅、学校、医院等敏感保护目标</w:t>
            </w:r>
            <w:r>
              <w:rPr>
                <w:rFonts w:hint="eastAsia" w:ascii="Times New Roman" w:hAnsi="Times New Roman" w:eastAsia="宋体" w:cs="Times New Roman"/>
                <w:color w:val="FF0000"/>
                <w:sz w:val="24"/>
                <w:lang w:val="en-US" w:eastAsia="zh-CN"/>
              </w:rPr>
              <w:t>，</w:t>
            </w:r>
            <w:r>
              <w:rPr>
                <w:rFonts w:ascii="Times New Roman" w:hAnsi="Times New Roman" w:eastAsia="宋体" w:cs="宋体"/>
                <w:color w:val="000000" w:themeColor="text1"/>
                <w:kern w:val="0"/>
                <w:sz w:val="24"/>
                <w:szCs w:val="24"/>
                <w14:textFill>
                  <w14:solidFill>
                    <w14:schemeClr w14:val="tx1"/>
                  </w14:solidFill>
                </w14:textFill>
              </w:rPr>
              <w:t>因此</w:t>
            </w:r>
            <w:r>
              <w:rPr>
                <w:rFonts w:hint="eastAsia" w:ascii="Times New Roman" w:hAnsi="Times New Roman" w:eastAsia="宋体" w:cs="宋体"/>
                <w:color w:val="000000" w:themeColor="text1"/>
                <w:kern w:val="0"/>
                <w:sz w:val="24"/>
                <w:szCs w:val="24"/>
                <w14:textFill>
                  <w14:solidFill>
                    <w14:schemeClr w14:val="tx1"/>
                  </w14:solidFill>
                </w14:textFill>
              </w:rPr>
              <w:t>，</w:t>
            </w:r>
            <w:r>
              <w:rPr>
                <w:rFonts w:hint="eastAsia" w:ascii="Times New Roman" w:hAnsi="Times New Roman" w:eastAsia="宋体" w:cs="宋体"/>
                <w:color w:val="000000" w:themeColor="text1"/>
                <w:kern w:val="0"/>
                <w:sz w:val="24"/>
                <w:szCs w:val="24"/>
                <w:lang w:val="en-US" w:eastAsia="zh-CN"/>
                <w14:textFill>
                  <w14:solidFill>
                    <w14:schemeClr w14:val="tx1"/>
                  </w14:solidFill>
                </w14:textFill>
              </w:rPr>
              <w:t>本</w:t>
            </w:r>
            <w:r>
              <w:rPr>
                <w:rFonts w:ascii="Times New Roman" w:hAnsi="Times New Roman" w:eastAsia="宋体" w:cs="宋体"/>
                <w:color w:val="000000" w:themeColor="text1"/>
                <w:kern w:val="0"/>
                <w:sz w:val="24"/>
                <w:szCs w:val="24"/>
                <w14:textFill>
                  <w14:solidFill>
                    <w14:schemeClr w14:val="tx1"/>
                  </w14:solidFill>
                </w14:textFill>
              </w:rPr>
              <w:t>项目选址合理。</w:t>
            </w:r>
          </w:p>
          <w:p w14:paraId="017659BB">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s="宋体"/>
                <w:color w:val="000000" w:themeColor="text1"/>
                <w:kern w:val="0"/>
                <w:sz w:val="24"/>
                <w:szCs w:val="24"/>
                <w:lang w:val="en-US" w:eastAsia="zh-CN"/>
                <w14:textFill>
                  <w14:solidFill>
                    <w14:schemeClr w14:val="tx1"/>
                  </w14:solidFill>
                </w14:textFill>
              </w:rPr>
            </w:pPr>
          </w:p>
          <w:p w14:paraId="05299B5F">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s="宋体"/>
                <w:color w:val="000000" w:themeColor="text1"/>
                <w:kern w:val="0"/>
                <w:sz w:val="24"/>
                <w:szCs w:val="24"/>
                <w:lang w:val="en-US" w:eastAsia="zh-CN"/>
                <w14:textFill>
                  <w14:solidFill>
                    <w14:schemeClr w14:val="tx1"/>
                  </w14:solidFill>
                </w14:textFill>
              </w:rPr>
            </w:pPr>
          </w:p>
          <w:p w14:paraId="13268EFE">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s="宋体"/>
                <w:color w:val="000000" w:themeColor="text1"/>
                <w:kern w:val="0"/>
                <w:sz w:val="24"/>
                <w:szCs w:val="24"/>
                <w:lang w:val="en-US" w:eastAsia="zh-CN"/>
                <w14:textFill>
                  <w14:solidFill>
                    <w14:schemeClr w14:val="tx1"/>
                  </w14:solidFill>
                </w14:textFill>
              </w:rPr>
            </w:pPr>
          </w:p>
          <w:p w14:paraId="219D16C0">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s="宋体"/>
                <w:color w:val="000000" w:themeColor="text1"/>
                <w:kern w:val="0"/>
                <w:sz w:val="24"/>
                <w:szCs w:val="24"/>
                <w:lang w:val="en-US" w:eastAsia="zh-CN"/>
                <w14:textFill>
                  <w14:solidFill>
                    <w14:schemeClr w14:val="tx1"/>
                  </w14:solidFill>
                </w14:textFill>
              </w:rPr>
            </w:pPr>
          </w:p>
          <w:p w14:paraId="67C50BB8">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s="宋体"/>
                <w:color w:val="000000" w:themeColor="text1"/>
                <w:kern w:val="0"/>
                <w:sz w:val="24"/>
                <w:szCs w:val="24"/>
                <w:lang w:val="en-US" w:eastAsia="zh-CN"/>
                <w14:textFill>
                  <w14:solidFill>
                    <w14:schemeClr w14:val="tx1"/>
                  </w14:solidFill>
                </w14:textFill>
              </w:rPr>
            </w:pPr>
          </w:p>
          <w:p w14:paraId="0D35C308">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s="宋体"/>
                <w:color w:val="000000" w:themeColor="text1"/>
                <w:kern w:val="0"/>
                <w:sz w:val="24"/>
                <w:szCs w:val="24"/>
                <w:lang w:val="en-US" w:eastAsia="zh-CN"/>
                <w14:textFill>
                  <w14:solidFill>
                    <w14:schemeClr w14:val="tx1"/>
                  </w14:solidFill>
                </w14:textFill>
              </w:rPr>
            </w:pPr>
          </w:p>
          <w:p w14:paraId="356C0846">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s="宋体"/>
                <w:color w:val="000000" w:themeColor="text1"/>
                <w:kern w:val="0"/>
                <w:sz w:val="24"/>
                <w:szCs w:val="24"/>
                <w:lang w:val="en-US" w:eastAsia="zh-CN"/>
                <w14:textFill>
                  <w14:solidFill>
                    <w14:schemeClr w14:val="tx1"/>
                  </w14:solidFill>
                </w14:textFill>
              </w:rPr>
            </w:pPr>
          </w:p>
          <w:p w14:paraId="0C77299F">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p>
        </w:tc>
      </w:tr>
    </w:tbl>
    <w:p w14:paraId="50C132FF">
      <w:pPr>
        <w:widowControl/>
        <w:spacing w:line="240" w:lineRule="auto"/>
        <w:ind w:firstLine="0" w:firstLineChars="0"/>
        <w:jc w:val="left"/>
        <w:rPr>
          <w:rFonts w:ascii="黑体" w:hAnsi="黑体" w:eastAsia="黑体"/>
          <w:snapToGrid w:val="0"/>
          <w:color w:val="000000" w:themeColor="text1"/>
          <w:kern w:val="0"/>
          <w:sz w:val="30"/>
          <w:szCs w:val="30"/>
          <w14:textFill>
            <w14:solidFill>
              <w14:schemeClr w14:val="tx1"/>
            </w14:solidFill>
          </w14:textFill>
        </w:rPr>
      </w:pPr>
      <w:r>
        <w:rPr>
          <w:rFonts w:ascii="黑体" w:hAnsi="黑体" w:eastAsia="黑体"/>
          <w:snapToGrid w:val="0"/>
          <w:color w:val="000000" w:themeColor="text1"/>
          <w:sz w:val="30"/>
          <w:szCs w:val="30"/>
          <w14:textFill>
            <w14:solidFill>
              <w14:schemeClr w14:val="tx1"/>
            </w14:solidFill>
          </w14:textFill>
        </w:rPr>
        <w:br w:type="page"/>
      </w:r>
    </w:p>
    <w:p w14:paraId="16C1FD71">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outlineLvl w:val="0"/>
        <w:rPr>
          <w:rFonts w:ascii="黑体" w:hAnsi="黑体" w:eastAsia="黑体"/>
          <w:snapToGrid w:val="0"/>
          <w:color w:val="000000" w:themeColor="text1"/>
          <w:sz w:val="30"/>
          <w:szCs w:val="30"/>
          <w14:textFill>
            <w14:solidFill>
              <w14:schemeClr w14:val="tx1"/>
            </w14:solidFill>
          </w14:textFill>
        </w:rPr>
      </w:pPr>
      <w:bookmarkStart w:id="3" w:name="_Toc5090"/>
      <w:r>
        <w:rPr>
          <w:rFonts w:hint="eastAsia" w:ascii="黑体" w:hAnsi="黑体" w:eastAsia="黑体"/>
          <w:snapToGrid w:val="0"/>
          <w:color w:val="000000" w:themeColor="text1"/>
          <w:sz w:val="30"/>
          <w:szCs w:val="30"/>
          <w14:textFill>
            <w14:solidFill>
              <w14:schemeClr w14:val="tx1"/>
            </w14:solidFill>
          </w14:textFill>
        </w:rPr>
        <w:t>二、建设项目工程分析</w:t>
      </w:r>
      <w:bookmarkEnd w:id="3"/>
    </w:p>
    <w:tbl>
      <w:tblPr>
        <w:tblStyle w:val="35"/>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8"/>
        <w:gridCol w:w="9504"/>
      </w:tblGrid>
      <w:tr w14:paraId="485929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54" w:type="dxa"/>
            <w:vAlign w:val="center"/>
          </w:tcPr>
          <w:p w14:paraId="4B878938">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pPr>
            <w:r>
              <w:rPr>
                <w:rFonts w:hint="eastAsia"/>
              </w:rPr>
              <w:t>建设内容</w:t>
            </w:r>
          </w:p>
        </w:tc>
        <w:tc>
          <w:tcPr>
            <w:tcW w:w="9412" w:type="dxa"/>
            <w:vAlign w:val="center"/>
          </w:tcPr>
          <w:p w14:paraId="58D3B8B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highlight w:val="none"/>
                <w:lang w:val="en-US" w:eastAsia="zh-CN"/>
              </w:rPr>
            </w:pPr>
            <w:r>
              <w:rPr>
                <w:rFonts w:hint="eastAsia"/>
                <w:b/>
                <w:highlight w:val="none"/>
                <w:lang w:val="en-US" w:eastAsia="zh-CN"/>
              </w:rPr>
              <w:t>1、项目由来</w:t>
            </w:r>
          </w:p>
          <w:p w14:paraId="6C1C41C8">
            <w:pPr>
              <w:spacing w:line="360" w:lineRule="auto"/>
              <w:ind w:firstLine="480" w:firstLineChars="200"/>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九江江汇能源有限公司成立于2025年03月18日，法定代表人为李锋</w:t>
            </w:r>
            <w:r>
              <w:rPr>
                <w:rFonts w:hint="eastAsia" w:cs="Times New Roman"/>
                <w:b w:val="0"/>
                <w:bCs w:val="0"/>
                <w:color w:val="auto"/>
                <w:sz w:val="24"/>
                <w:highlight w:val="none"/>
                <w:lang w:val="en-US" w:eastAsia="zh-CN"/>
              </w:rPr>
              <w:t>，，统一社会信用代码91360421MAEDUC0L2G，企业性质为国有企业</w:t>
            </w:r>
            <w:r>
              <w:rPr>
                <w:rFonts w:hint="eastAsia" w:ascii="Times New Roman" w:hAnsi="Times New Roman" w:eastAsia="宋体" w:cs="Times New Roman"/>
                <w:b w:val="0"/>
                <w:bCs w:val="0"/>
                <w:color w:val="auto"/>
                <w:sz w:val="24"/>
                <w:highlight w:val="none"/>
                <w:lang w:val="en-US" w:eastAsia="zh-CN"/>
              </w:rPr>
              <w:t>，注册</w:t>
            </w:r>
            <w:r>
              <w:rPr>
                <w:rFonts w:hint="eastAsia" w:cs="Times New Roman"/>
                <w:b w:val="0"/>
                <w:bCs w:val="0"/>
                <w:color w:val="auto"/>
                <w:sz w:val="24"/>
                <w:highlight w:val="none"/>
                <w:lang w:val="en-US" w:eastAsia="zh-CN"/>
              </w:rPr>
              <w:t>地址</w:t>
            </w:r>
            <w:r>
              <w:rPr>
                <w:rFonts w:hint="eastAsia" w:ascii="Times New Roman" w:hAnsi="Times New Roman" w:eastAsia="宋体" w:cs="Times New Roman"/>
                <w:b w:val="0"/>
                <w:bCs w:val="0"/>
                <w:color w:val="auto"/>
                <w:sz w:val="24"/>
                <w:highlight w:val="none"/>
                <w:lang w:val="en-US" w:eastAsia="zh-CN"/>
              </w:rPr>
              <w:t>位于江西省九江市柴桑区柳林路235号-3181。九江江汇能源有限公司由九江市柴桑区交通投资有限责任公司100%全资持股；而九江市柴桑区交通投资有限责任公司则是由</w:t>
            </w:r>
            <w:r>
              <w:rPr>
                <w:rFonts w:hint="eastAsia" w:ascii="Times New Roman" w:hAnsi="Times New Roman" w:eastAsia="宋体" w:cs="Times New Roman"/>
                <w:b w:val="0"/>
                <w:bCs w:val="0"/>
                <w:color w:val="auto"/>
                <w:sz w:val="24"/>
                <w:highlight w:val="none"/>
                <w:lang w:val="en-US" w:eastAsia="zh-CN"/>
              </w:rPr>
              <w:fldChar w:fldCharType="begin"/>
            </w:r>
            <w:r>
              <w:rPr>
                <w:rFonts w:hint="eastAsia" w:ascii="Times New Roman" w:hAnsi="Times New Roman" w:eastAsia="宋体" w:cs="Times New Roman"/>
                <w:b w:val="0"/>
                <w:bCs w:val="0"/>
                <w:color w:val="auto"/>
                <w:sz w:val="24"/>
                <w:highlight w:val="none"/>
                <w:lang w:val="en-US" w:eastAsia="zh-CN"/>
              </w:rPr>
              <w:instrText xml:space="preserve"> HYPERLINK "https://aiqicha.baidu.com/company_detail_91526018829379" \t "https://aiqicha.baidu.com/detail/_blank" </w:instrText>
            </w:r>
            <w:r>
              <w:rPr>
                <w:rFonts w:hint="eastAsia" w:ascii="Times New Roman" w:hAnsi="Times New Roman" w:eastAsia="宋体" w:cs="Times New Roman"/>
                <w:b w:val="0"/>
                <w:bCs w:val="0"/>
                <w:color w:val="auto"/>
                <w:sz w:val="24"/>
                <w:highlight w:val="none"/>
                <w:lang w:val="en-US" w:eastAsia="zh-CN"/>
              </w:rPr>
              <w:fldChar w:fldCharType="separate"/>
            </w:r>
            <w:r>
              <w:rPr>
                <w:rFonts w:hint="eastAsia" w:ascii="Times New Roman" w:hAnsi="Times New Roman" w:eastAsia="宋体" w:cs="Times New Roman"/>
                <w:b w:val="0"/>
                <w:bCs w:val="0"/>
                <w:color w:val="auto"/>
                <w:sz w:val="24"/>
                <w:highlight w:val="none"/>
                <w:lang w:val="en-US" w:eastAsia="zh-CN"/>
              </w:rPr>
              <w:t>九江江洲投资开发有限公司</w:t>
            </w:r>
            <w:r>
              <w:rPr>
                <w:rFonts w:hint="eastAsia" w:ascii="Times New Roman" w:hAnsi="Times New Roman" w:eastAsia="宋体" w:cs="Times New Roman"/>
                <w:b w:val="0"/>
                <w:bCs w:val="0"/>
                <w:color w:val="auto"/>
                <w:sz w:val="24"/>
                <w:highlight w:val="none"/>
                <w:lang w:val="en-US" w:eastAsia="zh-CN"/>
              </w:rPr>
              <w:fldChar w:fldCharType="end"/>
            </w:r>
            <w:r>
              <w:rPr>
                <w:rFonts w:hint="eastAsia" w:ascii="Times New Roman" w:hAnsi="Times New Roman" w:eastAsia="宋体" w:cs="Times New Roman"/>
                <w:b w:val="0"/>
                <w:bCs w:val="0"/>
                <w:color w:val="auto"/>
                <w:sz w:val="24"/>
                <w:highlight w:val="none"/>
                <w:lang w:val="en-US" w:eastAsia="zh-CN"/>
              </w:rPr>
              <w:t>100%全资持股。</w:t>
            </w:r>
          </w:p>
          <w:p w14:paraId="342E3D1F">
            <w:pPr>
              <w:spacing w:line="360" w:lineRule="auto"/>
              <w:ind w:left="0" w:leftChars="0" w:firstLine="480" w:firstLineChars="200"/>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为解决周边居民往来车辆加油短缺或者排队拥挤而造成交通堵塞的情况，解决周边车辆、过境车辆和个体生产、生活、各种机械加油难的问题，规范周边成品油经营市场秩序，</w:t>
            </w:r>
            <w:r>
              <w:rPr>
                <w:rFonts w:hint="eastAsia" w:ascii="Times New Roman" w:hAnsi="Times New Roman" w:eastAsia="宋体" w:cs="Times New Roman"/>
                <w:b w:val="0"/>
                <w:bCs w:val="0"/>
                <w:color w:val="auto"/>
                <w:sz w:val="24"/>
                <w:highlight w:val="none"/>
                <w:lang w:val="en-US" w:eastAsia="zh-CN"/>
              </w:rPr>
              <w:t>九江江汇能源有限公司</w:t>
            </w:r>
            <w:r>
              <w:rPr>
                <w:rFonts w:hint="default" w:ascii="Times New Roman" w:hAnsi="Times New Roman" w:eastAsia="宋体" w:cs="Times New Roman"/>
                <w:b w:val="0"/>
                <w:bCs w:val="0"/>
                <w:color w:val="auto"/>
                <w:kern w:val="2"/>
                <w:sz w:val="24"/>
                <w:szCs w:val="24"/>
                <w:highlight w:val="none"/>
                <w:lang w:val="en-US" w:eastAsia="zh-CN" w:bidi="ar-SA"/>
              </w:rPr>
              <w:t>于</w:t>
            </w:r>
            <w:r>
              <w:rPr>
                <w:rFonts w:hint="eastAsia" w:ascii="Times New Roman" w:hAnsi="Times New Roman" w:eastAsia="宋体" w:cs="Times New Roman"/>
                <w:b w:val="0"/>
                <w:bCs w:val="0"/>
                <w:color w:val="auto"/>
                <w:sz w:val="24"/>
                <w:highlight w:val="none"/>
                <w:lang w:val="en-US" w:eastAsia="zh-CN"/>
              </w:rPr>
              <w:t>江西省九江市</w:t>
            </w:r>
            <w:r>
              <w:rPr>
                <w:rFonts w:hint="eastAsia"/>
                <w:highlight w:val="none"/>
                <w:lang w:eastAsia="zh-CN"/>
              </w:rPr>
              <w:t>柴桑区</w:t>
            </w:r>
            <w:r>
              <w:rPr>
                <w:rFonts w:hint="eastAsia"/>
                <w:highlight w:val="none"/>
              </w:rPr>
              <w:t>通江大道西侧、城门街道南垅新村南侧</w:t>
            </w:r>
            <w:r>
              <w:rPr>
                <w:rFonts w:hint="eastAsia"/>
                <w:highlight w:val="none"/>
                <w:lang w:val="en-US" w:eastAsia="zh-CN"/>
              </w:rPr>
              <w:t>地块</w:t>
            </w:r>
            <w:r>
              <w:rPr>
                <w:rFonts w:hint="default" w:ascii="Times New Roman" w:hAnsi="Times New Roman" w:eastAsia="宋体" w:cs="Times New Roman"/>
                <w:b w:val="0"/>
                <w:bCs w:val="0"/>
                <w:color w:val="auto"/>
                <w:kern w:val="2"/>
                <w:sz w:val="24"/>
                <w:szCs w:val="24"/>
                <w:highlight w:val="none"/>
                <w:lang w:val="en-US" w:eastAsia="zh-CN" w:bidi="ar-SA"/>
              </w:rPr>
              <w:t>开展</w:t>
            </w:r>
            <w:r>
              <w:rPr>
                <w:rFonts w:hint="eastAsia"/>
                <w:highlight w:val="none"/>
                <w:lang w:eastAsia="zh-CN"/>
              </w:rPr>
              <w:t>九江市城门加油站建设项目</w:t>
            </w:r>
            <w:r>
              <w:rPr>
                <w:rFonts w:hint="default" w:ascii="Times New Roman" w:hAnsi="Times New Roman" w:eastAsia="宋体" w:cs="Times New Roman"/>
                <w:b w:val="0"/>
                <w:bCs w:val="0"/>
                <w:color w:val="auto"/>
                <w:kern w:val="2"/>
                <w:sz w:val="24"/>
                <w:szCs w:val="24"/>
                <w:highlight w:val="none"/>
                <w:lang w:val="en-US" w:eastAsia="zh-CN" w:bidi="ar-SA"/>
              </w:rPr>
              <w:t>。</w:t>
            </w:r>
          </w:p>
          <w:p w14:paraId="699E8588">
            <w:pPr>
              <w:pStyle w:val="54"/>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rFonts w:hint="eastAsia" w:ascii="Times New Roman" w:hAnsi="Times New Roman" w:eastAsia="宋体"/>
                <w:color w:val="000000" w:themeColor="text1"/>
                <w:sz w:val="24"/>
                <w14:textFill>
                  <w14:solidFill>
                    <w14:schemeClr w14:val="tx1"/>
                  </w14:solidFill>
                </w14:textFill>
              </w:rPr>
            </w:pPr>
            <w:r>
              <w:rPr>
                <w:rFonts w:hint="default"/>
                <w:b w:val="0"/>
                <w:bCs/>
                <w:highlight w:val="none"/>
                <w:lang w:val="en-US" w:eastAsia="zh-CN"/>
              </w:rPr>
              <w:t>根据《国民经济行业分类》（GB/T4754-2017）及国家标准第1号修改单，本项目属于F5265机动车燃油零售。根据《建设项目环境影响评价分类管理名录》（2021年1月1日），本项目属于</w:t>
            </w:r>
            <w:r>
              <w:rPr>
                <w:rFonts w:hint="eastAsia" w:ascii="宋体" w:hAnsi="宋体" w:eastAsia="宋体" w:cs="宋体"/>
                <w:b w:val="0"/>
                <w:bCs/>
                <w:highlight w:val="none"/>
                <w:lang w:val="en-US" w:eastAsia="zh-CN"/>
              </w:rPr>
              <w:t>“</w:t>
            </w:r>
            <w:r>
              <w:rPr>
                <w:rFonts w:hint="eastAsia"/>
                <w:highlight w:val="none"/>
                <w:lang w:val="en-US" w:eastAsia="zh-CN"/>
              </w:rPr>
              <w:t>五十、社会事业与服务业-</w:t>
            </w:r>
            <w:r>
              <w:rPr>
                <w:rFonts w:hint="eastAsia"/>
                <w:highlight w:val="none"/>
              </w:rPr>
              <w:t>119加油、加气站</w:t>
            </w:r>
            <w:r>
              <w:rPr>
                <w:rFonts w:hint="eastAsia"/>
                <w:highlight w:val="none"/>
                <w:lang w:val="en-US" w:eastAsia="zh-CN"/>
              </w:rPr>
              <w:t>-城市建成区新建、扩建加油站</w:t>
            </w:r>
            <w:r>
              <w:rPr>
                <w:rFonts w:hint="eastAsia" w:ascii="宋体" w:hAnsi="宋体" w:eastAsia="宋体" w:cs="宋体"/>
                <w:b w:val="0"/>
                <w:bCs/>
                <w:highlight w:val="none"/>
                <w:lang w:val="en-US" w:eastAsia="zh-CN"/>
              </w:rPr>
              <w:t>”</w:t>
            </w:r>
            <w:r>
              <w:rPr>
                <w:rFonts w:hint="default"/>
                <w:b w:val="0"/>
                <w:bCs/>
                <w:highlight w:val="none"/>
                <w:lang w:val="en-US" w:eastAsia="zh-CN"/>
              </w:rPr>
              <w:t>，应编制环境影响报告表。</w:t>
            </w:r>
            <w:r>
              <w:rPr>
                <w:rFonts w:hint="eastAsia" w:ascii="Times New Roman" w:hAnsi="Times New Roman" w:eastAsia="宋体"/>
                <w:color w:val="000000" w:themeColor="text1"/>
                <w:sz w:val="24"/>
                <w14:textFill>
                  <w14:solidFill>
                    <w14:schemeClr w14:val="tx1"/>
                  </w14:solidFill>
                </w14:textFill>
              </w:rPr>
              <w:t>项目位于</w:t>
            </w:r>
            <w:r>
              <w:rPr>
                <w:rFonts w:hint="eastAsia" w:ascii="Times New Roman" w:hAnsi="Times New Roman" w:eastAsia="宋体"/>
                <w:color w:val="000000" w:themeColor="text1"/>
                <w:sz w:val="24"/>
                <w:lang w:val="en-US" w:eastAsia="zh-CN"/>
                <w14:textFill>
                  <w14:solidFill>
                    <w14:schemeClr w14:val="tx1"/>
                  </w14:solidFill>
                </w14:textFill>
              </w:rPr>
              <w:t>江西省九江市</w:t>
            </w:r>
            <w:r>
              <w:rPr>
                <w:rFonts w:hint="eastAsia" w:ascii="Times New Roman" w:hAnsi="Times New Roman" w:eastAsia="宋体"/>
                <w:color w:val="000000" w:themeColor="text1"/>
                <w:sz w:val="24"/>
                <w:lang w:eastAsia="zh-CN"/>
                <w14:textFill>
                  <w14:solidFill>
                    <w14:schemeClr w14:val="tx1"/>
                  </w14:solidFill>
                </w14:textFill>
              </w:rPr>
              <w:t>柴桑区</w:t>
            </w:r>
            <w:r>
              <w:rPr>
                <w:rFonts w:hint="eastAsia" w:ascii="Times New Roman" w:hAnsi="Times New Roman" w:eastAsia="宋体"/>
                <w:color w:val="000000" w:themeColor="text1"/>
                <w:sz w:val="24"/>
                <w14:textFill>
                  <w14:solidFill>
                    <w14:schemeClr w14:val="tx1"/>
                  </w14:solidFill>
                </w14:textFill>
              </w:rPr>
              <w:t>通江大道西侧、城门街道南垅新村南侧</w:t>
            </w:r>
            <w:r>
              <w:rPr>
                <w:rFonts w:ascii="Times New Roman" w:hAnsi="Times New Roman" w:eastAsia="宋体"/>
                <w:color w:val="000000" w:themeColor="text1"/>
                <w:sz w:val="24"/>
                <w14:textFill>
                  <w14:solidFill>
                    <w14:schemeClr w14:val="tx1"/>
                  </w14:solidFill>
                </w14:textFill>
              </w:rPr>
              <w:t>，</w:t>
            </w:r>
            <w:r>
              <w:rPr>
                <w:rFonts w:hint="eastAsia" w:ascii="Times New Roman" w:hAnsi="Times New Roman" w:eastAsia="宋体"/>
                <w:color w:val="000000" w:themeColor="text1"/>
                <w:sz w:val="24"/>
                <w14:textFill>
                  <w14:solidFill>
                    <w14:schemeClr w14:val="tx1"/>
                  </w14:solidFill>
                </w14:textFill>
              </w:rPr>
              <w:t>项目所在地块属于</w:t>
            </w:r>
            <w:r>
              <w:rPr>
                <w:rFonts w:hint="eastAsia" w:ascii="Times New Roman" w:hAnsi="Times New Roman" w:eastAsia="宋体"/>
                <w:color w:val="000000" w:themeColor="text1"/>
                <w:sz w:val="24"/>
                <w:lang w:val="en-US" w:eastAsia="zh-CN"/>
                <w14:textFill>
                  <w14:solidFill>
                    <w14:schemeClr w14:val="tx1"/>
                  </w14:solidFill>
                </w14:textFill>
              </w:rPr>
              <w:t>柴桑区</w:t>
            </w:r>
            <w:r>
              <w:rPr>
                <w:rFonts w:hint="eastAsia" w:ascii="Times New Roman" w:hAnsi="Times New Roman" w:eastAsia="宋体"/>
                <w:color w:val="000000" w:themeColor="text1"/>
                <w:sz w:val="24"/>
                <w14:textFill>
                  <w14:solidFill>
                    <w14:schemeClr w14:val="tx1"/>
                  </w14:solidFill>
                </w14:textFill>
              </w:rPr>
              <w:t>中心城区范围内，具体详见图2</w:t>
            </w:r>
            <w:r>
              <w:rPr>
                <w:rFonts w:ascii="Times New Roman" w:hAnsi="Times New Roman" w:eastAsia="宋体"/>
                <w:color w:val="000000" w:themeColor="text1"/>
                <w:sz w:val="24"/>
                <w14:textFill>
                  <w14:solidFill>
                    <w14:schemeClr w14:val="tx1"/>
                  </w14:solidFill>
                </w14:textFill>
              </w:rPr>
              <w:t>-</w:t>
            </w:r>
            <w:r>
              <w:rPr>
                <w:rFonts w:hint="eastAsia" w:ascii="Times New Roman" w:hAnsi="Times New Roman" w:eastAsia="宋体"/>
                <w:color w:val="000000" w:themeColor="text1"/>
                <w:sz w:val="24"/>
                <w:lang w:val="en-US" w:eastAsia="zh-CN"/>
                <w14:textFill>
                  <w14:solidFill>
                    <w14:schemeClr w14:val="tx1"/>
                  </w14:solidFill>
                </w14:textFill>
              </w:rPr>
              <w:t>1</w:t>
            </w:r>
            <w:r>
              <w:rPr>
                <w:rFonts w:hint="eastAsia" w:ascii="Times New Roman" w:hAnsi="Times New Roman" w:eastAsia="宋体"/>
                <w:color w:val="000000" w:themeColor="text1"/>
                <w:sz w:val="24"/>
                <w14:textFill>
                  <w14:solidFill>
                    <w14:schemeClr w14:val="tx1"/>
                  </w14:solidFill>
                </w14:textFill>
              </w:rPr>
              <w:t>。</w:t>
            </w:r>
          </w:p>
          <w:p w14:paraId="2F62D7E9">
            <w:pPr>
              <w:pStyle w:val="54"/>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Chars="0" w:firstLine="0" w:firstLineChars="0"/>
              <w:jc w:val="center"/>
              <w:textAlignment w:val="auto"/>
            </w:pPr>
            <w:r>
              <w:drawing>
                <wp:inline distT="0" distB="0" distL="114300" distR="114300">
                  <wp:extent cx="5040630" cy="3535680"/>
                  <wp:effectExtent l="0" t="0" r="762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7"/>
                          <a:stretch>
                            <a:fillRect/>
                          </a:stretch>
                        </pic:blipFill>
                        <pic:spPr>
                          <a:xfrm>
                            <a:off x="0" y="0"/>
                            <a:ext cx="5040630" cy="3535680"/>
                          </a:xfrm>
                          <a:prstGeom prst="rect">
                            <a:avLst/>
                          </a:prstGeom>
                          <a:noFill/>
                          <a:ln>
                            <a:noFill/>
                          </a:ln>
                        </pic:spPr>
                      </pic:pic>
                    </a:graphicData>
                  </a:graphic>
                </wp:inline>
              </w:drawing>
            </w:r>
          </w:p>
          <w:p w14:paraId="60D9FBBE">
            <w:pPr>
              <w:pStyle w:val="54"/>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0" w:firstLineChars="0"/>
              <w:jc w:val="center"/>
              <w:textAlignment w:val="auto"/>
              <w:rPr>
                <w:rFonts w:hint="default" w:eastAsia="宋体"/>
                <w:b/>
                <w:bCs/>
                <w:sz w:val="21"/>
                <w:szCs w:val="21"/>
                <w:lang w:val="en-US" w:eastAsia="zh-CN"/>
              </w:rPr>
            </w:pPr>
            <w:r>
              <w:rPr>
                <w:rFonts w:hint="eastAsia"/>
                <w:b/>
                <w:bCs/>
                <w:sz w:val="21"/>
                <w:szCs w:val="21"/>
                <w:lang w:val="en-US" w:eastAsia="zh-CN"/>
              </w:rPr>
              <w:t>图2-1   项目与柴桑区城市建成区位置关系图</w:t>
            </w:r>
          </w:p>
          <w:p w14:paraId="12B2DAF7">
            <w:pPr>
              <w:pStyle w:val="54"/>
              <w:keepNext w:val="0"/>
              <w:keepLines w:val="0"/>
              <w:pageBreakBefore w:val="0"/>
              <w:widowControl w:val="0"/>
              <w:numPr>
                <w:ilvl w:val="0"/>
                <w:numId w:val="0"/>
              </w:numPr>
              <w:kinsoku/>
              <w:wordWrap/>
              <w:overflowPunct/>
              <w:topLinePunct w:val="0"/>
              <w:autoSpaceDE/>
              <w:autoSpaceDN/>
              <w:bidi w:val="0"/>
              <w:adjustRightInd/>
              <w:snapToGrid/>
              <w:ind w:leftChars="0" w:firstLine="482" w:firstLineChars="200"/>
              <w:textAlignment w:val="auto"/>
              <w:rPr>
                <w:b/>
                <w:bCs/>
                <w:highlight w:val="none"/>
              </w:rPr>
            </w:pPr>
            <w:r>
              <w:rPr>
                <w:rFonts w:hint="eastAsia"/>
                <w:b/>
                <w:highlight w:val="none"/>
                <w:lang w:val="en-US" w:eastAsia="zh-CN"/>
              </w:rPr>
              <w:t>2、</w:t>
            </w:r>
            <w:r>
              <w:rPr>
                <w:rFonts w:hint="eastAsia"/>
                <w:b/>
                <w:highlight w:val="none"/>
              </w:rPr>
              <w:t>项目概况</w:t>
            </w:r>
          </w:p>
          <w:p w14:paraId="734D6A1D">
            <w:pPr>
              <w:ind w:firstLine="480"/>
              <w:rPr>
                <w:highlight w:val="none"/>
              </w:rPr>
            </w:pPr>
            <w:r>
              <w:rPr>
                <w:rFonts w:hint="eastAsia"/>
                <w:highlight w:val="none"/>
                <w:lang w:val="en-US" w:eastAsia="zh-CN"/>
              </w:rPr>
              <w:t>本项目</w:t>
            </w:r>
            <w:r>
              <w:rPr>
                <w:rFonts w:hint="eastAsia"/>
                <w:highlight w:val="none"/>
              </w:rPr>
              <w:t>位于</w:t>
            </w:r>
            <w:r>
              <w:rPr>
                <w:rFonts w:hint="eastAsia" w:ascii="Times New Roman" w:hAnsi="Times New Roman" w:eastAsia="宋体" w:cs="Times New Roman"/>
                <w:b w:val="0"/>
                <w:bCs w:val="0"/>
                <w:color w:val="auto"/>
                <w:sz w:val="24"/>
                <w:highlight w:val="none"/>
                <w:lang w:val="en-US" w:eastAsia="zh-CN"/>
              </w:rPr>
              <w:t>江西省九江市</w:t>
            </w:r>
            <w:r>
              <w:rPr>
                <w:rFonts w:hint="eastAsia"/>
                <w:highlight w:val="none"/>
                <w:lang w:eastAsia="zh-CN"/>
              </w:rPr>
              <w:t>柴桑区</w:t>
            </w:r>
            <w:r>
              <w:rPr>
                <w:rFonts w:hint="eastAsia"/>
                <w:highlight w:val="none"/>
              </w:rPr>
              <w:t>通江大道西侧、城门街道南垅新村南侧</w:t>
            </w:r>
            <w:r>
              <w:rPr>
                <w:b w:val="0"/>
                <w:bCs w:val="0"/>
                <w:spacing w:val="4"/>
                <w:kern w:val="18"/>
                <w:sz w:val="24"/>
                <w:szCs w:val="24"/>
                <w:highlight w:val="none"/>
              </w:rPr>
              <w:t>（地理位置：</w:t>
            </w:r>
            <w:r>
              <w:rPr>
                <w:rFonts w:hint="eastAsia"/>
                <w:b w:val="0"/>
                <w:bCs w:val="0"/>
                <w:spacing w:val="4"/>
                <w:kern w:val="18"/>
                <w:sz w:val="24"/>
                <w:szCs w:val="24"/>
                <w:highlight w:val="none"/>
              </w:rPr>
              <w:t>E</w:t>
            </w:r>
            <w:r>
              <w:rPr>
                <w:rFonts w:hint="default" w:ascii="Times New Roman" w:hAnsi="Times New Roman" w:cs="Times New Roman"/>
                <w:b w:val="0"/>
                <w:bCs w:val="0"/>
                <w:spacing w:val="4"/>
                <w:kern w:val="18"/>
                <w:sz w:val="24"/>
                <w:szCs w:val="24"/>
                <w:highlight w:val="none"/>
              </w:rPr>
              <w:t>115°49′22.306″，N29°39′13.383″</w:t>
            </w:r>
            <w:r>
              <w:rPr>
                <w:b w:val="0"/>
                <w:bCs w:val="0"/>
                <w:spacing w:val="4"/>
                <w:kern w:val="18"/>
                <w:sz w:val="24"/>
                <w:szCs w:val="24"/>
                <w:highlight w:val="none"/>
              </w:rPr>
              <w:t>）</w:t>
            </w:r>
            <w:r>
              <w:rPr>
                <w:rFonts w:hint="eastAsia"/>
                <w:highlight w:val="none"/>
              </w:rPr>
              <w:t>，项目</w:t>
            </w:r>
            <w:r>
              <w:rPr>
                <w:rFonts w:hint="eastAsia"/>
                <w:color w:val="auto"/>
                <w:highlight w:val="none"/>
                <w:lang w:val="en-US" w:eastAsia="zh-CN"/>
              </w:rPr>
              <w:t>东侧为通江大道，南侧为</w:t>
            </w:r>
            <w:r>
              <w:rPr>
                <w:rFonts w:hint="eastAsia"/>
                <w:highlight w:val="none"/>
                <w:lang w:eastAsia="zh-CN"/>
              </w:rPr>
              <w:t>钢筋加工厂（废弃），西侧、北侧为红心村居民区</w:t>
            </w:r>
            <w:r>
              <w:rPr>
                <w:rFonts w:hint="eastAsia"/>
                <w:highlight w:val="none"/>
              </w:rPr>
              <w:t>。</w:t>
            </w:r>
            <w:r>
              <w:rPr>
                <w:rFonts w:hint="eastAsia"/>
                <w:b w:val="0"/>
                <w:bCs w:val="0"/>
                <w:spacing w:val="4"/>
                <w:kern w:val="18"/>
                <w:sz w:val="24"/>
                <w:szCs w:val="24"/>
                <w:highlight w:val="none"/>
              </w:rPr>
              <w:t>四至照片如下：</w:t>
            </w:r>
          </w:p>
          <w:tbl>
            <w:tblPr>
              <w:tblStyle w:val="36"/>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590"/>
              <w:gridCol w:w="4698"/>
            </w:tblGrid>
            <w:tr w14:paraId="6A8763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471" w:type="pct"/>
                  <w:vAlign w:val="center"/>
                </w:tcPr>
                <w:p w14:paraId="33C60E5F">
                  <w:pPr>
                    <w:pStyle w:val="49"/>
                    <w:keepNext w:val="0"/>
                    <w:keepLines w:val="0"/>
                    <w:pageBreakBefore w:val="0"/>
                    <w:widowControl w:val="0"/>
                    <w:kinsoku/>
                    <w:wordWrap/>
                    <w:overflowPunct/>
                    <w:topLinePunct w:val="0"/>
                    <w:autoSpaceDE/>
                    <w:autoSpaceDN/>
                    <w:bidi w:val="0"/>
                    <w:adjustRightInd/>
                    <w:snapToGrid w:val="0"/>
                    <w:jc w:val="center"/>
                    <w:textAlignment w:val="auto"/>
                    <w:rPr>
                      <w:rFonts w:hint="eastAsia" w:eastAsia="宋体"/>
                      <w:highlight w:val="none"/>
                      <w:lang w:eastAsia="zh-CN"/>
                    </w:rPr>
                  </w:pPr>
                  <w:r>
                    <w:rPr>
                      <w:rFonts w:hint="eastAsia" w:eastAsia="宋体"/>
                      <w:highlight w:val="none"/>
                      <w:lang w:eastAsia="zh-CN"/>
                    </w:rPr>
                    <w:drawing>
                      <wp:inline distT="0" distB="0" distL="114300" distR="114300">
                        <wp:extent cx="2748915" cy="2051685"/>
                        <wp:effectExtent l="0" t="0" r="13335" b="5715"/>
                        <wp:docPr id="29" name="图片 29" descr="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东"/>
                                <pic:cNvPicPr>
                                  <a:picLocks noChangeAspect="1"/>
                                </pic:cNvPicPr>
                              </pic:nvPicPr>
                              <pic:blipFill>
                                <a:blip r:embed="rId18"/>
                                <a:stretch>
                                  <a:fillRect/>
                                </a:stretch>
                              </pic:blipFill>
                              <pic:spPr>
                                <a:xfrm>
                                  <a:off x="0" y="0"/>
                                  <a:ext cx="2748915" cy="2051685"/>
                                </a:xfrm>
                                <a:prstGeom prst="rect">
                                  <a:avLst/>
                                </a:prstGeom>
                              </pic:spPr>
                            </pic:pic>
                          </a:graphicData>
                        </a:graphic>
                      </wp:inline>
                    </w:drawing>
                  </w:r>
                </w:p>
              </w:tc>
              <w:tc>
                <w:tcPr>
                  <w:tcW w:w="2529" w:type="pct"/>
                  <w:vAlign w:val="center"/>
                </w:tcPr>
                <w:p w14:paraId="42A80568">
                  <w:pPr>
                    <w:pStyle w:val="49"/>
                    <w:keepNext w:val="0"/>
                    <w:keepLines w:val="0"/>
                    <w:pageBreakBefore w:val="0"/>
                    <w:widowControl w:val="0"/>
                    <w:kinsoku/>
                    <w:wordWrap/>
                    <w:overflowPunct/>
                    <w:topLinePunct w:val="0"/>
                    <w:autoSpaceDE/>
                    <w:autoSpaceDN/>
                    <w:bidi w:val="0"/>
                    <w:adjustRightInd/>
                    <w:snapToGrid w:val="0"/>
                    <w:jc w:val="center"/>
                    <w:textAlignment w:val="auto"/>
                    <w:rPr>
                      <w:rFonts w:hint="eastAsia" w:eastAsia="宋体"/>
                      <w:highlight w:val="none"/>
                      <w:lang w:eastAsia="zh-CN"/>
                    </w:rPr>
                  </w:pPr>
                  <w:r>
                    <w:rPr>
                      <w:rFonts w:hint="eastAsia" w:eastAsia="宋体"/>
                      <w:highlight w:val="none"/>
                      <w:lang w:eastAsia="zh-CN"/>
                    </w:rPr>
                    <w:drawing>
                      <wp:inline distT="0" distB="0" distL="114300" distR="114300">
                        <wp:extent cx="2746375" cy="2051685"/>
                        <wp:effectExtent l="0" t="0" r="15875" b="5715"/>
                        <wp:docPr id="30" name="图片 30" descr="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南"/>
                                <pic:cNvPicPr>
                                  <a:picLocks noChangeAspect="1"/>
                                </pic:cNvPicPr>
                              </pic:nvPicPr>
                              <pic:blipFill>
                                <a:blip r:embed="rId19"/>
                                <a:stretch>
                                  <a:fillRect/>
                                </a:stretch>
                              </pic:blipFill>
                              <pic:spPr>
                                <a:xfrm>
                                  <a:off x="0" y="0"/>
                                  <a:ext cx="2746375" cy="2051685"/>
                                </a:xfrm>
                                <a:prstGeom prst="rect">
                                  <a:avLst/>
                                </a:prstGeom>
                              </pic:spPr>
                            </pic:pic>
                          </a:graphicData>
                        </a:graphic>
                      </wp:inline>
                    </w:drawing>
                  </w:r>
                </w:p>
              </w:tc>
            </w:tr>
            <w:tr w14:paraId="2FD1F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471" w:type="pct"/>
                  <w:vAlign w:val="center"/>
                </w:tcPr>
                <w:p w14:paraId="443AE9E9">
                  <w:pPr>
                    <w:pStyle w:val="49"/>
                    <w:keepNext w:val="0"/>
                    <w:keepLines w:val="0"/>
                    <w:pageBreakBefore w:val="0"/>
                    <w:widowControl w:val="0"/>
                    <w:kinsoku/>
                    <w:wordWrap/>
                    <w:overflowPunct/>
                    <w:topLinePunct w:val="0"/>
                    <w:autoSpaceDE/>
                    <w:autoSpaceDN/>
                    <w:bidi w:val="0"/>
                    <w:adjustRightInd/>
                    <w:snapToGrid w:val="0"/>
                    <w:textAlignment w:val="auto"/>
                    <w:rPr>
                      <w:highlight w:val="none"/>
                    </w:rPr>
                  </w:pPr>
                  <w:r>
                    <w:rPr>
                      <w:rFonts w:hint="eastAsia"/>
                      <w:b/>
                      <w:bCs/>
                      <w:szCs w:val="21"/>
                      <w:highlight w:val="none"/>
                    </w:rPr>
                    <w:t>项目东面</w:t>
                  </w:r>
                </w:p>
              </w:tc>
              <w:tc>
                <w:tcPr>
                  <w:tcW w:w="2529" w:type="pct"/>
                  <w:vAlign w:val="center"/>
                </w:tcPr>
                <w:p w14:paraId="38DBD3E5">
                  <w:pPr>
                    <w:pStyle w:val="49"/>
                    <w:keepNext w:val="0"/>
                    <w:keepLines w:val="0"/>
                    <w:pageBreakBefore w:val="0"/>
                    <w:widowControl w:val="0"/>
                    <w:kinsoku/>
                    <w:wordWrap/>
                    <w:overflowPunct/>
                    <w:topLinePunct w:val="0"/>
                    <w:autoSpaceDE/>
                    <w:autoSpaceDN/>
                    <w:bidi w:val="0"/>
                    <w:adjustRightInd/>
                    <w:snapToGrid w:val="0"/>
                    <w:textAlignment w:val="auto"/>
                    <w:rPr>
                      <w:rFonts w:hint="default" w:eastAsia="宋体"/>
                      <w:highlight w:val="none"/>
                      <w:lang w:val="en-US" w:eastAsia="zh-CN"/>
                    </w:rPr>
                  </w:pPr>
                  <w:r>
                    <w:rPr>
                      <w:rFonts w:hint="eastAsia"/>
                      <w:b/>
                      <w:bCs/>
                      <w:highlight w:val="none"/>
                      <w:lang w:val="en-US" w:eastAsia="zh-CN"/>
                    </w:rPr>
                    <w:t>项目南面</w:t>
                  </w:r>
                </w:p>
              </w:tc>
            </w:tr>
            <w:tr w14:paraId="2594FC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471" w:type="pct"/>
                  <w:vAlign w:val="center"/>
                </w:tcPr>
                <w:p w14:paraId="172BDD42">
                  <w:pPr>
                    <w:pStyle w:val="49"/>
                    <w:keepNext w:val="0"/>
                    <w:keepLines w:val="0"/>
                    <w:pageBreakBefore w:val="0"/>
                    <w:widowControl w:val="0"/>
                    <w:kinsoku/>
                    <w:wordWrap/>
                    <w:overflowPunct/>
                    <w:topLinePunct w:val="0"/>
                    <w:autoSpaceDE/>
                    <w:autoSpaceDN/>
                    <w:bidi w:val="0"/>
                    <w:adjustRightInd/>
                    <w:snapToGrid w:val="0"/>
                    <w:jc w:val="center"/>
                    <w:textAlignment w:val="auto"/>
                    <w:rPr>
                      <w:rFonts w:hint="eastAsia" w:eastAsia="宋体"/>
                      <w:highlight w:val="none"/>
                      <w:lang w:eastAsia="zh-CN"/>
                    </w:rPr>
                  </w:pPr>
                  <w:r>
                    <w:rPr>
                      <w:rFonts w:hint="eastAsia" w:eastAsia="宋体"/>
                      <w:highlight w:val="none"/>
                      <w:lang w:eastAsia="zh-CN"/>
                    </w:rPr>
                    <w:drawing>
                      <wp:inline distT="0" distB="0" distL="114300" distR="114300">
                        <wp:extent cx="2747645" cy="2051685"/>
                        <wp:effectExtent l="0" t="0" r="14605" b="5715"/>
                        <wp:docPr id="31" name="图片 31" descr="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西"/>
                                <pic:cNvPicPr>
                                  <a:picLocks noChangeAspect="1"/>
                                </pic:cNvPicPr>
                              </pic:nvPicPr>
                              <pic:blipFill>
                                <a:blip r:embed="rId20"/>
                                <a:stretch>
                                  <a:fillRect/>
                                </a:stretch>
                              </pic:blipFill>
                              <pic:spPr>
                                <a:xfrm>
                                  <a:off x="0" y="0"/>
                                  <a:ext cx="2747645" cy="2051685"/>
                                </a:xfrm>
                                <a:prstGeom prst="rect">
                                  <a:avLst/>
                                </a:prstGeom>
                              </pic:spPr>
                            </pic:pic>
                          </a:graphicData>
                        </a:graphic>
                      </wp:inline>
                    </w:drawing>
                  </w:r>
                </w:p>
              </w:tc>
              <w:tc>
                <w:tcPr>
                  <w:tcW w:w="2529" w:type="pct"/>
                  <w:vAlign w:val="center"/>
                </w:tcPr>
                <w:p w14:paraId="4B350A58">
                  <w:pPr>
                    <w:pStyle w:val="49"/>
                    <w:keepNext w:val="0"/>
                    <w:keepLines w:val="0"/>
                    <w:pageBreakBefore w:val="0"/>
                    <w:widowControl w:val="0"/>
                    <w:kinsoku/>
                    <w:wordWrap/>
                    <w:overflowPunct/>
                    <w:topLinePunct w:val="0"/>
                    <w:autoSpaceDE/>
                    <w:autoSpaceDN/>
                    <w:bidi w:val="0"/>
                    <w:adjustRightInd/>
                    <w:snapToGrid w:val="0"/>
                    <w:textAlignment w:val="auto"/>
                    <w:rPr>
                      <w:rFonts w:hint="eastAsia" w:eastAsia="宋体"/>
                      <w:highlight w:val="none"/>
                      <w:lang w:eastAsia="zh-CN"/>
                    </w:rPr>
                  </w:pPr>
                  <w:r>
                    <w:rPr>
                      <w:rFonts w:hint="eastAsia" w:eastAsia="宋体"/>
                      <w:highlight w:val="none"/>
                      <w:lang w:eastAsia="zh-CN"/>
                    </w:rPr>
                    <w:drawing>
                      <wp:inline distT="0" distB="0" distL="114300" distR="114300">
                        <wp:extent cx="2748915" cy="2051685"/>
                        <wp:effectExtent l="0" t="0" r="13335" b="5715"/>
                        <wp:docPr id="32" name="图片 32" descr="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北"/>
                                <pic:cNvPicPr>
                                  <a:picLocks noChangeAspect="1"/>
                                </pic:cNvPicPr>
                              </pic:nvPicPr>
                              <pic:blipFill>
                                <a:blip r:embed="rId21"/>
                                <a:stretch>
                                  <a:fillRect/>
                                </a:stretch>
                              </pic:blipFill>
                              <pic:spPr>
                                <a:xfrm>
                                  <a:off x="0" y="0"/>
                                  <a:ext cx="2748915" cy="2051685"/>
                                </a:xfrm>
                                <a:prstGeom prst="rect">
                                  <a:avLst/>
                                </a:prstGeom>
                              </pic:spPr>
                            </pic:pic>
                          </a:graphicData>
                        </a:graphic>
                      </wp:inline>
                    </w:drawing>
                  </w:r>
                </w:p>
              </w:tc>
            </w:tr>
            <w:tr w14:paraId="5A1EFE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471" w:type="pct"/>
                  <w:vAlign w:val="center"/>
                </w:tcPr>
                <w:p w14:paraId="6E108C2E">
                  <w:pPr>
                    <w:pStyle w:val="49"/>
                    <w:keepNext w:val="0"/>
                    <w:keepLines w:val="0"/>
                    <w:pageBreakBefore w:val="0"/>
                    <w:widowControl w:val="0"/>
                    <w:kinsoku/>
                    <w:wordWrap/>
                    <w:overflowPunct/>
                    <w:topLinePunct w:val="0"/>
                    <w:autoSpaceDE/>
                    <w:autoSpaceDN/>
                    <w:bidi w:val="0"/>
                    <w:adjustRightInd/>
                    <w:snapToGrid w:val="0"/>
                    <w:textAlignment w:val="auto"/>
                    <w:rPr>
                      <w:highlight w:val="none"/>
                    </w:rPr>
                  </w:pPr>
                  <w:r>
                    <w:rPr>
                      <w:rFonts w:hint="eastAsia"/>
                      <w:b/>
                      <w:bCs/>
                      <w:highlight w:val="none"/>
                      <w:lang w:val="en-US" w:eastAsia="zh-CN"/>
                    </w:rPr>
                    <w:t>项目西面</w:t>
                  </w:r>
                </w:p>
              </w:tc>
              <w:tc>
                <w:tcPr>
                  <w:tcW w:w="2529" w:type="pct"/>
                  <w:vAlign w:val="center"/>
                </w:tcPr>
                <w:p w14:paraId="0CCF6468">
                  <w:pPr>
                    <w:pStyle w:val="49"/>
                    <w:keepNext w:val="0"/>
                    <w:keepLines w:val="0"/>
                    <w:pageBreakBefore w:val="0"/>
                    <w:widowControl w:val="0"/>
                    <w:kinsoku/>
                    <w:wordWrap/>
                    <w:overflowPunct/>
                    <w:topLinePunct w:val="0"/>
                    <w:autoSpaceDE/>
                    <w:autoSpaceDN/>
                    <w:bidi w:val="0"/>
                    <w:adjustRightInd/>
                    <w:snapToGrid w:val="0"/>
                    <w:textAlignment w:val="auto"/>
                    <w:rPr>
                      <w:highlight w:val="none"/>
                    </w:rPr>
                  </w:pPr>
                  <w:r>
                    <w:rPr>
                      <w:rFonts w:hint="eastAsia"/>
                      <w:b/>
                      <w:bCs/>
                      <w:highlight w:val="none"/>
                      <w:lang w:val="en-US" w:eastAsia="zh-CN"/>
                    </w:rPr>
                    <w:t>项目北面</w:t>
                  </w:r>
                </w:p>
              </w:tc>
            </w:tr>
          </w:tbl>
          <w:p w14:paraId="7583B978">
            <w:pPr>
              <w:pStyle w:val="54"/>
              <w:keepNext w:val="0"/>
              <w:keepLines w:val="0"/>
              <w:pageBreakBefore w:val="0"/>
              <w:widowControl w:val="0"/>
              <w:numPr>
                <w:ilvl w:val="0"/>
                <w:numId w:val="0"/>
              </w:numPr>
              <w:kinsoku/>
              <w:wordWrap/>
              <w:overflowPunct/>
              <w:topLinePunct w:val="0"/>
              <w:autoSpaceDE/>
              <w:autoSpaceDN/>
              <w:bidi w:val="0"/>
              <w:adjustRightInd/>
              <w:snapToGrid/>
              <w:ind w:leftChars="0" w:firstLine="482" w:firstLineChars="200"/>
              <w:textAlignment w:val="auto"/>
              <w:rPr>
                <w:highlight w:val="none"/>
              </w:rPr>
            </w:pPr>
            <w:r>
              <w:rPr>
                <w:rFonts w:hint="eastAsia" w:cs="Times New Roman"/>
                <w:b/>
                <w:bCs/>
                <w:color w:val="auto"/>
                <w:kern w:val="0"/>
                <w:highlight w:val="none"/>
                <w:lang w:val="en-US" w:eastAsia="zh-CN"/>
              </w:rPr>
              <w:t>3</w:t>
            </w:r>
            <w:r>
              <w:rPr>
                <w:rFonts w:hint="eastAsia" w:ascii="Times New Roman" w:hAnsi="Times New Roman" w:eastAsia="宋体" w:cs="Times New Roman"/>
                <w:b/>
                <w:bCs/>
                <w:color w:val="auto"/>
                <w:kern w:val="0"/>
                <w:highlight w:val="none"/>
                <w:lang w:val="en-US" w:eastAsia="zh-CN"/>
              </w:rPr>
              <w:t>、</w:t>
            </w:r>
            <w:r>
              <w:rPr>
                <w:rFonts w:ascii="Times New Roman" w:hAnsi="Times New Roman" w:eastAsia="宋体" w:cs="Times New Roman"/>
                <w:b/>
                <w:bCs/>
                <w:color w:val="auto"/>
                <w:kern w:val="0"/>
                <w:highlight w:val="none"/>
              </w:rPr>
              <w:t>建设内容</w:t>
            </w:r>
            <w:r>
              <w:rPr>
                <w:rFonts w:hint="eastAsia" w:ascii="Times New Roman" w:hAnsi="Times New Roman" w:eastAsia="宋体" w:cs="Times New Roman"/>
                <w:b/>
                <w:bCs/>
                <w:color w:val="auto"/>
                <w:kern w:val="0"/>
                <w:highlight w:val="none"/>
              </w:rPr>
              <w:t>及规模</w:t>
            </w:r>
          </w:p>
          <w:p w14:paraId="0EEB3276">
            <w:pPr>
              <w:ind w:firstLine="480"/>
              <w:rPr>
                <w:highlight w:val="none"/>
              </w:rPr>
            </w:pPr>
            <w:r>
              <w:rPr>
                <w:rFonts w:hint="eastAsia"/>
                <w:highlight w:val="none"/>
                <w:lang w:val="en-US" w:eastAsia="zh-CN"/>
              </w:rPr>
              <w:t>本</w:t>
            </w:r>
            <w:r>
              <w:rPr>
                <w:rFonts w:hint="eastAsia"/>
                <w:highlight w:val="none"/>
              </w:rPr>
              <w:t>项目</w:t>
            </w:r>
            <w:r>
              <w:rPr>
                <w:rFonts w:hint="eastAsia"/>
                <w:highlight w:val="none"/>
                <w:lang w:val="en-US" w:eastAsia="zh-CN"/>
              </w:rPr>
              <w:t>占地面积约为6623</w:t>
            </w:r>
            <w:r>
              <w:rPr>
                <w:highlight w:val="none"/>
              </w:rPr>
              <w:t>m</w:t>
            </w:r>
            <w:r>
              <w:rPr>
                <w:highlight w:val="none"/>
                <w:vertAlign w:val="superscript"/>
              </w:rPr>
              <w:t>2</w:t>
            </w:r>
            <w:r>
              <w:rPr>
                <w:rFonts w:hint="eastAsia"/>
                <w:bCs/>
                <w:highlight w:val="none"/>
              </w:rPr>
              <w:t>，</w:t>
            </w:r>
            <w:r>
              <w:rPr>
                <w:rFonts w:hint="eastAsia"/>
                <w:color w:val="auto"/>
                <w:highlight w:val="none"/>
              </w:rPr>
              <w:t>总建筑面积</w:t>
            </w:r>
            <w:r>
              <w:rPr>
                <w:rFonts w:hint="eastAsia"/>
                <w:color w:val="auto"/>
                <w:highlight w:val="none"/>
                <w:lang w:val="en-US" w:eastAsia="zh-CN"/>
              </w:rPr>
              <w:t>约</w:t>
            </w:r>
            <w:r>
              <w:rPr>
                <w:color w:val="auto"/>
                <w:highlight w:val="none"/>
              </w:rPr>
              <w:t>为</w:t>
            </w:r>
            <w:r>
              <w:rPr>
                <w:rFonts w:hint="eastAsia"/>
                <w:color w:val="auto"/>
                <w:highlight w:val="none"/>
                <w:lang w:val="en-US" w:eastAsia="zh-CN"/>
              </w:rPr>
              <w:t>1902.97</w:t>
            </w:r>
            <w:r>
              <w:rPr>
                <w:color w:val="auto"/>
                <w:highlight w:val="none"/>
              </w:rPr>
              <w:t>m</w:t>
            </w:r>
            <w:r>
              <w:rPr>
                <w:color w:val="auto"/>
                <w:highlight w:val="none"/>
                <w:vertAlign w:val="superscript"/>
              </w:rPr>
              <w:t>2</w:t>
            </w:r>
            <w:r>
              <w:rPr>
                <w:rFonts w:hint="eastAsia"/>
                <w:highlight w:val="none"/>
              </w:rPr>
              <w:t>。</w:t>
            </w:r>
            <w:r>
              <w:rPr>
                <w:rFonts w:hint="eastAsia"/>
                <w:highlight w:val="none"/>
                <w:lang w:val="en-US" w:eastAsia="zh-CN"/>
              </w:rPr>
              <w:t>项目主要包括</w:t>
            </w:r>
            <w:r>
              <w:rPr>
                <w:highlight w:val="none"/>
              </w:rPr>
              <w:t>主体工程</w:t>
            </w:r>
            <w:r>
              <w:rPr>
                <w:rFonts w:hint="eastAsia"/>
                <w:highlight w:val="none"/>
              </w:rPr>
              <w:t>、</w:t>
            </w:r>
            <w:r>
              <w:rPr>
                <w:highlight w:val="none"/>
              </w:rPr>
              <w:t>辅助工程、</w:t>
            </w:r>
            <w:r>
              <w:rPr>
                <w:rFonts w:hint="eastAsia"/>
                <w:highlight w:val="none"/>
              </w:rPr>
              <w:t>储运工程</w:t>
            </w:r>
            <w:r>
              <w:rPr>
                <w:highlight w:val="none"/>
              </w:rPr>
              <w:t>、公用工程</w:t>
            </w:r>
            <w:r>
              <w:rPr>
                <w:rFonts w:hint="eastAsia"/>
                <w:highlight w:val="none"/>
              </w:rPr>
              <w:t>和</w:t>
            </w:r>
            <w:r>
              <w:rPr>
                <w:highlight w:val="none"/>
              </w:rPr>
              <w:t>环保工程</w:t>
            </w:r>
            <w:r>
              <w:rPr>
                <w:rFonts w:hint="eastAsia"/>
                <w:highlight w:val="none"/>
                <w:lang w:val="en-US" w:eastAsia="zh-CN"/>
              </w:rPr>
              <w:t>等，</w:t>
            </w:r>
            <w:r>
              <w:rPr>
                <w:rFonts w:hint="eastAsia" w:ascii="Times New Roman" w:hAnsi="Times New Roman"/>
                <w:spacing w:val="4"/>
                <w:kern w:val="18"/>
                <w:szCs w:val="24"/>
                <w:highlight w:val="none"/>
              </w:rPr>
              <w:t>各工程内容及规模详见表2-1。</w:t>
            </w:r>
          </w:p>
          <w:p w14:paraId="389F7EA6">
            <w:pPr>
              <w:pStyle w:val="49"/>
              <w:keepNext w:val="0"/>
              <w:keepLines w:val="0"/>
              <w:pageBreakBefore w:val="0"/>
              <w:widowControl w:val="0"/>
              <w:kinsoku/>
              <w:wordWrap/>
              <w:overflowPunct/>
              <w:topLinePunct w:val="0"/>
              <w:autoSpaceDE/>
              <w:autoSpaceDN/>
              <w:bidi w:val="0"/>
              <w:adjustRightInd/>
              <w:snapToGrid/>
              <w:textAlignment w:val="auto"/>
              <w:rPr>
                <w:b/>
                <w:highlight w:val="none"/>
              </w:rPr>
            </w:pPr>
            <w:r>
              <w:rPr>
                <w:b/>
                <w:highlight w:val="none"/>
              </w:rPr>
              <w:t>表</w:t>
            </w:r>
            <w:r>
              <w:rPr>
                <w:rFonts w:hint="eastAsia"/>
                <w:b/>
                <w:highlight w:val="none"/>
              </w:rPr>
              <w:t>2-1</w:t>
            </w:r>
            <w:r>
              <w:rPr>
                <w:rFonts w:hint="eastAsia"/>
                <w:b/>
                <w:highlight w:val="none"/>
                <w:lang w:val="en-US" w:eastAsia="zh-CN"/>
              </w:rPr>
              <w:t xml:space="preserve">   </w:t>
            </w:r>
            <w:r>
              <w:rPr>
                <w:b/>
                <w:highlight w:val="none"/>
              </w:rPr>
              <w:t>项目主要建设内容一览表</w:t>
            </w:r>
          </w:p>
          <w:tbl>
            <w:tblPr>
              <w:tblStyle w:val="3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4"/>
              <w:gridCol w:w="641"/>
              <w:gridCol w:w="1541"/>
              <w:gridCol w:w="5346"/>
              <w:gridCol w:w="686"/>
            </w:tblGrid>
            <w:tr w14:paraId="430728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tblHeader/>
                <w:jc w:val="center"/>
              </w:trPr>
              <w:tc>
                <w:tcPr>
                  <w:tcW w:w="578" w:type="pct"/>
                  <w:tcBorders>
                    <w:tl2br w:val="nil"/>
                    <w:tr2bl w:val="nil"/>
                  </w:tcBorders>
                  <w:vAlign w:val="center"/>
                </w:tcPr>
                <w:p w14:paraId="5EC95B37">
                  <w:pPr>
                    <w:pStyle w:val="49"/>
                    <w:keepNext w:val="0"/>
                    <w:keepLines w:val="0"/>
                    <w:pageBreakBefore w:val="0"/>
                    <w:widowControl w:val="0"/>
                    <w:kinsoku/>
                    <w:wordWrap/>
                    <w:overflowPunct/>
                    <w:topLinePunct w:val="0"/>
                    <w:autoSpaceDE/>
                    <w:autoSpaceDN/>
                    <w:bidi w:val="0"/>
                    <w:adjustRightInd/>
                    <w:snapToGrid w:val="0"/>
                    <w:textAlignment w:val="auto"/>
                    <w:rPr>
                      <w:rFonts w:hint="default" w:eastAsia="宋体"/>
                      <w:b/>
                      <w:highlight w:val="none"/>
                      <w:lang w:val="en-US" w:eastAsia="zh-CN"/>
                    </w:rPr>
                  </w:pPr>
                  <w:r>
                    <w:rPr>
                      <w:rFonts w:hint="eastAsia"/>
                      <w:b/>
                      <w:highlight w:val="none"/>
                      <w:lang w:val="en-US" w:eastAsia="zh-CN"/>
                    </w:rPr>
                    <w:t>工程类别</w:t>
                  </w:r>
                </w:p>
              </w:tc>
              <w:tc>
                <w:tcPr>
                  <w:tcW w:w="1174" w:type="pct"/>
                  <w:gridSpan w:val="2"/>
                  <w:tcBorders>
                    <w:tl2br w:val="nil"/>
                    <w:tr2bl w:val="nil"/>
                  </w:tcBorders>
                  <w:vAlign w:val="center"/>
                </w:tcPr>
                <w:p w14:paraId="2F31CD52">
                  <w:pPr>
                    <w:pStyle w:val="49"/>
                    <w:keepNext w:val="0"/>
                    <w:keepLines w:val="0"/>
                    <w:pageBreakBefore w:val="0"/>
                    <w:widowControl w:val="0"/>
                    <w:kinsoku/>
                    <w:wordWrap/>
                    <w:overflowPunct/>
                    <w:topLinePunct w:val="0"/>
                    <w:autoSpaceDE/>
                    <w:autoSpaceDN/>
                    <w:bidi w:val="0"/>
                    <w:adjustRightInd/>
                    <w:snapToGrid w:val="0"/>
                    <w:textAlignment w:val="auto"/>
                    <w:rPr>
                      <w:b/>
                      <w:highlight w:val="none"/>
                    </w:rPr>
                  </w:pPr>
                  <w:r>
                    <w:rPr>
                      <w:b/>
                      <w:highlight w:val="none"/>
                    </w:rPr>
                    <w:t>名称</w:t>
                  </w:r>
                </w:p>
              </w:tc>
              <w:tc>
                <w:tcPr>
                  <w:tcW w:w="2877" w:type="pct"/>
                  <w:tcBorders>
                    <w:tl2br w:val="nil"/>
                    <w:tr2bl w:val="nil"/>
                  </w:tcBorders>
                  <w:vAlign w:val="center"/>
                </w:tcPr>
                <w:p w14:paraId="6A4BAF8B">
                  <w:pPr>
                    <w:pStyle w:val="49"/>
                    <w:keepNext w:val="0"/>
                    <w:keepLines w:val="0"/>
                    <w:pageBreakBefore w:val="0"/>
                    <w:widowControl w:val="0"/>
                    <w:kinsoku/>
                    <w:wordWrap/>
                    <w:overflowPunct/>
                    <w:topLinePunct w:val="0"/>
                    <w:autoSpaceDE/>
                    <w:autoSpaceDN/>
                    <w:bidi w:val="0"/>
                    <w:adjustRightInd/>
                    <w:snapToGrid w:val="0"/>
                    <w:textAlignment w:val="auto"/>
                    <w:rPr>
                      <w:b/>
                      <w:highlight w:val="none"/>
                    </w:rPr>
                  </w:pPr>
                  <w:r>
                    <w:rPr>
                      <w:b/>
                      <w:highlight w:val="none"/>
                    </w:rPr>
                    <w:t>主要建设内容及规模</w:t>
                  </w:r>
                </w:p>
              </w:tc>
              <w:tc>
                <w:tcPr>
                  <w:tcW w:w="369" w:type="pct"/>
                  <w:tcBorders>
                    <w:tl2br w:val="nil"/>
                    <w:tr2bl w:val="nil"/>
                  </w:tcBorders>
                  <w:vAlign w:val="center"/>
                </w:tcPr>
                <w:p w14:paraId="1743B1B8">
                  <w:pPr>
                    <w:pStyle w:val="49"/>
                    <w:keepNext w:val="0"/>
                    <w:keepLines w:val="0"/>
                    <w:pageBreakBefore w:val="0"/>
                    <w:widowControl w:val="0"/>
                    <w:kinsoku/>
                    <w:wordWrap/>
                    <w:overflowPunct/>
                    <w:topLinePunct w:val="0"/>
                    <w:autoSpaceDE/>
                    <w:autoSpaceDN/>
                    <w:bidi w:val="0"/>
                    <w:adjustRightInd/>
                    <w:snapToGrid w:val="0"/>
                    <w:textAlignment w:val="auto"/>
                    <w:rPr>
                      <w:rFonts w:hint="eastAsia" w:eastAsia="宋体"/>
                      <w:b/>
                      <w:highlight w:val="none"/>
                      <w:lang w:val="en-US" w:eastAsia="zh-CN"/>
                    </w:rPr>
                  </w:pPr>
                  <w:r>
                    <w:rPr>
                      <w:rFonts w:hint="eastAsia"/>
                      <w:b/>
                      <w:highlight w:val="none"/>
                      <w:lang w:val="en-US" w:eastAsia="zh-CN"/>
                    </w:rPr>
                    <w:t>备注</w:t>
                  </w:r>
                </w:p>
              </w:tc>
            </w:tr>
            <w:tr w14:paraId="06E706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8" w:type="pct"/>
                  <w:vMerge w:val="restart"/>
                  <w:tcBorders>
                    <w:tl2br w:val="nil"/>
                    <w:tr2bl w:val="nil"/>
                  </w:tcBorders>
                  <w:vAlign w:val="center"/>
                </w:tcPr>
                <w:p w14:paraId="25994FA7">
                  <w:pPr>
                    <w:pStyle w:val="49"/>
                    <w:keepNext w:val="0"/>
                    <w:keepLines w:val="0"/>
                    <w:pageBreakBefore w:val="0"/>
                    <w:widowControl w:val="0"/>
                    <w:kinsoku/>
                    <w:wordWrap/>
                    <w:overflowPunct/>
                    <w:topLinePunct w:val="0"/>
                    <w:autoSpaceDE/>
                    <w:autoSpaceDN/>
                    <w:bidi w:val="0"/>
                    <w:adjustRightInd/>
                    <w:snapToGrid w:val="0"/>
                    <w:textAlignment w:val="auto"/>
                    <w:rPr>
                      <w:highlight w:val="none"/>
                    </w:rPr>
                  </w:pPr>
                  <w:r>
                    <w:rPr>
                      <w:highlight w:val="none"/>
                    </w:rPr>
                    <w:t>主体工程</w:t>
                  </w:r>
                </w:p>
              </w:tc>
              <w:tc>
                <w:tcPr>
                  <w:tcW w:w="1174" w:type="pct"/>
                  <w:gridSpan w:val="2"/>
                  <w:tcBorders>
                    <w:tl2br w:val="nil"/>
                    <w:tr2bl w:val="nil"/>
                  </w:tcBorders>
                  <w:vAlign w:val="center"/>
                </w:tcPr>
                <w:p w14:paraId="105FAB39">
                  <w:pPr>
                    <w:pStyle w:val="49"/>
                    <w:keepNext w:val="0"/>
                    <w:keepLines w:val="0"/>
                    <w:pageBreakBefore w:val="0"/>
                    <w:widowControl w:val="0"/>
                    <w:kinsoku/>
                    <w:wordWrap/>
                    <w:overflowPunct/>
                    <w:topLinePunct w:val="0"/>
                    <w:autoSpaceDE/>
                    <w:autoSpaceDN/>
                    <w:bidi w:val="0"/>
                    <w:adjustRightInd/>
                    <w:snapToGrid w:val="0"/>
                    <w:textAlignment w:val="auto"/>
                    <w:rPr>
                      <w:rFonts w:hint="eastAsia" w:eastAsia="宋体"/>
                      <w:highlight w:val="none"/>
                      <w:lang w:eastAsia="zh-CN"/>
                    </w:rPr>
                  </w:pPr>
                  <w:r>
                    <w:rPr>
                      <w:rFonts w:hint="eastAsia"/>
                      <w:bCs/>
                      <w:highlight w:val="none"/>
                      <w:lang w:val="en-US" w:eastAsia="zh-CN"/>
                    </w:rPr>
                    <w:t>加油区</w:t>
                  </w:r>
                  <w:r>
                    <w:rPr>
                      <w:rFonts w:hint="eastAsia"/>
                      <w:bCs/>
                      <w:highlight w:val="none"/>
                      <w:lang w:eastAsia="zh-CN"/>
                    </w:rPr>
                    <w:t>（</w:t>
                  </w:r>
                  <w:r>
                    <w:rPr>
                      <w:rFonts w:hint="eastAsia"/>
                      <w:bCs/>
                      <w:highlight w:val="none"/>
                    </w:rPr>
                    <w:t>罩棚</w:t>
                  </w:r>
                  <w:r>
                    <w:rPr>
                      <w:rFonts w:hint="eastAsia"/>
                      <w:bCs/>
                      <w:highlight w:val="none"/>
                      <w:lang w:eastAsia="zh-CN"/>
                    </w:rPr>
                    <w:t>）</w:t>
                  </w:r>
                </w:p>
              </w:tc>
              <w:tc>
                <w:tcPr>
                  <w:tcW w:w="2877" w:type="pct"/>
                  <w:tcBorders>
                    <w:tl2br w:val="nil"/>
                    <w:tr2bl w:val="nil"/>
                  </w:tcBorders>
                  <w:vAlign w:val="center"/>
                </w:tcPr>
                <w:p w14:paraId="4803583A">
                  <w:pPr>
                    <w:pStyle w:val="49"/>
                    <w:keepNext w:val="0"/>
                    <w:keepLines w:val="0"/>
                    <w:pageBreakBefore w:val="0"/>
                    <w:widowControl w:val="0"/>
                    <w:kinsoku/>
                    <w:wordWrap/>
                    <w:overflowPunct/>
                    <w:topLinePunct w:val="0"/>
                    <w:autoSpaceDE/>
                    <w:autoSpaceDN/>
                    <w:bidi w:val="0"/>
                    <w:adjustRightInd/>
                    <w:snapToGrid w:val="0"/>
                    <w:jc w:val="both"/>
                    <w:textAlignment w:val="auto"/>
                    <w:rPr>
                      <w:rFonts w:hint="eastAsia" w:eastAsia="宋体"/>
                      <w:highlight w:val="none"/>
                      <w:lang w:val="en-US" w:eastAsia="zh-CN"/>
                    </w:rPr>
                  </w:pPr>
                  <w:r>
                    <w:rPr>
                      <w:rFonts w:hint="eastAsia"/>
                      <w:bCs/>
                      <w:highlight w:val="none"/>
                      <w:lang w:val="en-US" w:eastAsia="zh-CN"/>
                    </w:rPr>
                    <w:t>位于厂区中部，占地</w:t>
                  </w:r>
                  <w:r>
                    <w:rPr>
                      <w:rFonts w:hint="eastAsia"/>
                      <w:bCs/>
                      <w:highlight w:val="none"/>
                    </w:rPr>
                    <w:t>面积</w:t>
                  </w:r>
                  <w:r>
                    <w:rPr>
                      <w:rFonts w:hint="eastAsia"/>
                      <w:bCs/>
                      <w:highlight w:val="none"/>
                      <w:lang w:val="en-US" w:eastAsia="zh-CN"/>
                    </w:rPr>
                    <w:t>约656.5</w:t>
                  </w:r>
                  <w:r>
                    <w:rPr>
                      <w:rFonts w:hint="eastAsia"/>
                      <w:bCs/>
                      <w:highlight w:val="none"/>
                    </w:rPr>
                    <w:t>m</w:t>
                  </w:r>
                  <w:r>
                    <w:rPr>
                      <w:rFonts w:hint="eastAsia"/>
                      <w:bCs/>
                      <w:highlight w:val="none"/>
                      <w:vertAlign w:val="superscript"/>
                    </w:rPr>
                    <w:t>2</w:t>
                  </w:r>
                  <w:r>
                    <w:rPr>
                      <w:rFonts w:hint="eastAsia"/>
                      <w:bCs/>
                      <w:highlight w:val="none"/>
                    </w:rPr>
                    <w:t>，</w:t>
                  </w:r>
                  <w:r>
                    <w:rPr>
                      <w:rFonts w:hint="eastAsia"/>
                      <w:bCs/>
                      <w:highlight w:val="none"/>
                      <w:lang w:val="en-US" w:eastAsia="zh-CN"/>
                    </w:rPr>
                    <w:t>钢框架结构，净</w:t>
                  </w:r>
                  <w:r>
                    <w:rPr>
                      <w:rFonts w:hint="eastAsia"/>
                      <w:bCs/>
                      <w:highlight w:val="none"/>
                    </w:rPr>
                    <w:t>高</w:t>
                  </w:r>
                  <w:r>
                    <w:rPr>
                      <w:rFonts w:hint="eastAsia"/>
                      <w:bCs/>
                      <w:highlight w:val="none"/>
                      <w:lang w:val="en-US" w:eastAsia="zh-CN"/>
                    </w:rPr>
                    <w:t>7.7</w:t>
                  </w:r>
                  <w:r>
                    <w:rPr>
                      <w:rFonts w:hint="eastAsia"/>
                      <w:bCs/>
                      <w:highlight w:val="none"/>
                    </w:rPr>
                    <w:t>m，设</w:t>
                  </w:r>
                  <w:r>
                    <w:rPr>
                      <w:rFonts w:hint="eastAsia"/>
                      <w:bCs/>
                      <w:highlight w:val="none"/>
                      <w:lang w:val="en-US" w:eastAsia="zh-CN"/>
                    </w:rPr>
                    <w:t>置</w:t>
                  </w:r>
                  <w:r>
                    <w:rPr>
                      <w:rFonts w:hint="eastAsia"/>
                      <w:bCs/>
                      <w:highlight w:val="none"/>
                    </w:rPr>
                    <w:t>4个加油岛</w:t>
                  </w:r>
                  <w:r>
                    <w:rPr>
                      <w:rFonts w:hint="eastAsia"/>
                      <w:bCs/>
                      <w:highlight w:val="none"/>
                      <w:lang w:eastAsia="zh-CN"/>
                    </w:rPr>
                    <w:t>，</w:t>
                  </w:r>
                  <w:r>
                    <w:rPr>
                      <w:rFonts w:hint="eastAsia"/>
                      <w:bCs/>
                      <w:highlight w:val="none"/>
                      <w:lang w:val="en-US" w:eastAsia="zh-CN"/>
                    </w:rPr>
                    <w:t>2</w:t>
                  </w:r>
                  <w:r>
                    <w:rPr>
                      <w:rFonts w:hint="eastAsia"/>
                      <w:bCs/>
                      <w:highlight w:val="none"/>
                    </w:rPr>
                    <w:t>台</w:t>
                  </w:r>
                  <w:r>
                    <w:rPr>
                      <w:rFonts w:hint="eastAsia"/>
                      <w:bCs/>
                      <w:highlight w:val="none"/>
                      <w:lang w:val="en-US" w:eastAsia="zh-CN"/>
                    </w:rPr>
                    <w:t>双</w:t>
                  </w:r>
                  <w:r>
                    <w:rPr>
                      <w:rFonts w:hint="eastAsia"/>
                      <w:bCs/>
                      <w:highlight w:val="none"/>
                    </w:rPr>
                    <w:t>枪潜油泵加油机</w:t>
                  </w:r>
                  <w:r>
                    <w:rPr>
                      <w:rFonts w:hint="eastAsia"/>
                      <w:bCs/>
                      <w:highlight w:val="none"/>
                      <w:lang w:eastAsia="zh-CN"/>
                    </w:rPr>
                    <w:t>，</w:t>
                  </w:r>
                  <w:r>
                    <w:rPr>
                      <w:rFonts w:hint="eastAsia"/>
                      <w:bCs/>
                      <w:highlight w:val="none"/>
                      <w:lang w:val="en-US" w:eastAsia="zh-CN"/>
                    </w:rPr>
                    <w:t>2台四枪</w:t>
                  </w:r>
                  <w:r>
                    <w:rPr>
                      <w:rFonts w:hint="eastAsia"/>
                      <w:bCs/>
                      <w:highlight w:val="none"/>
                    </w:rPr>
                    <w:t>潜油泵加油机</w:t>
                  </w:r>
                  <w:r>
                    <w:rPr>
                      <w:rFonts w:hint="eastAsia"/>
                      <w:bCs/>
                      <w:highlight w:val="none"/>
                      <w:lang w:eastAsia="zh-CN"/>
                    </w:rPr>
                    <w:t>，</w:t>
                  </w:r>
                  <w:r>
                    <w:rPr>
                      <w:rFonts w:ascii="Times New Roman" w:hAnsi="Times New Roman" w:eastAsia="宋体" w:cs="Times New Roman"/>
                      <w:color w:val="auto"/>
                      <w:kern w:val="0"/>
                      <w:szCs w:val="21"/>
                      <w:highlight w:val="none"/>
                    </w:rPr>
                    <w:t>1</w:t>
                  </w:r>
                  <w:r>
                    <w:rPr>
                      <w:rFonts w:hint="eastAsia" w:cs="Times New Roman"/>
                      <w:color w:val="auto"/>
                      <w:kern w:val="0"/>
                      <w:szCs w:val="21"/>
                      <w:highlight w:val="none"/>
                      <w:lang w:val="en-US" w:eastAsia="zh-CN"/>
                    </w:rPr>
                    <w:t>2</w:t>
                  </w:r>
                  <w:r>
                    <w:rPr>
                      <w:rFonts w:ascii="Times New Roman" w:hAnsi="Times New Roman" w:eastAsia="宋体" w:cs="Times New Roman"/>
                      <w:color w:val="auto"/>
                      <w:kern w:val="0"/>
                      <w:szCs w:val="21"/>
                      <w:highlight w:val="none"/>
                    </w:rPr>
                    <w:t>支加油枪</w:t>
                  </w:r>
                  <w:r>
                    <w:rPr>
                      <w:rFonts w:hint="eastAsia" w:ascii="Times New Roman" w:hAnsi="Times New Roman" w:eastAsia="宋体" w:cs="Times New Roman"/>
                      <w:color w:val="auto"/>
                      <w:kern w:val="0"/>
                      <w:szCs w:val="21"/>
                      <w:highlight w:val="none"/>
                    </w:rPr>
                    <w:t>（92</w:t>
                  </w:r>
                  <w:r>
                    <w:rPr>
                      <w:rFonts w:ascii="Times New Roman" w:hAnsi="Times New Roman" w:eastAsia="宋体" w:cs="Times New Roman"/>
                      <w:color w:val="auto"/>
                      <w:kern w:val="0"/>
                      <w:szCs w:val="21"/>
                      <w:highlight w:val="none"/>
                    </w:rPr>
                    <w:t>#汽油加油枪</w:t>
                  </w:r>
                  <w:r>
                    <w:rPr>
                      <w:rFonts w:hint="eastAsia" w:cs="Times New Roman"/>
                      <w:color w:val="auto"/>
                      <w:kern w:val="0"/>
                      <w:szCs w:val="21"/>
                      <w:highlight w:val="none"/>
                      <w:lang w:val="en-US" w:eastAsia="zh-CN"/>
                    </w:rPr>
                    <w:t>5</w:t>
                  </w:r>
                  <w:r>
                    <w:rPr>
                      <w:rFonts w:ascii="Times New Roman" w:hAnsi="Times New Roman" w:eastAsia="宋体" w:cs="Times New Roman"/>
                      <w:color w:val="auto"/>
                      <w:kern w:val="0"/>
                      <w:szCs w:val="21"/>
                      <w:highlight w:val="none"/>
                    </w:rPr>
                    <w:t>支，</w:t>
                  </w:r>
                  <w:r>
                    <w:rPr>
                      <w:rFonts w:hint="eastAsia" w:ascii="Times New Roman" w:hAnsi="Times New Roman" w:eastAsia="宋体" w:cs="Times New Roman"/>
                      <w:color w:val="auto"/>
                      <w:kern w:val="0"/>
                      <w:szCs w:val="21"/>
                      <w:highlight w:val="none"/>
                    </w:rPr>
                    <w:t>95</w:t>
                  </w:r>
                  <w:r>
                    <w:rPr>
                      <w:rFonts w:ascii="Times New Roman" w:hAnsi="Times New Roman" w:eastAsia="宋体" w:cs="Times New Roman"/>
                      <w:color w:val="auto"/>
                      <w:kern w:val="0"/>
                      <w:szCs w:val="21"/>
                      <w:highlight w:val="none"/>
                    </w:rPr>
                    <w:t>#汽油加油枪</w:t>
                  </w:r>
                  <w:r>
                    <w:rPr>
                      <w:rFonts w:hint="eastAsia" w:cs="Times New Roman"/>
                      <w:color w:val="auto"/>
                      <w:kern w:val="0"/>
                      <w:szCs w:val="21"/>
                      <w:highlight w:val="none"/>
                      <w:lang w:val="en-US" w:eastAsia="zh-CN"/>
                    </w:rPr>
                    <w:t>3</w:t>
                  </w:r>
                  <w:r>
                    <w:rPr>
                      <w:rFonts w:ascii="Times New Roman" w:hAnsi="Times New Roman" w:eastAsia="宋体" w:cs="Times New Roman"/>
                      <w:color w:val="auto"/>
                      <w:kern w:val="0"/>
                      <w:szCs w:val="21"/>
                      <w:highlight w:val="none"/>
                    </w:rPr>
                    <w:t>支</w:t>
                  </w:r>
                  <w:r>
                    <w:rPr>
                      <w:rFonts w:hint="eastAsia" w:ascii="Times New Roman" w:hAnsi="Times New Roman" w:eastAsia="宋体" w:cs="Times New Roman"/>
                      <w:color w:val="auto"/>
                      <w:kern w:val="0"/>
                      <w:szCs w:val="21"/>
                      <w:highlight w:val="none"/>
                      <w:lang w:eastAsia="zh-CN"/>
                    </w:rPr>
                    <w:t>，</w:t>
                  </w:r>
                  <w:r>
                    <w:rPr>
                      <w:rFonts w:hint="eastAsia" w:ascii="Times New Roman" w:hAnsi="Times New Roman" w:eastAsia="宋体" w:cs="Times New Roman"/>
                      <w:color w:val="auto"/>
                      <w:kern w:val="0"/>
                      <w:szCs w:val="21"/>
                      <w:highlight w:val="none"/>
                    </w:rPr>
                    <w:t>0</w:t>
                  </w:r>
                  <w:r>
                    <w:rPr>
                      <w:rFonts w:ascii="Times New Roman" w:hAnsi="Times New Roman" w:eastAsia="宋体" w:cs="Times New Roman"/>
                      <w:color w:val="auto"/>
                      <w:kern w:val="0"/>
                      <w:szCs w:val="21"/>
                      <w:highlight w:val="none"/>
                    </w:rPr>
                    <w:t>#柴油加油枪4支</w:t>
                  </w:r>
                  <w:r>
                    <w:rPr>
                      <w:rFonts w:hint="eastAsia" w:ascii="Times New Roman" w:hAnsi="Times New Roman" w:eastAsia="宋体" w:cs="Times New Roman"/>
                      <w:color w:val="auto"/>
                      <w:kern w:val="0"/>
                      <w:szCs w:val="21"/>
                      <w:highlight w:val="none"/>
                    </w:rPr>
                    <w:t>）</w:t>
                  </w:r>
                </w:p>
              </w:tc>
              <w:tc>
                <w:tcPr>
                  <w:tcW w:w="369" w:type="pct"/>
                  <w:tcBorders>
                    <w:tl2br w:val="nil"/>
                    <w:tr2bl w:val="nil"/>
                  </w:tcBorders>
                  <w:vAlign w:val="center"/>
                </w:tcPr>
                <w:p w14:paraId="32912B13">
                  <w:pPr>
                    <w:pStyle w:val="49"/>
                    <w:keepNext w:val="0"/>
                    <w:keepLines w:val="0"/>
                    <w:pageBreakBefore w:val="0"/>
                    <w:widowControl w:val="0"/>
                    <w:kinsoku/>
                    <w:wordWrap/>
                    <w:overflowPunct/>
                    <w:topLinePunct w:val="0"/>
                    <w:autoSpaceDE/>
                    <w:autoSpaceDN/>
                    <w:bidi w:val="0"/>
                    <w:adjustRightInd/>
                    <w:snapToGrid w:val="0"/>
                    <w:textAlignment w:val="auto"/>
                    <w:rPr>
                      <w:rFonts w:hint="default"/>
                      <w:bCs/>
                      <w:highlight w:val="none"/>
                      <w:lang w:val="en-US" w:eastAsia="zh-CN"/>
                    </w:rPr>
                  </w:pPr>
                  <w:r>
                    <w:rPr>
                      <w:rFonts w:hint="eastAsia"/>
                      <w:bCs/>
                      <w:highlight w:val="none"/>
                      <w:lang w:val="en-US" w:eastAsia="zh-CN"/>
                    </w:rPr>
                    <w:t>新建</w:t>
                  </w:r>
                </w:p>
              </w:tc>
            </w:tr>
            <w:tr w14:paraId="7387FA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8" w:type="pct"/>
                  <w:vMerge w:val="continue"/>
                  <w:tcBorders>
                    <w:tl2br w:val="nil"/>
                    <w:tr2bl w:val="nil"/>
                  </w:tcBorders>
                  <w:vAlign w:val="center"/>
                </w:tcPr>
                <w:p w14:paraId="395DD4BA">
                  <w:pPr>
                    <w:pStyle w:val="49"/>
                    <w:keepNext w:val="0"/>
                    <w:keepLines w:val="0"/>
                    <w:pageBreakBefore w:val="0"/>
                    <w:widowControl w:val="0"/>
                    <w:kinsoku/>
                    <w:wordWrap/>
                    <w:overflowPunct/>
                    <w:topLinePunct w:val="0"/>
                    <w:autoSpaceDE/>
                    <w:autoSpaceDN/>
                    <w:bidi w:val="0"/>
                    <w:adjustRightInd/>
                    <w:snapToGrid w:val="0"/>
                    <w:textAlignment w:val="auto"/>
                    <w:rPr>
                      <w:highlight w:val="none"/>
                    </w:rPr>
                  </w:pPr>
                </w:p>
              </w:tc>
              <w:tc>
                <w:tcPr>
                  <w:tcW w:w="1174" w:type="pct"/>
                  <w:gridSpan w:val="2"/>
                  <w:tcBorders>
                    <w:tl2br w:val="nil"/>
                    <w:tr2bl w:val="nil"/>
                  </w:tcBorders>
                  <w:vAlign w:val="center"/>
                </w:tcPr>
                <w:p w14:paraId="56FC6A25">
                  <w:pPr>
                    <w:pStyle w:val="49"/>
                    <w:keepNext w:val="0"/>
                    <w:keepLines w:val="0"/>
                    <w:pageBreakBefore w:val="0"/>
                    <w:widowControl w:val="0"/>
                    <w:kinsoku/>
                    <w:wordWrap/>
                    <w:overflowPunct/>
                    <w:topLinePunct w:val="0"/>
                    <w:autoSpaceDE/>
                    <w:autoSpaceDN/>
                    <w:bidi w:val="0"/>
                    <w:adjustRightInd/>
                    <w:snapToGrid w:val="0"/>
                    <w:textAlignment w:val="auto"/>
                    <w:rPr>
                      <w:rFonts w:hint="default" w:eastAsia="宋体"/>
                      <w:highlight w:val="none"/>
                      <w:lang w:val="en-US" w:eastAsia="zh-CN"/>
                    </w:rPr>
                  </w:pPr>
                  <w:r>
                    <w:rPr>
                      <w:rFonts w:hint="eastAsia"/>
                      <w:highlight w:val="none"/>
                      <w:lang w:val="en-US" w:eastAsia="zh-CN"/>
                    </w:rPr>
                    <w:t>卸油区</w:t>
                  </w:r>
                </w:p>
              </w:tc>
              <w:tc>
                <w:tcPr>
                  <w:tcW w:w="2877" w:type="pct"/>
                  <w:tcBorders>
                    <w:tl2br w:val="nil"/>
                    <w:tr2bl w:val="nil"/>
                  </w:tcBorders>
                  <w:vAlign w:val="center"/>
                </w:tcPr>
                <w:p w14:paraId="61A4CC84">
                  <w:pPr>
                    <w:pStyle w:val="49"/>
                    <w:keepNext w:val="0"/>
                    <w:keepLines w:val="0"/>
                    <w:pageBreakBefore w:val="0"/>
                    <w:widowControl w:val="0"/>
                    <w:kinsoku/>
                    <w:wordWrap/>
                    <w:overflowPunct/>
                    <w:topLinePunct w:val="0"/>
                    <w:autoSpaceDE/>
                    <w:autoSpaceDN/>
                    <w:bidi w:val="0"/>
                    <w:adjustRightInd/>
                    <w:snapToGrid w:val="0"/>
                    <w:jc w:val="both"/>
                    <w:textAlignment w:val="auto"/>
                    <w:rPr>
                      <w:highlight w:val="none"/>
                    </w:rPr>
                  </w:pPr>
                  <w:r>
                    <w:rPr>
                      <w:rFonts w:hint="eastAsia"/>
                      <w:bCs/>
                      <w:highlight w:val="none"/>
                      <w:lang w:val="en-US" w:eastAsia="zh-CN"/>
                    </w:rPr>
                    <w:t>位于厂区东面，占地面积约90</w:t>
                  </w:r>
                  <w:r>
                    <w:rPr>
                      <w:rFonts w:hint="eastAsia"/>
                      <w:bCs/>
                      <w:highlight w:val="none"/>
                    </w:rPr>
                    <w:t>m</w:t>
                  </w:r>
                  <w:r>
                    <w:rPr>
                      <w:rFonts w:hint="eastAsia"/>
                      <w:bCs/>
                      <w:highlight w:val="none"/>
                      <w:vertAlign w:val="superscript"/>
                    </w:rPr>
                    <w:t>2</w:t>
                  </w:r>
                  <w:r>
                    <w:rPr>
                      <w:rFonts w:hint="eastAsia"/>
                      <w:bCs/>
                      <w:highlight w:val="none"/>
                      <w:lang w:val="en-US" w:eastAsia="zh-CN"/>
                    </w:rPr>
                    <w:t>，</w:t>
                  </w:r>
                  <w:r>
                    <w:rPr>
                      <w:rFonts w:hint="eastAsia"/>
                      <w:bCs/>
                      <w:highlight w:val="none"/>
                    </w:rPr>
                    <w:t>设置</w:t>
                  </w:r>
                  <w:r>
                    <w:rPr>
                      <w:rFonts w:hint="eastAsia"/>
                      <w:bCs/>
                      <w:highlight w:val="none"/>
                      <w:lang w:val="en-US" w:eastAsia="zh-CN"/>
                    </w:rPr>
                    <w:t>5孔密闭</w:t>
                  </w:r>
                  <w:r>
                    <w:rPr>
                      <w:rFonts w:hint="eastAsia"/>
                      <w:bCs/>
                      <w:highlight w:val="none"/>
                    </w:rPr>
                    <w:t>卸油口</w:t>
                  </w:r>
                </w:p>
              </w:tc>
              <w:tc>
                <w:tcPr>
                  <w:tcW w:w="369" w:type="pct"/>
                  <w:tcBorders>
                    <w:tl2br w:val="nil"/>
                    <w:tr2bl w:val="nil"/>
                  </w:tcBorders>
                  <w:vAlign w:val="center"/>
                </w:tcPr>
                <w:p w14:paraId="42A8DB6B">
                  <w:pPr>
                    <w:pStyle w:val="49"/>
                    <w:keepNext w:val="0"/>
                    <w:keepLines w:val="0"/>
                    <w:pageBreakBefore w:val="0"/>
                    <w:widowControl w:val="0"/>
                    <w:kinsoku/>
                    <w:wordWrap/>
                    <w:overflowPunct/>
                    <w:topLinePunct w:val="0"/>
                    <w:autoSpaceDE/>
                    <w:autoSpaceDN/>
                    <w:bidi w:val="0"/>
                    <w:adjustRightInd/>
                    <w:snapToGrid w:val="0"/>
                    <w:textAlignment w:val="auto"/>
                    <w:rPr>
                      <w:rFonts w:hint="default" w:eastAsia="宋体"/>
                      <w:bCs/>
                      <w:highlight w:val="none"/>
                      <w:lang w:val="en-US" w:eastAsia="zh-CN"/>
                    </w:rPr>
                  </w:pPr>
                  <w:r>
                    <w:rPr>
                      <w:rFonts w:hint="eastAsia"/>
                      <w:bCs/>
                      <w:highlight w:val="none"/>
                      <w:lang w:val="en-US" w:eastAsia="zh-CN"/>
                    </w:rPr>
                    <w:t>新建</w:t>
                  </w:r>
                </w:p>
              </w:tc>
            </w:tr>
            <w:tr w14:paraId="6E5BCD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8" w:type="pct"/>
                  <w:vMerge w:val="restart"/>
                  <w:tcBorders>
                    <w:tl2br w:val="nil"/>
                    <w:tr2bl w:val="nil"/>
                  </w:tcBorders>
                  <w:vAlign w:val="center"/>
                </w:tcPr>
                <w:p w14:paraId="29F75170">
                  <w:pPr>
                    <w:pStyle w:val="49"/>
                    <w:keepNext w:val="0"/>
                    <w:keepLines w:val="0"/>
                    <w:pageBreakBefore w:val="0"/>
                    <w:widowControl w:val="0"/>
                    <w:kinsoku/>
                    <w:wordWrap/>
                    <w:overflowPunct/>
                    <w:topLinePunct w:val="0"/>
                    <w:autoSpaceDE/>
                    <w:autoSpaceDN/>
                    <w:bidi w:val="0"/>
                    <w:adjustRightInd/>
                    <w:snapToGrid w:val="0"/>
                    <w:textAlignment w:val="auto"/>
                    <w:rPr>
                      <w:highlight w:val="none"/>
                    </w:rPr>
                  </w:pPr>
                  <w:r>
                    <w:rPr>
                      <w:highlight w:val="none"/>
                    </w:rPr>
                    <w:t>辅助工程</w:t>
                  </w:r>
                </w:p>
              </w:tc>
              <w:tc>
                <w:tcPr>
                  <w:tcW w:w="1174" w:type="pct"/>
                  <w:gridSpan w:val="2"/>
                  <w:tcBorders>
                    <w:tl2br w:val="nil"/>
                    <w:tr2bl w:val="nil"/>
                  </w:tcBorders>
                  <w:vAlign w:val="center"/>
                </w:tcPr>
                <w:p w14:paraId="17CB9210">
                  <w:pPr>
                    <w:pStyle w:val="49"/>
                    <w:keepNext w:val="0"/>
                    <w:keepLines w:val="0"/>
                    <w:pageBreakBefore w:val="0"/>
                    <w:widowControl w:val="0"/>
                    <w:kinsoku/>
                    <w:wordWrap/>
                    <w:overflowPunct/>
                    <w:topLinePunct w:val="0"/>
                    <w:autoSpaceDE/>
                    <w:autoSpaceDN/>
                    <w:bidi w:val="0"/>
                    <w:adjustRightInd/>
                    <w:snapToGrid w:val="0"/>
                    <w:textAlignment w:val="auto"/>
                    <w:rPr>
                      <w:highlight w:val="none"/>
                    </w:rPr>
                  </w:pPr>
                  <w:r>
                    <w:rPr>
                      <w:rFonts w:hint="eastAsia"/>
                      <w:bCs/>
                      <w:highlight w:val="none"/>
                    </w:rPr>
                    <w:t>站房</w:t>
                  </w:r>
                </w:p>
              </w:tc>
              <w:tc>
                <w:tcPr>
                  <w:tcW w:w="2877" w:type="pct"/>
                  <w:tcBorders>
                    <w:tl2br w:val="nil"/>
                    <w:tr2bl w:val="nil"/>
                  </w:tcBorders>
                  <w:vAlign w:val="center"/>
                </w:tcPr>
                <w:p w14:paraId="62D93E87">
                  <w:pPr>
                    <w:pStyle w:val="49"/>
                    <w:keepNext w:val="0"/>
                    <w:keepLines w:val="0"/>
                    <w:pageBreakBefore w:val="0"/>
                    <w:widowControl w:val="0"/>
                    <w:kinsoku/>
                    <w:wordWrap/>
                    <w:overflowPunct/>
                    <w:topLinePunct w:val="0"/>
                    <w:autoSpaceDE/>
                    <w:autoSpaceDN/>
                    <w:bidi w:val="0"/>
                    <w:adjustRightInd/>
                    <w:snapToGrid w:val="0"/>
                    <w:jc w:val="both"/>
                    <w:textAlignment w:val="auto"/>
                    <w:rPr>
                      <w:highlight w:val="none"/>
                    </w:rPr>
                  </w:pPr>
                  <w:r>
                    <w:rPr>
                      <w:rFonts w:hint="eastAsia"/>
                      <w:szCs w:val="21"/>
                      <w:highlight w:val="none"/>
                      <w:lang w:val="en-US" w:eastAsia="zh-CN"/>
                    </w:rPr>
                    <w:t>位于厂区</w:t>
                  </w:r>
                  <w:r>
                    <w:rPr>
                      <w:rFonts w:hint="eastAsia"/>
                      <w:bCs/>
                      <w:highlight w:val="none"/>
                      <w:lang w:val="en-US" w:eastAsia="zh-CN"/>
                    </w:rPr>
                    <w:t>中</w:t>
                  </w:r>
                  <w:r>
                    <w:rPr>
                      <w:rFonts w:hint="eastAsia"/>
                      <w:szCs w:val="21"/>
                      <w:highlight w:val="none"/>
                      <w:lang w:val="en-US" w:eastAsia="zh-CN"/>
                    </w:rPr>
                    <w:t>部，占地面积约368.86</w:t>
                  </w:r>
                  <w:r>
                    <w:rPr>
                      <w:rFonts w:hint="eastAsia"/>
                      <w:bCs/>
                      <w:highlight w:val="none"/>
                    </w:rPr>
                    <w:t>m</w:t>
                  </w:r>
                  <w:r>
                    <w:rPr>
                      <w:rFonts w:hint="eastAsia"/>
                      <w:bCs/>
                      <w:highlight w:val="none"/>
                      <w:vertAlign w:val="superscript"/>
                    </w:rPr>
                    <w:t>2</w:t>
                  </w:r>
                  <w:r>
                    <w:rPr>
                      <w:rFonts w:hint="eastAsia"/>
                      <w:bCs/>
                      <w:highlight w:val="none"/>
                      <w:vertAlign w:val="baseline"/>
                      <w:lang w:eastAsia="zh-CN"/>
                    </w:rPr>
                    <w:t>，</w:t>
                  </w:r>
                  <w:r>
                    <w:rPr>
                      <w:rFonts w:hint="eastAsia"/>
                      <w:bCs/>
                      <w:highlight w:val="none"/>
                      <w:vertAlign w:val="baseline"/>
                      <w:lang w:val="en-US" w:eastAsia="zh-CN"/>
                    </w:rPr>
                    <w:t>钢筋混凝土框架结构</w:t>
                  </w:r>
                  <w:r>
                    <w:rPr>
                      <w:rFonts w:hint="eastAsia"/>
                      <w:bCs/>
                      <w:highlight w:val="none"/>
                    </w:rPr>
                    <w:t>，</w:t>
                  </w:r>
                  <w:r>
                    <w:rPr>
                      <w:rFonts w:hint="eastAsia"/>
                      <w:bCs/>
                      <w:highlight w:val="none"/>
                      <w:lang w:val="en-US" w:eastAsia="zh-CN"/>
                    </w:rPr>
                    <w:t>2F，高7.95</w:t>
                  </w:r>
                  <w:r>
                    <w:rPr>
                      <w:rFonts w:hint="eastAsia"/>
                      <w:bCs/>
                      <w:highlight w:val="none"/>
                    </w:rPr>
                    <w:t>m，建筑面积</w:t>
                  </w:r>
                  <w:r>
                    <w:rPr>
                      <w:rFonts w:hint="eastAsia"/>
                      <w:bCs/>
                      <w:highlight w:val="none"/>
                      <w:lang w:val="en-US" w:eastAsia="zh-CN"/>
                    </w:rPr>
                    <w:t>约737.72</w:t>
                  </w:r>
                  <w:r>
                    <w:rPr>
                      <w:rFonts w:hint="eastAsia"/>
                      <w:bCs/>
                      <w:highlight w:val="none"/>
                    </w:rPr>
                    <w:t>m</w:t>
                  </w:r>
                  <w:r>
                    <w:rPr>
                      <w:rFonts w:hint="eastAsia"/>
                      <w:bCs/>
                      <w:highlight w:val="none"/>
                      <w:vertAlign w:val="superscript"/>
                    </w:rPr>
                    <w:t>2</w:t>
                  </w:r>
                </w:p>
              </w:tc>
              <w:tc>
                <w:tcPr>
                  <w:tcW w:w="369" w:type="pct"/>
                  <w:tcBorders>
                    <w:tl2br w:val="nil"/>
                    <w:tr2bl w:val="nil"/>
                  </w:tcBorders>
                  <w:vAlign w:val="center"/>
                </w:tcPr>
                <w:p w14:paraId="11E49844">
                  <w:pPr>
                    <w:pStyle w:val="49"/>
                    <w:keepNext w:val="0"/>
                    <w:keepLines w:val="0"/>
                    <w:pageBreakBefore w:val="0"/>
                    <w:widowControl w:val="0"/>
                    <w:kinsoku/>
                    <w:wordWrap/>
                    <w:overflowPunct/>
                    <w:topLinePunct w:val="0"/>
                    <w:autoSpaceDE/>
                    <w:autoSpaceDN/>
                    <w:bidi w:val="0"/>
                    <w:adjustRightInd/>
                    <w:snapToGrid w:val="0"/>
                    <w:textAlignment w:val="auto"/>
                    <w:rPr>
                      <w:rFonts w:hint="default"/>
                      <w:szCs w:val="21"/>
                      <w:highlight w:val="none"/>
                      <w:lang w:val="en-US" w:eastAsia="zh-CN"/>
                    </w:rPr>
                  </w:pPr>
                  <w:r>
                    <w:rPr>
                      <w:rFonts w:hint="eastAsia"/>
                      <w:szCs w:val="21"/>
                      <w:highlight w:val="none"/>
                      <w:lang w:val="en-US" w:eastAsia="zh-CN"/>
                    </w:rPr>
                    <w:t>新建</w:t>
                  </w:r>
                </w:p>
              </w:tc>
            </w:tr>
            <w:tr w14:paraId="34A45A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8" w:type="pct"/>
                  <w:vMerge w:val="continue"/>
                  <w:tcBorders>
                    <w:tl2br w:val="nil"/>
                    <w:tr2bl w:val="nil"/>
                  </w:tcBorders>
                  <w:vAlign w:val="center"/>
                </w:tcPr>
                <w:p w14:paraId="7AFB0987">
                  <w:pPr>
                    <w:pStyle w:val="49"/>
                    <w:keepNext w:val="0"/>
                    <w:keepLines w:val="0"/>
                    <w:pageBreakBefore w:val="0"/>
                    <w:widowControl w:val="0"/>
                    <w:kinsoku/>
                    <w:wordWrap/>
                    <w:overflowPunct/>
                    <w:topLinePunct w:val="0"/>
                    <w:autoSpaceDE/>
                    <w:autoSpaceDN/>
                    <w:bidi w:val="0"/>
                    <w:adjustRightInd/>
                    <w:snapToGrid w:val="0"/>
                    <w:textAlignment w:val="auto"/>
                    <w:rPr>
                      <w:highlight w:val="none"/>
                    </w:rPr>
                  </w:pPr>
                </w:p>
              </w:tc>
              <w:tc>
                <w:tcPr>
                  <w:tcW w:w="1174" w:type="pct"/>
                  <w:gridSpan w:val="2"/>
                  <w:tcBorders>
                    <w:tl2br w:val="nil"/>
                    <w:tr2bl w:val="nil"/>
                  </w:tcBorders>
                  <w:vAlign w:val="center"/>
                </w:tcPr>
                <w:p w14:paraId="6A22367C">
                  <w:pPr>
                    <w:pStyle w:val="49"/>
                    <w:keepNext w:val="0"/>
                    <w:keepLines w:val="0"/>
                    <w:pageBreakBefore w:val="0"/>
                    <w:widowControl w:val="0"/>
                    <w:kinsoku/>
                    <w:wordWrap/>
                    <w:overflowPunct/>
                    <w:topLinePunct w:val="0"/>
                    <w:autoSpaceDE/>
                    <w:autoSpaceDN/>
                    <w:bidi w:val="0"/>
                    <w:adjustRightInd/>
                    <w:snapToGrid w:val="0"/>
                    <w:textAlignment w:val="auto"/>
                    <w:rPr>
                      <w:bCs/>
                      <w:highlight w:val="none"/>
                    </w:rPr>
                  </w:pPr>
                  <w:r>
                    <w:rPr>
                      <w:rFonts w:hint="eastAsia"/>
                      <w:bCs/>
                      <w:highlight w:val="none"/>
                    </w:rPr>
                    <w:t>洗车区</w:t>
                  </w:r>
                </w:p>
              </w:tc>
              <w:tc>
                <w:tcPr>
                  <w:tcW w:w="2877" w:type="pct"/>
                  <w:tcBorders>
                    <w:tl2br w:val="nil"/>
                    <w:tr2bl w:val="nil"/>
                  </w:tcBorders>
                  <w:vAlign w:val="center"/>
                </w:tcPr>
                <w:p w14:paraId="0F73F8C8">
                  <w:pPr>
                    <w:pStyle w:val="49"/>
                    <w:keepNext w:val="0"/>
                    <w:keepLines w:val="0"/>
                    <w:pageBreakBefore w:val="0"/>
                    <w:widowControl w:val="0"/>
                    <w:kinsoku/>
                    <w:wordWrap/>
                    <w:overflowPunct/>
                    <w:topLinePunct w:val="0"/>
                    <w:autoSpaceDE/>
                    <w:autoSpaceDN/>
                    <w:bidi w:val="0"/>
                    <w:adjustRightInd/>
                    <w:snapToGrid w:val="0"/>
                    <w:jc w:val="both"/>
                    <w:textAlignment w:val="auto"/>
                    <w:rPr>
                      <w:rFonts w:hint="default" w:eastAsia="宋体"/>
                      <w:highlight w:val="none"/>
                      <w:lang w:val="en-US" w:eastAsia="zh-CN"/>
                    </w:rPr>
                  </w:pPr>
                  <w:r>
                    <w:rPr>
                      <w:rFonts w:hint="eastAsia"/>
                      <w:highlight w:val="none"/>
                      <w:lang w:val="en-US" w:eastAsia="zh-CN"/>
                    </w:rPr>
                    <w:t>位于厂区南面，占地</w:t>
                  </w:r>
                  <w:r>
                    <w:rPr>
                      <w:rFonts w:hint="eastAsia"/>
                      <w:highlight w:val="none"/>
                    </w:rPr>
                    <w:t>面积</w:t>
                  </w:r>
                  <w:r>
                    <w:rPr>
                      <w:rFonts w:hint="eastAsia"/>
                      <w:highlight w:val="none"/>
                      <w:lang w:val="en-US" w:eastAsia="zh-CN"/>
                    </w:rPr>
                    <w:t>约60</w:t>
                  </w:r>
                  <w:r>
                    <w:rPr>
                      <w:rFonts w:hint="eastAsia"/>
                      <w:highlight w:val="none"/>
                    </w:rPr>
                    <w:t>m</w:t>
                  </w:r>
                  <w:r>
                    <w:rPr>
                      <w:rFonts w:hint="eastAsia"/>
                      <w:highlight w:val="none"/>
                      <w:vertAlign w:val="superscript"/>
                    </w:rPr>
                    <w:t>2</w:t>
                  </w:r>
                  <w:r>
                    <w:rPr>
                      <w:rFonts w:hint="eastAsia"/>
                      <w:highlight w:val="none"/>
                    </w:rPr>
                    <w:t>，设</w:t>
                  </w:r>
                  <w:r>
                    <w:rPr>
                      <w:rFonts w:hint="eastAsia"/>
                      <w:highlight w:val="none"/>
                      <w:lang w:val="en-US" w:eastAsia="zh-CN"/>
                    </w:rPr>
                    <w:t>置</w:t>
                  </w:r>
                  <w:r>
                    <w:rPr>
                      <w:rFonts w:hint="eastAsia"/>
                      <w:highlight w:val="none"/>
                    </w:rPr>
                    <w:t>1台全自动洗车机</w:t>
                  </w:r>
                  <w:r>
                    <w:rPr>
                      <w:rFonts w:hint="eastAsia"/>
                      <w:highlight w:val="none"/>
                      <w:lang w:eastAsia="zh-CN"/>
                    </w:rPr>
                    <w:t>，</w:t>
                  </w:r>
                  <w:r>
                    <w:rPr>
                      <w:rFonts w:hint="eastAsia"/>
                      <w:color w:val="1F497D" w:themeColor="text2"/>
                      <w:highlight w:val="none"/>
                      <w:lang w:val="en-US" w:eastAsia="zh-CN"/>
                      <w14:textFill>
                        <w14:solidFill>
                          <w14:schemeClr w14:val="tx2"/>
                        </w14:solidFill>
                      </w14:textFill>
                    </w:rPr>
                    <w:t>用于清洗进站加油车辆，不得清洗油罐车、化学品运输车等危险品运输车辆</w:t>
                  </w:r>
                </w:p>
              </w:tc>
              <w:tc>
                <w:tcPr>
                  <w:tcW w:w="369" w:type="pct"/>
                  <w:tcBorders>
                    <w:tl2br w:val="nil"/>
                    <w:tr2bl w:val="nil"/>
                  </w:tcBorders>
                  <w:vAlign w:val="center"/>
                </w:tcPr>
                <w:p w14:paraId="1B4D87CE">
                  <w:pPr>
                    <w:pStyle w:val="49"/>
                    <w:keepNext w:val="0"/>
                    <w:keepLines w:val="0"/>
                    <w:pageBreakBefore w:val="0"/>
                    <w:widowControl w:val="0"/>
                    <w:kinsoku/>
                    <w:wordWrap/>
                    <w:overflowPunct/>
                    <w:topLinePunct w:val="0"/>
                    <w:autoSpaceDE/>
                    <w:autoSpaceDN/>
                    <w:bidi w:val="0"/>
                    <w:adjustRightInd/>
                    <w:snapToGrid w:val="0"/>
                    <w:textAlignment w:val="auto"/>
                    <w:rPr>
                      <w:rFonts w:hint="default"/>
                      <w:highlight w:val="none"/>
                      <w:lang w:val="en-US" w:eastAsia="zh-CN"/>
                    </w:rPr>
                  </w:pPr>
                  <w:r>
                    <w:rPr>
                      <w:rFonts w:hint="eastAsia"/>
                      <w:highlight w:val="none"/>
                      <w:lang w:val="en-US" w:eastAsia="zh-CN"/>
                    </w:rPr>
                    <w:t>新建</w:t>
                  </w:r>
                </w:p>
              </w:tc>
            </w:tr>
            <w:tr w14:paraId="0399A5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8" w:type="pct"/>
                  <w:vMerge w:val="continue"/>
                  <w:tcBorders>
                    <w:tl2br w:val="nil"/>
                    <w:tr2bl w:val="nil"/>
                  </w:tcBorders>
                  <w:vAlign w:val="center"/>
                </w:tcPr>
                <w:p w14:paraId="7F091DAF">
                  <w:pPr>
                    <w:pStyle w:val="49"/>
                    <w:keepNext w:val="0"/>
                    <w:keepLines w:val="0"/>
                    <w:pageBreakBefore w:val="0"/>
                    <w:widowControl w:val="0"/>
                    <w:kinsoku/>
                    <w:wordWrap/>
                    <w:overflowPunct/>
                    <w:topLinePunct w:val="0"/>
                    <w:autoSpaceDE/>
                    <w:autoSpaceDN/>
                    <w:bidi w:val="0"/>
                    <w:adjustRightInd/>
                    <w:snapToGrid w:val="0"/>
                    <w:textAlignment w:val="auto"/>
                    <w:rPr>
                      <w:highlight w:val="none"/>
                    </w:rPr>
                  </w:pPr>
                </w:p>
              </w:tc>
              <w:tc>
                <w:tcPr>
                  <w:tcW w:w="1174" w:type="pct"/>
                  <w:gridSpan w:val="2"/>
                  <w:tcBorders>
                    <w:tl2br w:val="nil"/>
                    <w:tr2bl w:val="nil"/>
                  </w:tcBorders>
                  <w:vAlign w:val="center"/>
                </w:tcPr>
                <w:p w14:paraId="14D64887">
                  <w:pPr>
                    <w:pStyle w:val="49"/>
                    <w:keepNext w:val="0"/>
                    <w:keepLines w:val="0"/>
                    <w:pageBreakBefore w:val="0"/>
                    <w:widowControl w:val="0"/>
                    <w:kinsoku/>
                    <w:wordWrap/>
                    <w:overflowPunct/>
                    <w:topLinePunct w:val="0"/>
                    <w:autoSpaceDE/>
                    <w:autoSpaceDN/>
                    <w:bidi w:val="0"/>
                    <w:adjustRightInd/>
                    <w:snapToGrid w:val="0"/>
                    <w:textAlignment w:val="auto"/>
                    <w:rPr>
                      <w:bCs/>
                      <w:highlight w:val="none"/>
                    </w:rPr>
                  </w:pPr>
                  <w:r>
                    <w:rPr>
                      <w:rFonts w:hint="eastAsia"/>
                      <w:bCs/>
                      <w:highlight w:val="none"/>
                    </w:rPr>
                    <w:t>充电区</w:t>
                  </w:r>
                </w:p>
              </w:tc>
              <w:tc>
                <w:tcPr>
                  <w:tcW w:w="2877" w:type="pct"/>
                  <w:tcBorders>
                    <w:tl2br w:val="nil"/>
                    <w:tr2bl w:val="nil"/>
                  </w:tcBorders>
                  <w:vAlign w:val="center"/>
                </w:tcPr>
                <w:p w14:paraId="1716CC39">
                  <w:pPr>
                    <w:pStyle w:val="49"/>
                    <w:keepNext w:val="0"/>
                    <w:keepLines w:val="0"/>
                    <w:pageBreakBefore w:val="0"/>
                    <w:widowControl w:val="0"/>
                    <w:kinsoku/>
                    <w:wordWrap/>
                    <w:overflowPunct/>
                    <w:topLinePunct w:val="0"/>
                    <w:autoSpaceDE/>
                    <w:autoSpaceDN/>
                    <w:bidi w:val="0"/>
                    <w:adjustRightInd/>
                    <w:snapToGrid w:val="0"/>
                    <w:jc w:val="both"/>
                    <w:textAlignment w:val="auto"/>
                    <w:rPr>
                      <w:highlight w:val="none"/>
                    </w:rPr>
                  </w:pPr>
                  <w:r>
                    <w:rPr>
                      <w:rFonts w:hint="eastAsia"/>
                      <w:highlight w:val="none"/>
                      <w:lang w:val="en-US" w:eastAsia="zh-CN"/>
                    </w:rPr>
                    <w:t>位于厂区西面，占地面积约508.75</w:t>
                  </w:r>
                  <w:r>
                    <w:rPr>
                      <w:rFonts w:hint="eastAsia"/>
                      <w:highlight w:val="none"/>
                    </w:rPr>
                    <w:t>m</w:t>
                  </w:r>
                  <w:r>
                    <w:rPr>
                      <w:rFonts w:hint="eastAsia"/>
                      <w:highlight w:val="none"/>
                      <w:vertAlign w:val="superscript"/>
                    </w:rPr>
                    <w:t>2</w:t>
                  </w:r>
                  <w:r>
                    <w:rPr>
                      <w:rFonts w:hint="eastAsia"/>
                      <w:highlight w:val="none"/>
                    </w:rPr>
                    <w:t>，</w:t>
                  </w:r>
                  <w:r>
                    <w:rPr>
                      <w:rFonts w:hint="eastAsia"/>
                      <w:bCs/>
                      <w:highlight w:val="none"/>
                      <w:lang w:val="en-US" w:eastAsia="zh-CN"/>
                    </w:rPr>
                    <w:t>钢框架结构</w:t>
                  </w:r>
                  <w:r>
                    <w:rPr>
                      <w:rFonts w:hint="eastAsia"/>
                      <w:highlight w:val="none"/>
                      <w:lang w:val="en-US" w:eastAsia="zh-CN"/>
                    </w:rPr>
                    <w:t>，1F，建筑面积约508.75</w:t>
                  </w:r>
                  <w:r>
                    <w:rPr>
                      <w:rFonts w:hint="eastAsia"/>
                      <w:highlight w:val="none"/>
                    </w:rPr>
                    <w:t>m</w:t>
                  </w:r>
                  <w:r>
                    <w:rPr>
                      <w:rFonts w:hint="eastAsia"/>
                      <w:highlight w:val="none"/>
                      <w:vertAlign w:val="superscript"/>
                    </w:rPr>
                    <w:t>2</w:t>
                  </w:r>
                  <w:r>
                    <w:rPr>
                      <w:rFonts w:hint="eastAsia"/>
                      <w:highlight w:val="none"/>
                    </w:rPr>
                    <w:t>，</w:t>
                  </w:r>
                  <w:r>
                    <w:rPr>
                      <w:rFonts w:hint="eastAsia"/>
                      <w:highlight w:val="none"/>
                      <w:lang w:val="en-US" w:eastAsia="zh-CN"/>
                    </w:rPr>
                    <w:t>设</w:t>
                  </w:r>
                  <w:r>
                    <w:rPr>
                      <w:rFonts w:hint="eastAsia"/>
                      <w:bCs/>
                      <w:highlight w:val="none"/>
                      <w:lang w:val="en-US" w:eastAsia="zh-CN"/>
                    </w:rPr>
                    <w:t>置33</w:t>
                  </w:r>
                  <w:r>
                    <w:rPr>
                      <w:rFonts w:hint="eastAsia"/>
                      <w:highlight w:val="none"/>
                      <w:lang w:val="en-US" w:eastAsia="zh-CN"/>
                    </w:rPr>
                    <w:t>个充电车位</w:t>
                  </w:r>
                </w:p>
              </w:tc>
              <w:tc>
                <w:tcPr>
                  <w:tcW w:w="369" w:type="pct"/>
                  <w:tcBorders>
                    <w:tl2br w:val="nil"/>
                    <w:tr2bl w:val="nil"/>
                  </w:tcBorders>
                  <w:vAlign w:val="center"/>
                </w:tcPr>
                <w:p w14:paraId="7FFD5B6F">
                  <w:pPr>
                    <w:pStyle w:val="49"/>
                    <w:keepNext w:val="0"/>
                    <w:keepLines w:val="0"/>
                    <w:pageBreakBefore w:val="0"/>
                    <w:widowControl w:val="0"/>
                    <w:kinsoku/>
                    <w:wordWrap/>
                    <w:overflowPunct/>
                    <w:topLinePunct w:val="0"/>
                    <w:autoSpaceDE/>
                    <w:autoSpaceDN/>
                    <w:bidi w:val="0"/>
                    <w:adjustRightInd/>
                    <w:snapToGrid w:val="0"/>
                    <w:textAlignment w:val="auto"/>
                    <w:rPr>
                      <w:rFonts w:hint="default"/>
                      <w:highlight w:val="none"/>
                      <w:lang w:val="en-US" w:eastAsia="zh-CN"/>
                    </w:rPr>
                  </w:pPr>
                  <w:r>
                    <w:rPr>
                      <w:rFonts w:hint="eastAsia"/>
                      <w:highlight w:val="none"/>
                      <w:lang w:val="en-US" w:eastAsia="zh-CN"/>
                    </w:rPr>
                    <w:t>新建</w:t>
                  </w:r>
                </w:p>
              </w:tc>
            </w:tr>
            <w:tr w14:paraId="0B64B8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8" w:type="pct"/>
                  <w:tcBorders>
                    <w:tl2br w:val="nil"/>
                    <w:tr2bl w:val="nil"/>
                  </w:tcBorders>
                  <w:vAlign w:val="center"/>
                </w:tcPr>
                <w:p w14:paraId="63A2EE79">
                  <w:pPr>
                    <w:pStyle w:val="49"/>
                    <w:keepNext w:val="0"/>
                    <w:keepLines w:val="0"/>
                    <w:pageBreakBefore w:val="0"/>
                    <w:widowControl w:val="0"/>
                    <w:kinsoku/>
                    <w:wordWrap/>
                    <w:overflowPunct/>
                    <w:topLinePunct w:val="0"/>
                    <w:autoSpaceDE/>
                    <w:autoSpaceDN/>
                    <w:bidi w:val="0"/>
                    <w:adjustRightInd/>
                    <w:snapToGrid w:val="0"/>
                    <w:textAlignment w:val="auto"/>
                    <w:rPr>
                      <w:highlight w:val="none"/>
                    </w:rPr>
                  </w:pPr>
                  <w:r>
                    <w:rPr>
                      <w:rFonts w:hint="eastAsia"/>
                      <w:highlight w:val="none"/>
                    </w:rPr>
                    <w:t>储运</w:t>
                  </w:r>
                  <w:r>
                    <w:rPr>
                      <w:highlight w:val="none"/>
                    </w:rPr>
                    <w:t>工程</w:t>
                  </w:r>
                </w:p>
              </w:tc>
              <w:tc>
                <w:tcPr>
                  <w:tcW w:w="1174" w:type="pct"/>
                  <w:gridSpan w:val="2"/>
                  <w:tcBorders>
                    <w:tl2br w:val="nil"/>
                    <w:tr2bl w:val="nil"/>
                  </w:tcBorders>
                  <w:vAlign w:val="center"/>
                </w:tcPr>
                <w:p w14:paraId="120DC7C2">
                  <w:pPr>
                    <w:pStyle w:val="49"/>
                    <w:keepNext w:val="0"/>
                    <w:keepLines w:val="0"/>
                    <w:pageBreakBefore w:val="0"/>
                    <w:widowControl w:val="0"/>
                    <w:kinsoku/>
                    <w:wordWrap/>
                    <w:overflowPunct/>
                    <w:topLinePunct w:val="0"/>
                    <w:autoSpaceDE/>
                    <w:autoSpaceDN/>
                    <w:bidi w:val="0"/>
                    <w:adjustRightInd/>
                    <w:snapToGrid w:val="0"/>
                    <w:textAlignment w:val="auto"/>
                    <w:rPr>
                      <w:rFonts w:hint="eastAsia"/>
                      <w:bCs/>
                      <w:highlight w:val="none"/>
                    </w:rPr>
                  </w:pPr>
                  <w:r>
                    <w:rPr>
                      <w:rFonts w:hint="eastAsia"/>
                      <w:highlight w:val="none"/>
                      <w:lang w:val="en-US" w:eastAsia="zh-CN"/>
                    </w:rPr>
                    <w:t>储</w:t>
                  </w:r>
                  <w:r>
                    <w:rPr>
                      <w:rFonts w:hint="eastAsia"/>
                      <w:highlight w:val="none"/>
                    </w:rPr>
                    <w:t>罐区</w:t>
                  </w:r>
                </w:p>
              </w:tc>
              <w:tc>
                <w:tcPr>
                  <w:tcW w:w="2877" w:type="pct"/>
                  <w:tcBorders>
                    <w:tl2br w:val="nil"/>
                    <w:tr2bl w:val="nil"/>
                  </w:tcBorders>
                  <w:vAlign w:val="center"/>
                </w:tcPr>
                <w:p w14:paraId="67276F16">
                  <w:pPr>
                    <w:pStyle w:val="49"/>
                    <w:keepNext w:val="0"/>
                    <w:keepLines w:val="0"/>
                    <w:pageBreakBefore w:val="0"/>
                    <w:widowControl w:val="0"/>
                    <w:kinsoku/>
                    <w:wordWrap/>
                    <w:overflowPunct/>
                    <w:topLinePunct w:val="0"/>
                    <w:autoSpaceDE/>
                    <w:autoSpaceDN/>
                    <w:bidi w:val="0"/>
                    <w:adjustRightInd/>
                    <w:snapToGrid w:val="0"/>
                    <w:jc w:val="both"/>
                    <w:textAlignment w:val="auto"/>
                    <w:rPr>
                      <w:rFonts w:hint="default" w:eastAsia="宋体"/>
                      <w:bCs/>
                      <w:highlight w:val="none"/>
                      <w:lang w:val="en-US" w:eastAsia="zh-CN"/>
                    </w:rPr>
                  </w:pPr>
                  <w:r>
                    <w:rPr>
                      <w:rFonts w:hint="eastAsia"/>
                      <w:highlight w:val="none"/>
                      <w:lang w:val="en-US" w:eastAsia="zh-CN"/>
                    </w:rPr>
                    <w:t>位于厂区中部，占地面积约144</w:t>
                  </w:r>
                  <w:r>
                    <w:rPr>
                      <w:rFonts w:hint="eastAsia"/>
                      <w:highlight w:val="none"/>
                    </w:rPr>
                    <w:t>m</w:t>
                  </w:r>
                  <w:r>
                    <w:rPr>
                      <w:rFonts w:hint="eastAsia"/>
                      <w:highlight w:val="none"/>
                      <w:vertAlign w:val="superscript"/>
                    </w:rPr>
                    <w:t>2</w:t>
                  </w:r>
                  <w:r>
                    <w:rPr>
                      <w:rFonts w:hint="eastAsia"/>
                      <w:highlight w:val="none"/>
                      <w:lang w:val="en-US" w:eastAsia="zh-CN"/>
                    </w:rPr>
                    <w:t>，</w:t>
                  </w:r>
                  <w:r>
                    <w:rPr>
                      <w:rFonts w:hint="eastAsia"/>
                      <w:highlight w:val="none"/>
                    </w:rPr>
                    <w:t>埋地</w:t>
                  </w:r>
                  <w:r>
                    <w:rPr>
                      <w:rFonts w:hint="eastAsia"/>
                      <w:highlight w:val="none"/>
                      <w:lang w:val="en-US" w:eastAsia="zh-CN"/>
                    </w:rPr>
                    <w:t>卧式</w:t>
                  </w:r>
                  <w:r>
                    <w:rPr>
                      <w:rFonts w:hint="eastAsia"/>
                      <w:highlight w:val="none"/>
                    </w:rPr>
                    <w:t>设置1</w:t>
                  </w:r>
                  <w:r>
                    <w:rPr>
                      <w:rFonts w:hint="eastAsia"/>
                      <w:highlight w:val="none"/>
                      <w:lang w:val="en-US" w:eastAsia="zh-CN"/>
                    </w:rPr>
                    <w:t>座30</w:t>
                  </w:r>
                  <w:r>
                    <w:rPr>
                      <w:rFonts w:hint="eastAsia"/>
                      <w:highlight w:val="none"/>
                    </w:rPr>
                    <w:t>m</w:t>
                  </w:r>
                  <w:r>
                    <w:rPr>
                      <w:rFonts w:hint="eastAsia"/>
                      <w:highlight w:val="none"/>
                      <w:vertAlign w:val="superscript"/>
                    </w:rPr>
                    <w:t>3</w:t>
                  </w:r>
                  <w:r>
                    <w:rPr>
                      <w:rFonts w:hint="eastAsia"/>
                      <w:highlight w:val="none"/>
                    </w:rPr>
                    <w:t>9</w:t>
                  </w:r>
                  <w:r>
                    <w:rPr>
                      <w:rFonts w:hint="eastAsia"/>
                      <w:highlight w:val="none"/>
                      <w:lang w:val="en-US" w:eastAsia="zh-CN"/>
                    </w:rPr>
                    <w:t>2</w:t>
                  </w:r>
                  <w:r>
                    <w:rPr>
                      <w:rFonts w:hint="eastAsia"/>
                      <w:highlight w:val="none"/>
                    </w:rPr>
                    <w:t>#汽油罐，1</w:t>
                  </w:r>
                  <w:r>
                    <w:rPr>
                      <w:rFonts w:hint="eastAsia"/>
                      <w:highlight w:val="none"/>
                      <w:lang w:val="en-US" w:eastAsia="zh-CN"/>
                    </w:rPr>
                    <w:t>座</w:t>
                  </w:r>
                  <w:r>
                    <w:rPr>
                      <w:rFonts w:hint="eastAsia"/>
                      <w:highlight w:val="none"/>
                    </w:rPr>
                    <w:t>30m</w:t>
                  </w:r>
                  <w:r>
                    <w:rPr>
                      <w:rFonts w:hint="eastAsia"/>
                      <w:highlight w:val="none"/>
                      <w:vertAlign w:val="superscript"/>
                    </w:rPr>
                    <w:t>3</w:t>
                  </w:r>
                  <w:r>
                    <w:rPr>
                      <w:rFonts w:hint="eastAsia"/>
                      <w:highlight w:val="none"/>
                    </w:rPr>
                    <w:t>9</w:t>
                  </w:r>
                  <w:r>
                    <w:rPr>
                      <w:rFonts w:hint="eastAsia"/>
                      <w:highlight w:val="none"/>
                      <w:lang w:val="en-US" w:eastAsia="zh-CN"/>
                    </w:rPr>
                    <w:t>5</w:t>
                  </w:r>
                  <w:r>
                    <w:rPr>
                      <w:rFonts w:hint="eastAsia"/>
                      <w:highlight w:val="none"/>
                    </w:rPr>
                    <w:t>#汽油罐</w:t>
                  </w:r>
                  <w:r>
                    <w:rPr>
                      <w:rFonts w:hint="eastAsia"/>
                      <w:highlight w:val="none"/>
                      <w:lang w:eastAsia="zh-CN"/>
                    </w:rPr>
                    <w:t>，</w:t>
                  </w:r>
                  <w:r>
                    <w:rPr>
                      <w:rFonts w:hint="eastAsia"/>
                      <w:highlight w:val="none"/>
                      <w:lang w:val="en-US" w:eastAsia="zh-CN"/>
                    </w:rPr>
                    <w:t>2座</w:t>
                  </w:r>
                  <w:r>
                    <w:rPr>
                      <w:rFonts w:hint="eastAsia"/>
                      <w:highlight w:val="none"/>
                    </w:rPr>
                    <w:t>50m</w:t>
                  </w:r>
                  <w:r>
                    <w:rPr>
                      <w:rFonts w:hint="eastAsia"/>
                      <w:highlight w:val="none"/>
                      <w:vertAlign w:val="superscript"/>
                    </w:rPr>
                    <w:t>3</w:t>
                  </w:r>
                  <w:r>
                    <w:rPr>
                      <w:rFonts w:hint="eastAsia"/>
                      <w:highlight w:val="none"/>
                      <w:lang w:val="en-US" w:eastAsia="zh-CN"/>
                    </w:rPr>
                    <w:t>0</w:t>
                  </w:r>
                  <w:r>
                    <w:rPr>
                      <w:rFonts w:hint="eastAsia"/>
                      <w:highlight w:val="none"/>
                    </w:rPr>
                    <w:t>#</w:t>
                  </w:r>
                  <w:r>
                    <w:rPr>
                      <w:rFonts w:hint="eastAsia"/>
                      <w:highlight w:val="none"/>
                      <w:lang w:val="en-US" w:eastAsia="zh-CN"/>
                    </w:rPr>
                    <w:t>柴油</w:t>
                  </w:r>
                  <w:r>
                    <w:rPr>
                      <w:rFonts w:hint="eastAsia"/>
                      <w:highlight w:val="none"/>
                    </w:rPr>
                    <w:t>罐</w:t>
                  </w:r>
                  <w:r>
                    <w:rPr>
                      <w:rFonts w:hint="eastAsia"/>
                      <w:highlight w:val="none"/>
                      <w:lang w:eastAsia="zh-CN"/>
                    </w:rPr>
                    <w:t>，</w:t>
                  </w:r>
                  <w:r>
                    <w:rPr>
                      <w:rFonts w:hint="eastAsia"/>
                      <w:color w:val="FF0000"/>
                      <w:highlight w:val="none"/>
                      <w:lang w:val="en-US" w:eastAsia="zh-CN"/>
                    </w:rPr>
                    <w:t>每座油罐设置一根9.7m高排气管</w:t>
                  </w:r>
                </w:p>
              </w:tc>
              <w:tc>
                <w:tcPr>
                  <w:tcW w:w="369" w:type="pct"/>
                  <w:tcBorders>
                    <w:tl2br w:val="nil"/>
                    <w:tr2bl w:val="nil"/>
                  </w:tcBorders>
                  <w:vAlign w:val="center"/>
                </w:tcPr>
                <w:p w14:paraId="2AA56224">
                  <w:pPr>
                    <w:pStyle w:val="49"/>
                    <w:keepNext w:val="0"/>
                    <w:keepLines w:val="0"/>
                    <w:pageBreakBefore w:val="0"/>
                    <w:widowControl w:val="0"/>
                    <w:kinsoku/>
                    <w:wordWrap/>
                    <w:overflowPunct/>
                    <w:topLinePunct w:val="0"/>
                    <w:autoSpaceDE/>
                    <w:autoSpaceDN/>
                    <w:bidi w:val="0"/>
                    <w:adjustRightInd/>
                    <w:snapToGrid w:val="0"/>
                    <w:textAlignment w:val="auto"/>
                    <w:rPr>
                      <w:rFonts w:hint="eastAsia" w:eastAsia="宋体"/>
                      <w:bCs/>
                      <w:highlight w:val="none"/>
                      <w:lang w:val="en-US" w:eastAsia="zh-CN"/>
                    </w:rPr>
                  </w:pPr>
                  <w:r>
                    <w:rPr>
                      <w:rFonts w:hint="eastAsia"/>
                      <w:bCs/>
                      <w:highlight w:val="none"/>
                      <w:lang w:val="en-US" w:eastAsia="zh-CN"/>
                    </w:rPr>
                    <w:t>新建</w:t>
                  </w:r>
                </w:p>
              </w:tc>
            </w:tr>
            <w:tr w14:paraId="4C3E88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8" w:type="pct"/>
                  <w:vMerge w:val="restart"/>
                  <w:tcBorders>
                    <w:tl2br w:val="nil"/>
                    <w:tr2bl w:val="nil"/>
                  </w:tcBorders>
                  <w:vAlign w:val="center"/>
                </w:tcPr>
                <w:p w14:paraId="12FD7C0B">
                  <w:pPr>
                    <w:pStyle w:val="49"/>
                    <w:keepNext w:val="0"/>
                    <w:keepLines w:val="0"/>
                    <w:pageBreakBefore w:val="0"/>
                    <w:widowControl w:val="0"/>
                    <w:kinsoku/>
                    <w:wordWrap/>
                    <w:overflowPunct/>
                    <w:topLinePunct w:val="0"/>
                    <w:autoSpaceDE/>
                    <w:autoSpaceDN/>
                    <w:bidi w:val="0"/>
                    <w:adjustRightInd/>
                    <w:snapToGrid w:val="0"/>
                    <w:textAlignment w:val="auto"/>
                    <w:rPr>
                      <w:highlight w:val="none"/>
                    </w:rPr>
                  </w:pPr>
                  <w:r>
                    <w:rPr>
                      <w:highlight w:val="none"/>
                    </w:rPr>
                    <w:t>公用工程</w:t>
                  </w:r>
                </w:p>
              </w:tc>
              <w:tc>
                <w:tcPr>
                  <w:tcW w:w="1174" w:type="pct"/>
                  <w:gridSpan w:val="2"/>
                  <w:tcBorders>
                    <w:tl2br w:val="nil"/>
                    <w:tr2bl w:val="nil"/>
                  </w:tcBorders>
                  <w:vAlign w:val="center"/>
                </w:tcPr>
                <w:p w14:paraId="1427DB84">
                  <w:pPr>
                    <w:pStyle w:val="49"/>
                    <w:keepNext w:val="0"/>
                    <w:keepLines w:val="0"/>
                    <w:pageBreakBefore w:val="0"/>
                    <w:widowControl w:val="0"/>
                    <w:kinsoku/>
                    <w:wordWrap/>
                    <w:overflowPunct/>
                    <w:topLinePunct w:val="0"/>
                    <w:autoSpaceDE/>
                    <w:autoSpaceDN/>
                    <w:bidi w:val="0"/>
                    <w:adjustRightInd/>
                    <w:snapToGrid w:val="0"/>
                    <w:textAlignment w:val="auto"/>
                    <w:rPr>
                      <w:rFonts w:hint="eastAsia" w:eastAsia="宋体"/>
                      <w:highlight w:val="none"/>
                      <w:lang w:val="en-US" w:eastAsia="zh-CN"/>
                    </w:rPr>
                  </w:pPr>
                  <w:r>
                    <w:rPr>
                      <w:rFonts w:hint="eastAsia"/>
                      <w:highlight w:val="none"/>
                      <w:lang w:val="en-US" w:eastAsia="zh-CN"/>
                    </w:rPr>
                    <w:t>供</w:t>
                  </w:r>
                  <w:r>
                    <w:rPr>
                      <w:highlight w:val="none"/>
                    </w:rPr>
                    <w:t>水</w:t>
                  </w:r>
                  <w:r>
                    <w:rPr>
                      <w:rFonts w:hint="eastAsia"/>
                      <w:highlight w:val="none"/>
                      <w:lang w:val="en-US" w:eastAsia="zh-CN"/>
                    </w:rPr>
                    <w:t>系统</w:t>
                  </w:r>
                </w:p>
              </w:tc>
              <w:tc>
                <w:tcPr>
                  <w:tcW w:w="2877" w:type="pct"/>
                  <w:tcBorders>
                    <w:tl2br w:val="nil"/>
                    <w:tr2bl w:val="nil"/>
                  </w:tcBorders>
                  <w:vAlign w:val="center"/>
                </w:tcPr>
                <w:p w14:paraId="13604CBA">
                  <w:pPr>
                    <w:pStyle w:val="49"/>
                    <w:keepNext w:val="0"/>
                    <w:keepLines w:val="0"/>
                    <w:pageBreakBefore w:val="0"/>
                    <w:widowControl w:val="0"/>
                    <w:kinsoku/>
                    <w:wordWrap/>
                    <w:overflowPunct/>
                    <w:topLinePunct w:val="0"/>
                    <w:autoSpaceDE/>
                    <w:autoSpaceDN/>
                    <w:bidi w:val="0"/>
                    <w:adjustRightInd/>
                    <w:snapToGrid w:val="0"/>
                    <w:jc w:val="both"/>
                    <w:textAlignment w:val="auto"/>
                    <w:rPr>
                      <w:rFonts w:hint="eastAsia" w:eastAsia="宋体"/>
                      <w:highlight w:val="none"/>
                      <w:lang w:val="en-US" w:eastAsia="zh-CN"/>
                    </w:rPr>
                  </w:pPr>
                  <w:r>
                    <w:rPr>
                      <w:highlight w:val="none"/>
                    </w:rPr>
                    <w:t>由</w:t>
                  </w:r>
                  <w:r>
                    <w:rPr>
                      <w:rFonts w:hint="eastAsia"/>
                      <w:highlight w:val="none"/>
                      <w:lang w:val="en-US" w:eastAsia="zh-CN"/>
                    </w:rPr>
                    <w:t>柴桑区</w:t>
                  </w:r>
                  <w:r>
                    <w:rPr>
                      <w:highlight w:val="none"/>
                    </w:rPr>
                    <w:t>市政</w:t>
                  </w:r>
                  <w:r>
                    <w:rPr>
                      <w:rFonts w:hint="eastAsia"/>
                      <w:highlight w:val="none"/>
                    </w:rPr>
                    <w:t>供水管网</w:t>
                  </w:r>
                  <w:r>
                    <w:rPr>
                      <w:highlight w:val="none"/>
                    </w:rPr>
                    <w:t>供</w:t>
                  </w:r>
                  <w:r>
                    <w:rPr>
                      <w:rFonts w:hint="eastAsia"/>
                      <w:highlight w:val="none"/>
                      <w:lang w:val="en-US" w:eastAsia="zh-CN"/>
                    </w:rPr>
                    <w:t>给</w:t>
                  </w:r>
                </w:p>
              </w:tc>
              <w:tc>
                <w:tcPr>
                  <w:tcW w:w="369" w:type="pct"/>
                  <w:tcBorders>
                    <w:tl2br w:val="nil"/>
                    <w:tr2bl w:val="nil"/>
                  </w:tcBorders>
                  <w:vAlign w:val="center"/>
                </w:tcPr>
                <w:p w14:paraId="2864165C">
                  <w:pPr>
                    <w:pStyle w:val="49"/>
                    <w:keepNext w:val="0"/>
                    <w:keepLines w:val="0"/>
                    <w:pageBreakBefore w:val="0"/>
                    <w:widowControl w:val="0"/>
                    <w:kinsoku/>
                    <w:wordWrap/>
                    <w:overflowPunct/>
                    <w:topLinePunct w:val="0"/>
                    <w:autoSpaceDE/>
                    <w:autoSpaceDN/>
                    <w:bidi w:val="0"/>
                    <w:adjustRightInd/>
                    <w:snapToGrid w:val="0"/>
                    <w:textAlignment w:val="auto"/>
                    <w:rPr>
                      <w:rFonts w:hint="eastAsia" w:eastAsia="宋体"/>
                      <w:highlight w:val="none"/>
                      <w:lang w:val="en-US" w:eastAsia="zh-CN"/>
                    </w:rPr>
                  </w:pPr>
                  <w:r>
                    <w:rPr>
                      <w:rFonts w:hint="eastAsia"/>
                      <w:highlight w:val="none"/>
                      <w:lang w:val="en-US" w:eastAsia="zh-CN"/>
                    </w:rPr>
                    <w:t>新建</w:t>
                  </w:r>
                </w:p>
              </w:tc>
            </w:tr>
            <w:tr w14:paraId="1993A3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8" w:type="pct"/>
                  <w:vMerge w:val="continue"/>
                  <w:tcBorders>
                    <w:tl2br w:val="nil"/>
                    <w:tr2bl w:val="nil"/>
                  </w:tcBorders>
                  <w:vAlign w:val="center"/>
                </w:tcPr>
                <w:p w14:paraId="27264541">
                  <w:pPr>
                    <w:pStyle w:val="49"/>
                    <w:keepNext w:val="0"/>
                    <w:keepLines w:val="0"/>
                    <w:pageBreakBefore w:val="0"/>
                    <w:widowControl w:val="0"/>
                    <w:kinsoku/>
                    <w:wordWrap/>
                    <w:overflowPunct/>
                    <w:topLinePunct w:val="0"/>
                    <w:autoSpaceDE/>
                    <w:autoSpaceDN/>
                    <w:bidi w:val="0"/>
                    <w:adjustRightInd/>
                    <w:snapToGrid w:val="0"/>
                    <w:textAlignment w:val="auto"/>
                    <w:rPr>
                      <w:highlight w:val="none"/>
                    </w:rPr>
                  </w:pPr>
                </w:p>
              </w:tc>
              <w:tc>
                <w:tcPr>
                  <w:tcW w:w="1174" w:type="pct"/>
                  <w:gridSpan w:val="2"/>
                  <w:tcBorders>
                    <w:tl2br w:val="nil"/>
                    <w:tr2bl w:val="nil"/>
                  </w:tcBorders>
                  <w:vAlign w:val="center"/>
                </w:tcPr>
                <w:p w14:paraId="22AFF414">
                  <w:pPr>
                    <w:pStyle w:val="49"/>
                    <w:keepNext w:val="0"/>
                    <w:keepLines w:val="0"/>
                    <w:pageBreakBefore w:val="0"/>
                    <w:widowControl w:val="0"/>
                    <w:kinsoku/>
                    <w:wordWrap/>
                    <w:overflowPunct/>
                    <w:topLinePunct w:val="0"/>
                    <w:autoSpaceDE/>
                    <w:autoSpaceDN/>
                    <w:bidi w:val="0"/>
                    <w:adjustRightInd/>
                    <w:snapToGrid w:val="0"/>
                    <w:textAlignment w:val="auto"/>
                    <w:rPr>
                      <w:rFonts w:hint="eastAsia" w:eastAsia="宋体"/>
                      <w:highlight w:val="none"/>
                      <w:lang w:val="en-US" w:eastAsia="zh-CN"/>
                    </w:rPr>
                  </w:pPr>
                  <w:r>
                    <w:rPr>
                      <w:highlight w:val="none"/>
                    </w:rPr>
                    <w:t>供电</w:t>
                  </w:r>
                  <w:r>
                    <w:rPr>
                      <w:rFonts w:hint="eastAsia"/>
                      <w:highlight w:val="none"/>
                      <w:lang w:val="en-US" w:eastAsia="zh-CN"/>
                    </w:rPr>
                    <w:t>系统</w:t>
                  </w:r>
                </w:p>
              </w:tc>
              <w:tc>
                <w:tcPr>
                  <w:tcW w:w="2877" w:type="pct"/>
                  <w:tcBorders>
                    <w:tl2br w:val="nil"/>
                    <w:tr2bl w:val="nil"/>
                  </w:tcBorders>
                  <w:vAlign w:val="center"/>
                </w:tcPr>
                <w:p w14:paraId="73A994AE">
                  <w:pPr>
                    <w:pStyle w:val="49"/>
                    <w:keepNext w:val="0"/>
                    <w:keepLines w:val="0"/>
                    <w:pageBreakBefore w:val="0"/>
                    <w:widowControl w:val="0"/>
                    <w:kinsoku/>
                    <w:wordWrap/>
                    <w:overflowPunct/>
                    <w:topLinePunct w:val="0"/>
                    <w:autoSpaceDE/>
                    <w:autoSpaceDN/>
                    <w:bidi w:val="0"/>
                    <w:adjustRightInd/>
                    <w:snapToGrid w:val="0"/>
                    <w:jc w:val="both"/>
                    <w:textAlignment w:val="auto"/>
                    <w:rPr>
                      <w:rFonts w:hint="eastAsia"/>
                      <w:highlight w:val="none"/>
                      <w:lang w:val="en-US" w:eastAsia="zh-CN"/>
                    </w:rPr>
                  </w:pPr>
                  <w:r>
                    <w:rPr>
                      <w:highlight w:val="none"/>
                    </w:rPr>
                    <w:t>由</w:t>
                  </w:r>
                  <w:r>
                    <w:rPr>
                      <w:rFonts w:hint="eastAsia"/>
                      <w:highlight w:val="none"/>
                      <w:lang w:val="en-US" w:eastAsia="zh-CN"/>
                    </w:rPr>
                    <w:t>柴桑区</w:t>
                  </w:r>
                  <w:r>
                    <w:rPr>
                      <w:rFonts w:hint="eastAsia"/>
                      <w:highlight w:val="none"/>
                    </w:rPr>
                    <w:t>市政</w:t>
                  </w:r>
                  <w:r>
                    <w:rPr>
                      <w:rFonts w:hint="eastAsia"/>
                      <w:highlight w:val="none"/>
                      <w:lang w:val="en-US" w:eastAsia="zh-CN"/>
                    </w:rPr>
                    <w:t>供电</w:t>
                  </w:r>
                  <w:r>
                    <w:rPr>
                      <w:rFonts w:hint="eastAsia"/>
                      <w:highlight w:val="none"/>
                    </w:rPr>
                    <w:t>电网</w:t>
                  </w:r>
                  <w:r>
                    <w:rPr>
                      <w:highlight w:val="none"/>
                    </w:rPr>
                    <w:t>供</w:t>
                  </w:r>
                  <w:r>
                    <w:rPr>
                      <w:rFonts w:hint="eastAsia"/>
                      <w:highlight w:val="none"/>
                      <w:lang w:val="en-US" w:eastAsia="zh-CN"/>
                    </w:rPr>
                    <w:t>给</w:t>
                  </w:r>
                  <w:r>
                    <w:rPr>
                      <w:rFonts w:hint="eastAsia"/>
                      <w:highlight w:val="none"/>
                    </w:rPr>
                    <w:t>，</w:t>
                  </w:r>
                  <w:r>
                    <w:rPr>
                      <w:rFonts w:hint="eastAsia"/>
                      <w:highlight w:val="none"/>
                      <w:lang w:val="en-US" w:eastAsia="zh-CN"/>
                    </w:rPr>
                    <w:t>厂区</w:t>
                  </w:r>
                  <w:r>
                    <w:rPr>
                      <w:rFonts w:hint="eastAsia"/>
                      <w:highlight w:val="none"/>
                    </w:rPr>
                    <w:t>设</w:t>
                  </w:r>
                  <w:r>
                    <w:rPr>
                      <w:rFonts w:hint="eastAsia"/>
                      <w:highlight w:val="none"/>
                      <w:lang w:val="en-US" w:eastAsia="zh-CN"/>
                    </w:rPr>
                    <w:t>置一座80KVA</w:t>
                  </w:r>
                  <w:r>
                    <w:rPr>
                      <w:rFonts w:hint="eastAsia"/>
                      <w:highlight w:val="none"/>
                    </w:rPr>
                    <w:t>箱式</w:t>
                  </w:r>
                  <w:r>
                    <w:rPr>
                      <w:rFonts w:hint="eastAsia"/>
                      <w:highlight w:val="none"/>
                      <w:lang w:val="en-US" w:eastAsia="zh-CN"/>
                    </w:rPr>
                    <w:t>变压</w:t>
                  </w:r>
                  <w:r>
                    <w:rPr>
                      <w:rFonts w:hint="eastAsia"/>
                      <w:highlight w:val="none"/>
                    </w:rPr>
                    <w:t>器</w:t>
                  </w:r>
                </w:p>
              </w:tc>
              <w:tc>
                <w:tcPr>
                  <w:tcW w:w="369" w:type="pct"/>
                  <w:tcBorders>
                    <w:tl2br w:val="nil"/>
                    <w:tr2bl w:val="nil"/>
                  </w:tcBorders>
                  <w:vAlign w:val="center"/>
                </w:tcPr>
                <w:p w14:paraId="3E5551C6">
                  <w:pPr>
                    <w:pStyle w:val="49"/>
                    <w:keepNext w:val="0"/>
                    <w:keepLines w:val="0"/>
                    <w:pageBreakBefore w:val="0"/>
                    <w:widowControl w:val="0"/>
                    <w:kinsoku/>
                    <w:wordWrap/>
                    <w:overflowPunct/>
                    <w:topLinePunct w:val="0"/>
                    <w:autoSpaceDE/>
                    <w:autoSpaceDN/>
                    <w:bidi w:val="0"/>
                    <w:adjustRightInd/>
                    <w:snapToGrid w:val="0"/>
                    <w:textAlignment w:val="auto"/>
                    <w:rPr>
                      <w:rFonts w:hint="default" w:eastAsia="宋体"/>
                      <w:highlight w:val="none"/>
                      <w:lang w:val="en-US" w:eastAsia="zh-CN"/>
                    </w:rPr>
                  </w:pPr>
                  <w:r>
                    <w:rPr>
                      <w:rFonts w:hint="eastAsia"/>
                      <w:highlight w:val="none"/>
                      <w:lang w:val="en-US" w:eastAsia="zh-CN"/>
                    </w:rPr>
                    <w:t>新建</w:t>
                  </w:r>
                </w:p>
              </w:tc>
            </w:tr>
            <w:tr w14:paraId="6DDC75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8" w:type="pct"/>
                  <w:vMerge w:val="continue"/>
                  <w:tcBorders>
                    <w:tl2br w:val="nil"/>
                    <w:tr2bl w:val="nil"/>
                  </w:tcBorders>
                  <w:vAlign w:val="center"/>
                </w:tcPr>
                <w:p w14:paraId="38E5568D">
                  <w:pPr>
                    <w:pStyle w:val="49"/>
                    <w:keepNext w:val="0"/>
                    <w:keepLines w:val="0"/>
                    <w:pageBreakBefore w:val="0"/>
                    <w:widowControl w:val="0"/>
                    <w:kinsoku/>
                    <w:wordWrap/>
                    <w:overflowPunct/>
                    <w:topLinePunct w:val="0"/>
                    <w:autoSpaceDE/>
                    <w:autoSpaceDN/>
                    <w:bidi w:val="0"/>
                    <w:adjustRightInd/>
                    <w:snapToGrid w:val="0"/>
                    <w:textAlignment w:val="auto"/>
                    <w:rPr>
                      <w:highlight w:val="none"/>
                    </w:rPr>
                  </w:pPr>
                </w:p>
              </w:tc>
              <w:tc>
                <w:tcPr>
                  <w:tcW w:w="1174" w:type="pct"/>
                  <w:gridSpan w:val="2"/>
                  <w:tcBorders>
                    <w:tl2br w:val="nil"/>
                    <w:tr2bl w:val="nil"/>
                  </w:tcBorders>
                  <w:vAlign w:val="center"/>
                </w:tcPr>
                <w:p w14:paraId="74982D00">
                  <w:pPr>
                    <w:pStyle w:val="49"/>
                    <w:keepNext w:val="0"/>
                    <w:keepLines w:val="0"/>
                    <w:pageBreakBefore w:val="0"/>
                    <w:widowControl w:val="0"/>
                    <w:kinsoku/>
                    <w:wordWrap/>
                    <w:overflowPunct/>
                    <w:topLinePunct w:val="0"/>
                    <w:autoSpaceDE/>
                    <w:autoSpaceDN/>
                    <w:bidi w:val="0"/>
                    <w:adjustRightInd/>
                    <w:snapToGrid w:val="0"/>
                    <w:textAlignment w:val="auto"/>
                    <w:rPr>
                      <w:rFonts w:hint="eastAsia" w:eastAsia="宋体"/>
                      <w:color w:val="FF0000"/>
                      <w:highlight w:val="none"/>
                      <w:lang w:val="en-US" w:eastAsia="zh-CN"/>
                    </w:rPr>
                  </w:pPr>
                  <w:r>
                    <w:rPr>
                      <w:rFonts w:hint="eastAsia"/>
                      <w:color w:val="auto"/>
                      <w:highlight w:val="none"/>
                    </w:rPr>
                    <w:t>排水</w:t>
                  </w:r>
                  <w:r>
                    <w:rPr>
                      <w:rFonts w:hint="eastAsia"/>
                      <w:color w:val="auto"/>
                      <w:highlight w:val="none"/>
                      <w:lang w:val="en-US" w:eastAsia="zh-CN"/>
                    </w:rPr>
                    <w:t>系统</w:t>
                  </w:r>
                </w:p>
              </w:tc>
              <w:tc>
                <w:tcPr>
                  <w:tcW w:w="2877" w:type="pct"/>
                  <w:tcBorders>
                    <w:tl2br w:val="nil"/>
                    <w:tr2bl w:val="nil"/>
                  </w:tcBorders>
                  <w:vAlign w:val="center"/>
                </w:tcPr>
                <w:p w14:paraId="32148F81">
                  <w:pPr>
                    <w:pStyle w:val="49"/>
                    <w:keepNext w:val="0"/>
                    <w:keepLines w:val="0"/>
                    <w:pageBreakBefore w:val="0"/>
                    <w:widowControl w:val="0"/>
                    <w:kinsoku/>
                    <w:wordWrap/>
                    <w:overflowPunct/>
                    <w:topLinePunct w:val="0"/>
                    <w:autoSpaceDE/>
                    <w:autoSpaceDN/>
                    <w:bidi w:val="0"/>
                    <w:adjustRightInd/>
                    <w:snapToGrid w:val="0"/>
                    <w:jc w:val="both"/>
                    <w:textAlignment w:val="auto"/>
                    <w:rPr>
                      <w:rFonts w:hint="default" w:eastAsia="宋体"/>
                      <w:color w:val="FF0000"/>
                      <w:highlight w:val="none"/>
                      <w:lang w:val="en-US" w:eastAsia="zh-CN"/>
                    </w:rPr>
                  </w:pPr>
                  <w:r>
                    <w:rPr>
                      <w:rFonts w:hint="eastAsia"/>
                      <w:color w:val="auto"/>
                      <w:highlight w:val="none"/>
                    </w:rPr>
                    <w:t>采取雨污分流，雨水</w:t>
                  </w:r>
                  <w:r>
                    <w:rPr>
                      <w:rFonts w:hint="eastAsia"/>
                      <w:color w:val="auto"/>
                      <w:highlight w:val="none"/>
                      <w:lang w:val="en-US" w:eastAsia="zh-CN"/>
                    </w:rPr>
                    <w:t>经排水渠排</w:t>
                  </w:r>
                  <w:r>
                    <w:rPr>
                      <w:rFonts w:hint="eastAsia"/>
                      <w:color w:val="auto"/>
                      <w:highlight w:val="none"/>
                    </w:rPr>
                    <w:t>入市政雨水管网</w:t>
                  </w:r>
                  <w:r>
                    <w:rPr>
                      <w:rFonts w:hint="eastAsia"/>
                      <w:color w:val="auto"/>
                      <w:highlight w:val="none"/>
                      <w:lang w:eastAsia="zh-CN"/>
                    </w:rPr>
                    <w:t>；</w:t>
                  </w:r>
                  <w:r>
                    <w:rPr>
                      <w:rFonts w:hint="eastAsia"/>
                      <w:color w:val="auto"/>
                      <w:highlight w:val="none"/>
                    </w:rPr>
                    <w:t>生活污水经</w:t>
                  </w:r>
                  <w:r>
                    <w:rPr>
                      <w:rFonts w:hint="eastAsia"/>
                      <w:color w:val="auto"/>
                      <w:highlight w:val="none"/>
                      <w:lang w:val="en-US" w:eastAsia="zh-CN"/>
                    </w:rPr>
                    <w:t>油水分离器+</w:t>
                  </w:r>
                  <w:r>
                    <w:rPr>
                      <w:rFonts w:hint="eastAsia"/>
                      <w:color w:val="auto"/>
                      <w:highlight w:val="none"/>
                    </w:rPr>
                    <w:t>化粪池预处理</w:t>
                  </w:r>
                  <w:r>
                    <w:rPr>
                      <w:rFonts w:hint="eastAsia"/>
                      <w:color w:val="auto"/>
                      <w:highlight w:val="none"/>
                      <w:lang w:val="en-US" w:eastAsia="zh-CN"/>
                    </w:rPr>
                    <w:t>达红心村生活污水处理站接管标准</w:t>
                  </w:r>
                  <w:r>
                    <w:rPr>
                      <w:rFonts w:hint="eastAsia"/>
                      <w:color w:val="auto"/>
                      <w:highlight w:val="none"/>
                      <w:lang w:eastAsia="zh-CN"/>
                    </w:rPr>
                    <w:t>，</w:t>
                  </w:r>
                  <w:r>
                    <w:rPr>
                      <w:rFonts w:hint="eastAsia"/>
                      <w:color w:val="auto"/>
                      <w:highlight w:val="none"/>
                      <w:lang w:val="en-US" w:eastAsia="zh-CN"/>
                    </w:rPr>
                    <w:t>经污水管网</w:t>
                  </w:r>
                  <w:r>
                    <w:rPr>
                      <w:rFonts w:hint="eastAsia"/>
                      <w:color w:val="auto"/>
                      <w:highlight w:val="none"/>
                    </w:rPr>
                    <w:t>排入</w:t>
                  </w:r>
                  <w:r>
                    <w:rPr>
                      <w:rFonts w:hint="eastAsia"/>
                      <w:color w:val="auto"/>
                      <w:highlight w:val="none"/>
                      <w:lang w:val="en-US" w:eastAsia="zh-CN"/>
                    </w:rPr>
                    <w:t>红心村生活污水处理站</w:t>
                  </w:r>
                  <w:r>
                    <w:rPr>
                      <w:rFonts w:hint="eastAsia"/>
                      <w:color w:val="auto"/>
                      <w:highlight w:val="none"/>
                      <w:lang w:eastAsia="zh-CN"/>
                    </w:rPr>
                    <w:t>进一步处理</w:t>
                  </w:r>
                  <w:r>
                    <w:rPr>
                      <w:rFonts w:hint="eastAsia"/>
                      <w:color w:val="auto"/>
                      <w:highlight w:val="none"/>
                      <w:lang w:val="en-US" w:eastAsia="zh-CN"/>
                    </w:rPr>
                    <w:t>后达标排放</w:t>
                  </w:r>
                  <w:r>
                    <w:rPr>
                      <w:rFonts w:hint="eastAsia"/>
                      <w:color w:val="auto"/>
                      <w:highlight w:val="none"/>
                      <w:lang w:eastAsia="zh-CN"/>
                    </w:rPr>
                    <w:t>；</w:t>
                  </w:r>
                  <w:r>
                    <w:rPr>
                      <w:rFonts w:hint="eastAsia"/>
                      <w:color w:val="auto"/>
                      <w:highlight w:val="none"/>
                    </w:rPr>
                    <w:t>地面冲洗废水</w:t>
                  </w:r>
                  <w:r>
                    <w:rPr>
                      <w:rFonts w:hint="eastAsia"/>
                      <w:color w:val="auto"/>
                      <w:highlight w:val="none"/>
                      <w:lang w:val="en-US" w:eastAsia="zh-CN"/>
                    </w:rPr>
                    <w:t>经隔油池隔油预处理后，和洗车废水一起排入厂区一体化（MBR）洗车废水处理设施进一步处理后满足《城市污水再生利用</w:t>
                  </w:r>
                  <w:r>
                    <w:rPr>
                      <w:rFonts w:hint="default" w:ascii="Times New Roman" w:hAnsi="Times New Roman" w:cs="Times New Roman"/>
                      <w:color w:val="auto"/>
                      <w:highlight w:val="none"/>
                      <w:lang w:val="en-US" w:eastAsia="zh-CN"/>
                    </w:rPr>
                    <w:t>·</w:t>
                  </w:r>
                  <w:r>
                    <w:rPr>
                      <w:rFonts w:hint="eastAsia"/>
                      <w:color w:val="auto"/>
                      <w:highlight w:val="none"/>
                      <w:lang w:val="en-US" w:eastAsia="zh-CN"/>
                    </w:rPr>
                    <w:t>城市杂用水水质》（GB/T18920-2020）中车辆冲洗水质标准要求后回用于洗车，不外排</w:t>
                  </w:r>
                </w:p>
              </w:tc>
              <w:tc>
                <w:tcPr>
                  <w:tcW w:w="369" w:type="pct"/>
                  <w:tcBorders>
                    <w:tl2br w:val="nil"/>
                    <w:tr2bl w:val="nil"/>
                  </w:tcBorders>
                  <w:vAlign w:val="center"/>
                </w:tcPr>
                <w:p w14:paraId="5A3ECC86">
                  <w:pPr>
                    <w:pStyle w:val="49"/>
                    <w:keepNext w:val="0"/>
                    <w:keepLines w:val="0"/>
                    <w:pageBreakBefore w:val="0"/>
                    <w:widowControl w:val="0"/>
                    <w:kinsoku/>
                    <w:wordWrap/>
                    <w:overflowPunct/>
                    <w:topLinePunct w:val="0"/>
                    <w:autoSpaceDE/>
                    <w:autoSpaceDN/>
                    <w:bidi w:val="0"/>
                    <w:adjustRightInd/>
                    <w:snapToGrid w:val="0"/>
                    <w:textAlignment w:val="auto"/>
                    <w:rPr>
                      <w:rFonts w:hint="eastAsia" w:eastAsia="宋体"/>
                      <w:color w:val="FF0000"/>
                      <w:highlight w:val="none"/>
                      <w:lang w:val="en-US" w:eastAsia="zh-CN"/>
                    </w:rPr>
                  </w:pPr>
                  <w:r>
                    <w:rPr>
                      <w:rFonts w:hint="eastAsia"/>
                      <w:color w:val="auto"/>
                      <w:highlight w:val="none"/>
                      <w:lang w:val="en-US" w:eastAsia="zh-CN"/>
                    </w:rPr>
                    <w:t>新建</w:t>
                  </w:r>
                </w:p>
              </w:tc>
            </w:tr>
            <w:tr w14:paraId="52D67E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8" w:type="pct"/>
                  <w:vMerge w:val="continue"/>
                  <w:tcBorders>
                    <w:tl2br w:val="nil"/>
                    <w:tr2bl w:val="nil"/>
                  </w:tcBorders>
                  <w:vAlign w:val="center"/>
                </w:tcPr>
                <w:p w14:paraId="1D0EEAC1">
                  <w:pPr>
                    <w:pStyle w:val="49"/>
                    <w:keepNext w:val="0"/>
                    <w:keepLines w:val="0"/>
                    <w:pageBreakBefore w:val="0"/>
                    <w:widowControl w:val="0"/>
                    <w:kinsoku/>
                    <w:wordWrap/>
                    <w:overflowPunct/>
                    <w:topLinePunct w:val="0"/>
                    <w:autoSpaceDE/>
                    <w:autoSpaceDN/>
                    <w:bidi w:val="0"/>
                    <w:adjustRightInd/>
                    <w:snapToGrid w:val="0"/>
                    <w:textAlignment w:val="auto"/>
                    <w:rPr>
                      <w:highlight w:val="none"/>
                    </w:rPr>
                  </w:pPr>
                </w:p>
              </w:tc>
              <w:tc>
                <w:tcPr>
                  <w:tcW w:w="1174" w:type="pct"/>
                  <w:gridSpan w:val="2"/>
                  <w:tcBorders>
                    <w:tl2br w:val="nil"/>
                    <w:tr2bl w:val="nil"/>
                  </w:tcBorders>
                  <w:vAlign w:val="center"/>
                </w:tcPr>
                <w:p w14:paraId="60945D1A">
                  <w:pPr>
                    <w:pStyle w:val="49"/>
                    <w:keepNext w:val="0"/>
                    <w:keepLines w:val="0"/>
                    <w:pageBreakBefore w:val="0"/>
                    <w:widowControl w:val="0"/>
                    <w:kinsoku/>
                    <w:wordWrap/>
                    <w:overflowPunct/>
                    <w:topLinePunct w:val="0"/>
                    <w:autoSpaceDE/>
                    <w:autoSpaceDN/>
                    <w:bidi w:val="0"/>
                    <w:adjustRightInd/>
                    <w:snapToGrid w:val="0"/>
                    <w:textAlignment w:val="auto"/>
                    <w:rPr>
                      <w:rFonts w:hint="eastAsia" w:eastAsia="宋体"/>
                      <w:color w:val="FF0000"/>
                      <w:highlight w:val="none"/>
                      <w:lang w:val="en-US" w:eastAsia="zh-CN"/>
                    </w:rPr>
                  </w:pPr>
                  <w:r>
                    <w:rPr>
                      <w:rFonts w:hint="eastAsia"/>
                      <w:color w:val="auto"/>
                      <w:highlight w:val="none"/>
                    </w:rPr>
                    <w:t>消防</w:t>
                  </w:r>
                  <w:r>
                    <w:rPr>
                      <w:rFonts w:hint="eastAsia"/>
                      <w:color w:val="auto"/>
                      <w:highlight w:val="none"/>
                      <w:lang w:val="en-US" w:eastAsia="zh-CN"/>
                    </w:rPr>
                    <w:t>系统</w:t>
                  </w:r>
                </w:p>
              </w:tc>
              <w:tc>
                <w:tcPr>
                  <w:tcW w:w="2877" w:type="pct"/>
                  <w:tcBorders>
                    <w:tl2br w:val="nil"/>
                    <w:tr2bl w:val="nil"/>
                  </w:tcBorders>
                  <w:vAlign w:val="center"/>
                </w:tcPr>
                <w:p w14:paraId="5A92B372">
                  <w:pPr>
                    <w:pStyle w:val="49"/>
                    <w:keepNext w:val="0"/>
                    <w:keepLines w:val="0"/>
                    <w:pageBreakBefore w:val="0"/>
                    <w:widowControl w:val="0"/>
                    <w:kinsoku/>
                    <w:wordWrap/>
                    <w:overflowPunct/>
                    <w:topLinePunct w:val="0"/>
                    <w:autoSpaceDE/>
                    <w:autoSpaceDN/>
                    <w:bidi w:val="0"/>
                    <w:adjustRightInd/>
                    <w:snapToGrid w:val="0"/>
                    <w:jc w:val="both"/>
                    <w:textAlignment w:val="auto"/>
                    <w:rPr>
                      <w:color w:val="FF0000"/>
                      <w:highlight w:val="none"/>
                    </w:rPr>
                  </w:pPr>
                  <w:r>
                    <w:rPr>
                      <w:rFonts w:hint="eastAsia"/>
                      <w:color w:val="auto"/>
                      <w:highlight w:val="none"/>
                    </w:rPr>
                    <w:t>配备消防沙箱、手提式灭火器、推车式灭火器、消防器材箱（灭火毯、消防铲、消防桶）、实体围墙等</w:t>
                  </w:r>
                </w:p>
              </w:tc>
              <w:tc>
                <w:tcPr>
                  <w:tcW w:w="369" w:type="pct"/>
                  <w:tcBorders>
                    <w:tl2br w:val="nil"/>
                    <w:tr2bl w:val="nil"/>
                  </w:tcBorders>
                  <w:vAlign w:val="center"/>
                </w:tcPr>
                <w:p w14:paraId="06A414E6">
                  <w:pPr>
                    <w:pStyle w:val="49"/>
                    <w:keepNext w:val="0"/>
                    <w:keepLines w:val="0"/>
                    <w:pageBreakBefore w:val="0"/>
                    <w:widowControl w:val="0"/>
                    <w:kinsoku/>
                    <w:wordWrap/>
                    <w:overflowPunct/>
                    <w:topLinePunct w:val="0"/>
                    <w:autoSpaceDE/>
                    <w:autoSpaceDN/>
                    <w:bidi w:val="0"/>
                    <w:adjustRightInd/>
                    <w:snapToGrid w:val="0"/>
                    <w:textAlignment w:val="auto"/>
                    <w:rPr>
                      <w:rFonts w:hint="eastAsia" w:eastAsia="宋体"/>
                      <w:color w:val="auto"/>
                      <w:highlight w:val="none"/>
                      <w:lang w:val="en-US" w:eastAsia="zh-CN"/>
                    </w:rPr>
                  </w:pPr>
                  <w:r>
                    <w:rPr>
                      <w:rFonts w:hint="eastAsia"/>
                      <w:color w:val="auto"/>
                      <w:highlight w:val="none"/>
                      <w:lang w:val="en-US" w:eastAsia="zh-CN"/>
                    </w:rPr>
                    <w:t>新建</w:t>
                  </w:r>
                </w:p>
              </w:tc>
            </w:tr>
            <w:tr w14:paraId="5DBC80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8" w:type="pct"/>
                  <w:vMerge w:val="restart"/>
                  <w:tcBorders>
                    <w:tl2br w:val="nil"/>
                    <w:tr2bl w:val="nil"/>
                  </w:tcBorders>
                  <w:vAlign w:val="center"/>
                </w:tcPr>
                <w:p w14:paraId="5FC84B7E">
                  <w:pPr>
                    <w:pStyle w:val="49"/>
                    <w:keepNext w:val="0"/>
                    <w:keepLines w:val="0"/>
                    <w:pageBreakBefore w:val="0"/>
                    <w:widowControl w:val="0"/>
                    <w:kinsoku/>
                    <w:wordWrap/>
                    <w:overflowPunct/>
                    <w:topLinePunct w:val="0"/>
                    <w:autoSpaceDE/>
                    <w:autoSpaceDN/>
                    <w:bidi w:val="0"/>
                    <w:adjustRightInd/>
                    <w:snapToGrid w:val="0"/>
                    <w:textAlignment w:val="auto"/>
                    <w:rPr>
                      <w:highlight w:val="none"/>
                    </w:rPr>
                  </w:pPr>
                  <w:r>
                    <w:rPr>
                      <w:highlight w:val="none"/>
                    </w:rPr>
                    <w:t>环保工程</w:t>
                  </w:r>
                </w:p>
              </w:tc>
              <w:tc>
                <w:tcPr>
                  <w:tcW w:w="345" w:type="pct"/>
                  <w:vMerge w:val="restart"/>
                  <w:tcBorders>
                    <w:tl2br w:val="nil"/>
                    <w:tr2bl w:val="nil"/>
                  </w:tcBorders>
                  <w:vAlign w:val="center"/>
                </w:tcPr>
                <w:p w14:paraId="5F45AF71">
                  <w:pPr>
                    <w:pStyle w:val="49"/>
                    <w:keepNext w:val="0"/>
                    <w:keepLines w:val="0"/>
                    <w:pageBreakBefore w:val="0"/>
                    <w:widowControl w:val="0"/>
                    <w:kinsoku/>
                    <w:wordWrap/>
                    <w:overflowPunct/>
                    <w:topLinePunct w:val="0"/>
                    <w:autoSpaceDE/>
                    <w:autoSpaceDN/>
                    <w:bidi w:val="0"/>
                    <w:adjustRightInd/>
                    <w:snapToGrid w:val="0"/>
                    <w:textAlignment w:val="auto"/>
                    <w:rPr>
                      <w:highlight w:val="none"/>
                    </w:rPr>
                  </w:pPr>
                  <w:r>
                    <w:rPr>
                      <w:highlight w:val="none"/>
                    </w:rPr>
                    <w:t>废气</w:t>
                  </w:r>
                </w:p>
              </w:tc>
              <w:tc>
                <w:tcPr>
                  <w:tcW w:w="829" w:type="pct"/>
                  <w:tcBorders>
                    <w:tl2br w:val="nil"/>
                    <w:tr2bl w:val="nil"/>
                  </w:tcBorders>
                  <w:vAlign w:val="center"/>
                </w:tcPr>
                <w:p w14:paraId="73EAE0C9">
                  <w:pPr>
                    <w:pStyle w:val="49"/>
                    <w:keepNext w:val="0"/>
                    <w:keepLines w:val="0"/>
                    <w:pageBreakBefore w:val="0"/>
                    <w:widowControl w:val="0"/>
                    <w:kinsoku/>
                    <w:wordWrap/>
                    <w:overflowPunct/>
                    <w:topLinePunct w:val="0"/>
                    <w:autoSpaceDE/>
                    <w:autoSpaceDN/>
                    <w:bidi w:val="0"/>
                    <w:adjustRightInd/>
                    <w:snapToGrid w:val="0"/>
                    <w:textAlignment w:val="auto"/>
                    <w:rPr>
                      <w:rFonts w:hint="default" w:eastAsia="宋体"/>
                      <w:highlight w:val="none"/>
                      <w:lang w:val="en-US" w:eastAsia="zh-CN"/>
                    </w:rPr>
                  </w:pPr>
                  <w:r>
                    <w:rPr>
                      <w:rFonts w:hint="eastAsia"/>
                      <w:highlight w:val="none"/>
                      <w:lang w:val="en-US" w:eastAsia="zh-CN"/>
                    </w:rPr>
                    <w:t>储油罐大小呼吸废气</w:t>
                  </w:r>
                </w:p>
              </w:tc>
              <w:tc>
                <w:tcPr>
                  <w:tcW w:w="2877" w:type="pct"/>
                  <w:tcBorders>
                    <w:tl2br w:val="nil"/>
                    <w:tr2bl w:val="nil"/>
                  </w:tcBorders>
                  <w:vAlign w:val="center"/>
                </w:tcPr>
                <w:p w14:paraId="75327D9F">
                  <w:pPr>
                    <w:pStyle w:val="49"/>
                    <w:keepNext w:val="0"/>
                    <w:keepLines w:val="0"/>
                    <w:pageBreakBefore w:val="0"/>
                    <w:widowControl w:val="0"/>
                    <w:kinsoku/>
                    <w:wordWrap/>
                    <w:overflowPunct/>
                    <w:topLinePunct w:val="0"/>
                    <w:autoSpaceDE/>
                    <w:autoSpaceDN/>
                    <w:bidi w:val="0"/>
                    <w:adjustRightInd/>
                    <w:snapToGrid w:val="0"/>
                    <w:jc w:val="both"/>
                    <w:textAlignment w:val="auto"/>
                    <w:rPr>
                      <w:rFonts w:hint="default" w:eastAsia="宋体"/>
                      <w:highlight w:val="none"/>
                      <w:lang w:val="en-US" w:eastAsia="zh-CN"/>
                    </w:rPr>
                  </w:pPr>
                  <w:r>
                    <w:rPr>
                      <w:color w:val="auto"/>
                      <w:kern w:val="0"/>
                      <w:szCs w:val="21"/>
                      <w:highlight w:val="none"/>
                    </w:rPr>
                    <w:t>卸油</w:t>
                  </w:r>
                  <w:r>
                    <w:rPr>
                      <w:rFonts w:hint="eastAsia"/>
                      <w:color w:val="auto"/>
                      <w:kern w:val="0"/>
                      <w:szCs w:val="21"/>
                      <w:highlight w:val="none"/>
                    </w:rPr>
                    <w:t>油气</w:t>
                  </w:r>
                  <w:r>
                    <w:rPr>
                      <w:color w:val="auto"/>
                      <w:kern w:val="0"/>
                      <w:szCs w:val="21"/>
                      <w:highlight w:val="none"/>
                    </w:rPr>
                    <w:t>回收</w:t>
                  </w:r>
                  <w:r>
                    <w:rPr>
                      <w:rFonts w:hint="eastAsia"/>
                      <w:color w:val="auto"/>
                      <w:kern w:val="0"/>
                      <w:szCs w:val="21"/>
                      <w:highlight w:val="none"/>
                    </w:rPr>
                    <w:t>系统</w:t>
                  </w:r>
                </w:p>
              </w:tc>
              <w:tc>
                <w:tcPr>
                  <w:tcW w:w="369" w:type="pct"/>
                  <w:tcBorders>
                    <w:tl2br w:val="nil"/>
                    <w:tr2bl w:val="nil"/>
                  </w:tcBorders>
                  <w:vAlign w:val="center"/>
                </w:tcPr>
                <w:p w14:paraId="3A2E024D">
                  <w:pPr>
                    <w:pStyle w:val="49"/>
                    <w:keepNext w:val="0"/>
                    <w:keepLines w:val="0"/>
                    <w:pageBreakBefore w:val="0"/>
                    <w:widowControl w:val="0"/>
                    <w:kinsoku/>
                    <w:wordWrap/>
                    <w:overflowPunct/>
                    <w:topLinePunct w:val="0"/>
                    <w:autoSpaceDE/>
                    <w:autoSpaceDN/>
                    <w:bidi w:val="0"/>
                    <w:adjustRightInd/>
                    <w:snapToGrid w:val="0"/>
                    <w:textAlignment w:val="auto"/>
                    <w:rPr>
                      <w:rFonts w:hint="eastAsia" w:eastAsia="宋体"/>
                      <w:highlight w:val="none"/>
                      <w:lang w:val="en-US" w:eastAsia="zh-CN"/>
                    </w:rPr>
                  </w:pPr>
                  <w:r>
                    <w:rPr>
                      <w:rFonts w:hint="eastAsia"/>
                      <w:highlight w:val="none"/>
                      <w:lang w:val="en-US" w:eastAsia="zh-CN"/>
                    </w:rPr>
                    <w:t>新建</w:t>
                  </w:r>
                </w:p>
              </w:tc>
            </w:tr>
            <w:tr w14:paraId="0BAAE8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578" w:type="pct"/>
                  <w:vMerge w:val="continue"/>
                  <w:tcBorders>
                    <w:tl2br w:val="nil"/>
                    <w:tr2bl w:val="nil"/>
                  </w:tcBorders>
                  <w:vAlign w:val="center"/>
                </w:tcPr>
                <w:p w14:paraId="4AF7E7C5">
                  <w:pPr>
                    <w:pStyle w:val="49"/>
                    <w:keepNext w:val="0"/>
                    <w:keepLines w:val="0"/>
                    <w:pageBreakBefore w:val="0"/>
                    <w:widowControl w:val="0"/>
                    <w:kinsoku/>
                    <w:wordWrap/>
                    <w:overflowPunct/>
                    <w:topLinePunct w:val="0"/>
                    <w:autoSpaceDE/>
                    <w:autoSpaceDN/>
                    <w:bidi w:val="0"/>
                    <w:adjustRightInd/>
                    <w:snapToGrid w:val="0"/>
                    <w:textAlignment w:val="auto"/>
                    <w:rPr>
                      <w:highlight w:val="none"/>
                    </w:rPr>
                  </w:pPr>
                </w:p>
              </w:tc>
              <w:tc>
                <w:tcPr>
                  <w:tcW w:w="345" w:type="pct"/>
                  <w:vMerge w:val="continue"/>
                  <w:tcBorders>
                    <w:tl2br w:val="nil"/>
                    <w:tr2bl w:val="nil"/>
                  </w:tcBorders>
                  <w:vAlign w:val="center"/>
                </w:tcPr>
                <w:p w14:paraId="40BEF606">
                  <w:pPr>
                    <w:pStyle w:val="49"/>
                    <w:keepNext w:val="0"/>
                    <w:keepLines w:val="0"/>
                    <w:pageBreakBefore w:val="0"/>
                    <w:widowControl w:val="0"/>
                    <w:kinsoku/>
                    <w:wordWrap/>
                    <w:overflowPunct/>
                    <w:topLinePunct w:val="0"/>
                    <w:autoSpaceDE/>
                    <w:autoSpaceDN/>
                    <w:bidi w:val="0"/>
                    <w:adjustRightInd/>
                    <w:snapToGrid w:val="0"/>
                    <w:textAlignment w:val="auto"/>
                    <w:rPr>
                      <w:highlight w:val="none"/>
                    </w:rPr>
                  </w:pPr>
                </w:p>
              </w:tc>
              <w:tc>
                <w:tcPr>
                  <w:tcW w:w="829" w:type="pct"/>
                  <w:tcBorders>
                    <w:tl2br w:val="nil"/>
                    <w:tr2bl w:val="nil"/>
                  </w:tcBorders>
                  <w:vAlign w:val="center"/>
                </w:tcPr>
                <w:p w14:paraId="10FB2923">
                  <w:pPr>
                    <w:pStyle w:val="49"/>
                    <w:keepNext w:val="0"/>
                    <w:keepLines w:val="0"/>
                    <w:pageBreakBefore w:val="0"/>
                    <w:widowControl w:val="0"/>
                    <w:kinsoku/>
                    <w:wordWrap/>
                    <w:overflowPunct/>
                    <w:topLinePunct w:val="0"/>
                    <w:autoSpaceDE/>
                    <w:autoSpaceDN/>
                    <w:bidi w:val="0"/>
                    <w:adjustRightInd/>
                    <w:snapToGrid w:val="0"/>
                    <w:textAlignment w:val="auto"/>
                    <w:rPr>
                      <w:rFonts w:hint="default" w:eastAsia="宋体"/>
                      <w:highlight w:val="none"/>
                      <w:lang w:val="en-US" w:eastAsia="zh-CN"/>
                    </w:rPr>
                  </w:pPr>
                  <w:r>
                    <w:rPr>
                      <w:rFonts w:hint="eastAsia"/>
                      <w:highlight w:val="none"/>
                      <w:lang w:val="en-US" w:eastAsia="zh-CN"/>
                    </w:rPr>
                    <w:t>加油挥发油气</w:t>
                  </w:r>
                </w:p>
              </w:tc>
              <w:tc>
                <w:tcPr>
                  <w:tcW w:w="2877" w:type="pct"/>
                  <w:tcBorders>
                    <w:tl2br w:val="nil"/>
                    <w:tr2bl w:val="nil"/>
                  </w:tcBorders>
                  <w:vAlign w:val="center"/>
                </w:tcPr>
                <w:p w14:paraId="5F1A0A1C">
                  <w:pPr>
                    <w:pStyle w:val="49"/>
                    <w:keepNext w:val="0"/>
                    <w:keepLines w:val="0"/>
                    <w:pageBreakBefore w:val="0"/>
                    <w:widowControl w:val="0"/>
                    <w:kinsoku/>
                    <w:wordWrap/>
                    <w:overflowPunct/>
                    <w:topLinePunct w:val="0"/>
                    <w:autoSpaceDE/>
                    <w:autoSpaceDN/>
                    <w:bidi w:val="0"/>
                    <w:adjustRightInd/>
                    <w:snapToGrid w:val="0"/>
                    <w:jc w:val="both"/>
                    <w:textAlignment w:val="auto"/>
                    <w:rPr>
                      <w:rFonts w:hint="default" w:eastAsia="宋体"/>
                      <w:highlight w:val="none"/>
                      <w:lang w:val="en-US" w:eastAsia="zh-CN"/>
                    </w:rPr>
                  </w:pPr>
                  <w:r>
                    <w:rPr>
                      <w:rFonts w:hint="eastAsia"/>
                      <w:highlight w:val="none"/>
                      <w:lang w:val="en-US" w:eastAsia="zh-CN"/>
                    </w:rPr>
                    <w:t>加油油气回收系统</w:t>
                  </w:r>
                </w:p>
              </w:tc>
              <w:tc>
                <w:tcPr>
                  <w:tcW w:w="369" w:type="pct"/>
                  <w:tcBorders>
                    <w:tl2br w:val="nil"/>
                    <w:tr2bl w:val="nil"/>
                  </w:tcBorders>
                  <w:vAlign w:val="center"/>
                </w:tcPr>
                <w:p w14:paraId="0F52C8C3">
                  <w:pPr>
                    <w:pStyle w:val="49"/>
                    <w:keepNext w:val="0"/>
                    <w:keepLines w:val="0"/>
                    <w:pageBreakBefore w:val="0"/>
                    <w:widowControl w:val="0"/>
                    <w:kinsoku/>
                    <w:wordWrap/>
                    <w:overflowPunct/>
                    <w:topLinePunct w:val="0"/>
                    <w:autoSpaceDE/>
                    <w:autoSpaceDN/>
                    <w:bidi w:val="0"/>
                    <w:adjustRightInd/>
                    <w:snapToGrid w:val="0"/>
                    <w:textAlignment w:val="auto"/>
                    <w:rPr>
                      <w:rFonts w:hint="eastAsia" w:eastAsia="宋体"/>
                      <w:highlight w:val="none"/>
                      <w:lang w:val="en-US" w:eastAsia="zh-CN"/>
                    </w:rPr>
                  </w:pPr>
                  <w:r>
                    <w:rPr>
                      <w:rFonts w:hint="eastAsia"/>
                      <w:highlight w:val="none"/>
                      <w:lang w:val="en-US" w:eastAsia="zh-CN"/>
                    </w:rPr>
                    <w:t>新建</w:t>
                  </w:r>
                </w:p>
              </w:tc>
            </w:tr>
            <w:tr w14:paraId="6A84C1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578" w:type="pct"/>
                  <w:vMerge w:val="continue"/>
                  <w:tcBorders>
                    <w:tl2br w:val="nil"/>
                    <w:tr2bl w:val="nil"/>
                  </w:tcBorders>
                  <w:vAlign w:val="center"/>
                </w:tcPr>
                <w:p w14:paraId="10DE8703">
                  <w:pPr>
                    <w:pStyle w:val="49"/>
                    <w:keepNext w:val="0"/>
                    <w:keepLines w:val="0"/>
                    <w:pageBreakBefore w:val="0"/>
                    <w:widowControl w:val="0"/>
                    <w:kinsoku/>
                    <w:wordWrap/>
                    <w:overflowPunct/>
                    <w:topLinePunct w:val="0"/>
                    <w:autoSpaceDE/>
                    <w:autoSpaceDN/>
                    <w:bidi w:val="0"/>
                    <w:adjustRightInd/>
                    <w:snapToGrid w:val="0"/>
                    <w:textAlignment w:val="auto"/>
                    <w:rPr>
                      <w:highlight w:val="none"/>
                    </w:rPr>
                  </w:pPr>
                </w:p>
              </w:tc>
              <w:tc>
                <w:tcPr>
                  <w:tcW w:w="345" w:type="pct"/>
                  <w:vMerge w:val="continue"/>
                  <w:tcBorders>
                    <w:tl2br w:val="nil"/>
                    <w:tr2bl w:val="nil"/>
                  </w:tcBorders>
                  <w:vAlign w:val="center"/>
                </w:tcPr>
                <w:p w14:paraId="0F76C62F">
                  <w:pPr>
                    <w:pStyle w:val="49"/>
                    <w:keepNext w:val="0"/>
                    <w:keepLines w:val="0"/>
                    <w:pageBreakBefore w:val="0"/>
                    <w:widowControl w:val="0"/>
                    <w:kinsoku/>
                    <w:wordWrap/>
                    <w:overflowPunct/>
                    <w:topLinePunct w:val="0"/>
                    <w:autoSpaceDE/>
                    <w:autoSpaceDN/>
                    <w:bidi w:val="0"/>
                    <w:adjustRightInd/>
                    <w:snapToGrid w:val="0"/>
                    <w:textAlignment w:val="auto"/>
                    <w:rPr>
                      <w:highlight w:val="none"/>
                    </w:rPr>
                  </w:pPr>
                </w:p>
              </w:tc>
              <w:tc>
                <w:tcPr>
                  <w:tcW w:w="829" w:type="pct"/>
                  <w:tcBorders>
                    <w:tl2br w:val="nil"/>
                    <w:tr2bl w:val="nil"/>
                  </w:tcBorders>
                  <w:vAlign w:val="center"/>
                </w:tcPr>
                <w:p w14:paraId="409E570E">
                  <w:pPr>
                    <w:pStyle w:val="49"/>
                    <w:keepNext w:val="0"/>
                    <w:keepLines w:val="0"/>
                    <w:pageBreakBefore w:val="0"/>
                    <w:widowControl w:val="0"/>
                    <w:kinsoku/>
                    <w:wordWrap/>
                    <w:overflowPunct/>
                    <w:topLinePunct w:val="0"/>
                    <w:autoSpaceDE/>
                    <w:autoSpaceDN/>
                    <w:bidi w:val="0"/>
                    <w:adjustRightInd/>
                    <w:snapToGrid w:val="0"/>
                    <w:textAlignment w:val="auto"/>
                    <w:rPr>
                      <w:rFonts w:hint="default"/>
                      <w:highlight w:val="none"/>
                      <w:lang w:val="en-US" w:eastAsia="zh-CN"/>
                    </w:rPr>
                  </w:pPr>
                  <w:r>
                    <w:rPr>
                      <w:rFonts w:hint="eastAsia"/>
                      <w:highlight w:val="none"/>
                      <w:lang w:val="en-US" w:eastAsia="zh-CN"/>
                    </w:rPr>
                    <w:t>汽车尾气</w:t>
                  </w:r>
                </w:p>
              </w:tc>
              <w:tc>
                <w:tcPr>
                  <w:tcW w:w="2877" w:type="pct"/>
                  <w:tcBorders>
                    <w:tl2br w:val="nil"/>
                    <w:tr2bl w:val="nil"/>
                  </w:tcBorders>
                  <w:vAlign w:val="center"/>
                </w:tcPr>
                <w:p w14:paraId="179ECF60">
                  <w:pPr>
                    <w:pStyle w:val="49"/>
                    <w:keepNext w:val="0"/>
                    <w:keepLines w:val="0"/>
                    <w:pageBreakBefore w:val="0"/>
                    <w:widowControl w:val="0"/>
                    <w:kinsoku/>
                    <w:wordWrap/>
                    <w:overflowPunct/>
                    <w:topLinePunct w:val="0"/>
                    <w:autoSpaceDE/>
                    <w:autoSpaceDN/>
                    <w:bidi w:val="0"/>
                    <w:adjustRightInd/>
                    <w:snapToGrid w:val="0"/>
                    <w:jc w:val="both"/>
                    <w:textAlignment w:val="auto"/>
                    <w:rPr>
                      <w:rFonts w:hint="default"/>
                      <w:highlight w:val="none"/>
                      <w:lang w:val="en-US" w:eastAsia="zh-CN"/>
                    </w:rPr>
                  </w:pPr>
                  <w:r>
                    <w:rPr>
                      <w:rFonts w:hint="eastAsia"/>
                      <w:color w:val="auto"/>
                      <w:sz w:val="21"/>
                      <w:szCs w:val="21"/>
                      <w:highlight w:val="none"/>
                      <w:lang w:val="en-US" w:eastAsia="zh-CN"/>
                    </w:rPr>
                    <w:t>车辆管理和厂区绿化</w:t>
                  </w:r>
                </w:p>
              </w:tc>
              <w:tc>
                <w:tcPr>
                  <w:tcW w:w="369" w:type="pct"/>
                  <w:tcBorders>
                    <w:tl2br w:val="nil"/>
                    <w:tr2bl w:val="nil"/>
                  </w:tcBorders>
                  <w:vAlign w:val="center"/>
                </w:tcPr>
                <w:p w14:paraId="13EA9912">
                  <w:pPr>
                    <w:pStyle w:val="49"/>
                    <w:keepNext w:val="0"/>
                    <w:keepLines w:val="0"/>
                    <w:pageBreakBefore w:val="0"/>
                    <w:widowControl w:val="0"/>
                    <w:kinsoku/>
                    <w:wordWrap/>
                    <w:overflowPunct/>
                    <w:topLinePunct w:val="0"/>
                    <w:autoSpaceDE/>
                    <w:autoSpaceDN/>
                    <w:bidi w:val="0"/>
                    <w:adjustRightInd/>
                    <w:snapToGrid w:val="0"/>
                    <w:textAlignment w:val="auto"/>
                    <w:rPr>
                      <w:rFonts w:hint="eastAsia"/>
                      <w:highlight w:val="none"/>
                      <w:lang w:val="en-US" w:eastAsia="zh-CN"/>
                    </w:rPr>
                  </w:pPr>
                  <w:r>
                    <w:rPr>
                      <w:rFonts w:hint="eastAsia"/>
                      <w:highlight w:val="none"/>
                      <w:lang w:val="en-US" w:eastAsia="zh-CN"/>
                    </w:rPr>
                    <w:t>新建</w:t>
                  </w:r>
                </w:p>
              </w:tc>
            </w:tr>
            <w:tr w14:paraId="4662B9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8" w:type="pct"/>
                  <w:vMerge w:val="continue"/>
                  <w:tcBorders>
                    <w:tl2br w:val="nil"/>
                    <w:tr2bl w:val="nil"/>
                  </w:tcBorders>
                  <w:vAlign w:val="center"/>
                </w:tcPr>
                <w:p w14:paraId="5F1CE606">
                  <w:pPr>
                    <w:pStyle w:val="49"/>
                    <w:keepNext w:val="0"/>
                    <w:keepLines w:val="0"/>
                    <w:pageBreakBefore w:val="0"/>
                    <w:widowControl w:val="0"/>
                    <w:kinsoku/>
                    <w:wordWrap/>
                    <w:overflowPunct/>
                    <w:topLinePunct w:val="0"/>
                    <w:autoSpaceDE/>
                    <w:autoSpaceDN/>
                    <w:bidi w:val="0"/>
                    <w:adjustRightInd/>
                    <w:snapToGrid w:val="0"/>
                    <w:textAlignment w:val="auto"/>
                    <w:rPr>
                      <w:highlight w:val="none"/>
                    </w:rPr>
                  </w:pPr>
                </w:p>
              </w:tc>
              <w:tc>
                <w:tcPr>
                  <w:tcW w:w="345" w:type="pct"/>
                  <w:vMerge w:val="restart"/>
                  <w:tcBorders>
                    <w:tl2br w:val="nil"/>
                    <w:tr2bl w:val="nil"/>
                  </w:tcBorders>
                  <w:vAlign w:val="center"/>
                </w:tcPr>
                <w:p w14:paraId="77E3C32B">
                  <w:pPr>
                    <w:pStyle w:val="49"/>
                    <w:keepNext w:val="0"/>
                    <w:keepLines w:val="0"/>
                    <w:pageBreakBefore w:val="0"/>
                    <w:widowControl w:val="0"/>
                    <w:kinsoku/>
                    <w:wordWrap/>
                    <w:overflowPunct/>
                    <w:topLinePunct w:val="0"/>
                    <w:autoSpaceDE/>
                    <w:autoSpaceDN/>
                    <w:bidi w:val="0"/>
                    <w:adjustRightInd/>
                    <w:snapToGrid w:val="0"/>
                    <w:textAlignment w:val="auto"/>
                    <w:rPr>
                      <w:highlight w:val="none"/>
                    </w:rPr>
                  </w:pPr>
                  <w:r>
                    <w:rPr>
                      <w:highlight w:val="none"/>
                    </w:rPr>
                    <w:t>废水</w:t>
                  </w:r>
                </w:p>
              </w:tc>
              <w:tc>
                <w:tcPr>
                  <w:tcW w:w="829" w:type="pct"/>
                  <w:tcBorders>
                    <w:tl2br w:val="nil"/>
                    <w:tr2bl w:val="nil"/>
                  </w:tcBorders>
                  <w:vAlign w:val="center"/>
                </w:tcPr>
                <w:p w14:paraId="41495252">
                  <w:pPr>
                    <w:pStyle w:val="49"/>
                    <w:keepNext w:val="0"/>
                    <w:keepLines w:val="0"/>
                    <w:pageBreakBefore w:val="0"/>
                    <w:widowControl w:val="0"/>
                    <w:kinsoku/>
                    <w:wordWrap/>
                    <w:overflowPunct/>
                    <w:topLinePunct w:val="0"/>
                    <w:autoSpaceDE/>
                    <w:autoSpaceDN/>
                    <w:bidi w:val="0"/>
                    <w:adjustRightInd/>
                    <w:snapToGrid w:val="0"/>
                    <w:textAlignment w:val="auto"/>
                    <w:rPr>
                      <w:color w:val="FF0000"/>
                      <w:szCs w:val="21"/>
                      <w:highlight w:val="none"/>
                    </w:rPr>
                  </w:pPr>
                  <w:r>
                    <w:rPr>
                      <w:color w:val="FF0000"/>
                      <w:highlight w:val="none"/>
                    </w:rPr>
                    <w:t>生活污水</w:t>
                  </w:r>
                </w:p>
              </w:tc>
              <w:tc>
                <w:tcPr>
                  <w:tcW w:w="2877" w:type="pct"/>
                  <w:tcBorders>
                    <w:tl2br w:val="nil"/>
                    <w:tr2bl w:val="nil"/>
                  </w:tcBorders>
                  <w:vAlign w:val="center"/>
                </w:tcPr>
                <w:p w14:paraId="3FA037A9">
                  <w:pPr>
                    <w:pStyle w:val="49"/>
                    <w:keepNext w:val="0"/>
                    <w:keepLines w:val="0"/>
                    <w:pageBreakBefore w:val="0"/>
                    <w:widowControl w:val="0"/>
                    <w:kinsoku/>
                    <w:wordWrap/>
                    <w:overflowPunct/>
                    <w:topLinePunct w:val="0"/>
                    <w:autoSpaceDE/>
                    <w:autoSpaceDN/>
                    <w:bidi w:val="0"/>
                    <w:adjustRightInd/>
                    <w:snapToGrid w:val="0"/>
                    <w:jc w:val="both"/>
                    <w:textAlignment w:val="auto"/>
                    <w:rPr>
                      <w:rFonts w:hint="default" w:eastAsia="宋体"/>
                      <w:color w:val="FF0000"/>
                      <w:szCs w:val="21"/>
                      <w:highlight w:val="none"/>
                      <w:lang w:val="en-US" w:eastAsia="zh-CN"/>
                    </w:rPr>
                  </w:pPr>
                  <w:r>
                    <w:rPr>
                      <w:rFonts w:hint="eastAsia"/>
                      <w:color w:val="FF0000"/>
                      <w:highlight w:val="none"/>
                      <w:lang w:val="en-US" w:eastAsia="zh-CN"/>
                    </w:rPr>
                    <w:t>油水分离器+</w:t>
                  </w:r>
                  <w:r>
                    <w:rPr>
                      <w:rFonts w:hint="eastAsia"/>
                      <w:color w:val="FF0000"/>
                      <w:highlight w:val="none"/>
                    </w:rPr>
                    <w:t>化粪池</w:t>
                  </w:r>
                  <w:r>
                    <w:rPr>
                      <w:rFonts w:hint="eastAsia"/>
                      <w:color w:val="FF0000"/>
                      <w:highlight w:val="none"/>
                      <w:lang w:eastAsia="zh-CN"/>
                    </w:rPr>
                    <w:t>（</w:t>
                  </w:r>
                  <w:r>
                    <w:rPr>
                      <w:rFonts w:hint="eastAsia"/>
                      <w:color w:val="FF0000"/>
                      <w:highlight w:val="none"/>
                      <w:lang w:val="en-US" w:eastAsia="zh-CN"/>
                    </w:rPr>
                    <w:t>有效容积为5m</w:t>
                  </w:r>
                  <w:r>
                    <w:rPr>
                      <w:rFonts w:hint="eastAsia"/>
                      <w:color w:val="FF0000"/>
                      <w:highlight w:val="none"/>
                      <w:vertAlign w:val="superscript"/>
                      <w:lang w:val="en-US" w:eastAsia="zh-CN"/>
                    </w:rPr>
                    <w:t>3</w:t>
                  </w:r>
                  <w:r>
                    <w:rPr>
                      <w:rFonts w:hint="eastAsia"/>
                      <w:color w:val="FF0000"/>
                      <w:highlight w:val="none"/>
                      <w:lang w:val="en-US" w:eastAsia="zh-CN"/>
                    </w:rPr>
                    <w:t>（</w:t>
                  </w:r>
                  <w:r>
                    <w:rPr>
                      <w:rFonts w:hint="default" w:ascii="Times New Roman" w:hAnsi="Times New Roman" w:cs="Times New Roman"/>
                      <w:color w:val="FF0000"/>
                      <w:highlight w:val="none"/>
                      <w:lang w:val="en-US" w:eastAsia="zh-CN"/>
                    </w:rPr>
                    <w:t>5m×1m×</w:t>
                  </w:r>
                  <w:r>
                    <w:rPr>
                      <w:rFonts w:hint="eastAsia" w:cs="Times New Roman"/>
                      <w:color w:val="FF0000"/>
                      <w:highlight w:val="none"/>
                      <w:lang w:val="en-US" w:eastAsia="zh-CN"/>
                    </w:rPr>
                    <w:t>1</w:t>
                  </w:r>
                  <w:r>
                    <w:rPr>
                      <w:rFonts w:hint="default" w:ascii="Times New Roman" w:hAnsi="Times New Roman" w:cs="Times New Roman"/>
                      <w:color w:val="FF0000"/>
                      <w:highlight w:val="none"/>
                      <w:lang w:val="en-US" w:eastAsia="zh-CN"/>
                    </w:rPr>
                    <w:t>m</w:t>
                  </w:r>
                  <w:r>
                    <w:rPr>
                      <w:rFonts w:hint="eastAsia"/>
                      <w:color w:val="FF0000"/>
                      <w:highlight w:val="none"/>
                      <w:lang w:val="en-US" w:eastAsia="zh-CN"/>
                    </w:rPr>
                    <w:t>）</w:t>
                  </w:r>
                  <w:r>
                    <w:rPr>
                      <w:rFonts w:hint="eastAsia"/>
                      <w:color w:val="FF0000"/>
                      <w:highlight w:val="none"/>
                      <w:lang w:eastAsia="zh-CN"/>
                    </w:rPr>
                    <w:t>）</w:t>
                  </w:r>
                </w:p>
              </w:tc>
              <w:tc>
                <w:tcPr>
                  <w:tcW w:w="369" w:type="pct"/>
                  <w:tcBorders>
                    <w:tl2br w:val="nil"/>
                    <w:tr2bl w:val="nil"/>
                  </w:tcBorders>
                  <w:vAlign w:val="center"/>
                </w:tcPr>
                <w:p w14:paraId="673914EA">
                  <w:pPr>
                    <w:pStyle w:val="49"/>
                    <w:keepNext w:val="0"/>
                    <w:keepLines w:val="0"/>
                    <w:pageBreakBefore w:val="0"/>
                    <w:widowControl w:val="0"/>
                    <w:kinsoku/>
                    <w:wordWrap/>
                    <w:overflowPunct/>
                    <w:topLinePunct w:val="0"/>
                    <w:autoSpaceDE/>
                    <w:autoSpaceDN/>
                    <w:bidi w:val="0"/>
                    <w:adjustRightInd/>
                    <w:snapToGrid w:val="0"/>
                    <w:textAlignment w:val="auto"/>
                    <w:rPr>
                      <w:rFonts w:hint="eastAsia" w:eastAsia="宋体"/>
                      <w:color w:val="FF0000"/>
                      <w:szCs w:val="21"/>
                      <w:highlight w:val="none"/>
                      <w:lang w:val="en-US" w:eastAsia="zh-CN"/>
                    </w:rPr>
                  </w:pPr>
                  <w:r>
                    <w:rPr>
                      <w:rFonts w:hint="eastAsia"/>
                      <w:color w:val="FF0000"/>
                      <w:szCs w:val="21"/>
                      <w:highlight w:val="none"/>
                      <w:lang w:val="en-US" w:eastAsia="zh-CN"/>
                    </w:rPr>
                    <w:t>新建</w:t>
                  </w:r>
                </w:p>
              </w:tc>
            </w:tr>
            <w:tr w14:paraId="186970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8" w:type="pct"/>
                  <w:vMerge w:val="continue"/>
                  <w:tcBorders>
                    <w:tl2br w:val="nil"/>
                    <w:tr2bl w:val="nil"/>
                  </w:tcBorders>
                  <w:vAlign w:val="center"/>
                </w:tcPr>
                <w:p w14:paraId="2F4684EB">
                  <w:pPr>
                    <w:pStyle w:val="49"/>
                    <w:keepNext w:val="0"/>
                    <w:keepLines w:val="0"/>
                    <w:pageBreakBefore w:val="0"/>
                    <w:widowControl w:val="0"/>
                    <w:kinsoku/>
                    <w:wordWrap/>
                    <w:overflowPunct/>
                    <w:topLinePunct w:val="0"/>
                    <w:autoSpaceDE/>
                    <w:autoSpaceDN/>
                    <w:bidi w:val="0"/>
                    <w:adjustRightInd/>
                    <w:snapToGrid w:val="0"/>
                    <w:textAlignment w:val="auto"/>
                    <w:rPr>
                      <w:highlight w:val="none"/>
                    </w:rPr>
                  </w:pPr>
                </w:p>
              </w:tc>
              <w:tc>
                <w:tcPr>
                  <w:tcW w:w="345" w:type="pct"/>
                  <w:vMerge w:val="continue"/>
                  <w:tcBorders>
                    <w:tl2br w:val="nil"/>
                    <w:tr2bl w:val="nil"/>
                  </w:tcBorders>
                  <w:vAlign w:val="center"/>
                </w:tcPr>
                <w:p w14:paraId="0EFE1080">
                  <w:pPr>
                    <w:pStyle w:val="49"/>
                    <w:keepNext w:val="0"/>
                    <w:keepLines w:val="0"/>
                    <w:pageBreakBefore w:val="0"/>
                    <w:widowControl w:val="0"/>
                    <w:kinsoku/>
                    <w:wordWrap/>
                    <w:overflowPunct/>
                    <w:topLinePunct w:val="0"/>
                    <w:autoSpaceDE/>
                    <w:autoSpaceDN/>
                    <w:bidi w:val="0"/>
                    <w:adjustRightInd/>
                    <w:snapToGrid w:val="0"/>
                    <w:textAlignment w:val="auto"/>
                    <w:rPr>
                      <w:highlight w:val="none"/>
                    </w:rPr>
                  </w:pPr>
                </w:p>
              </w:tc>
              <w:tc>
                <w:tcPr>
                  <w:tcW w:w="829" w:type="pct"/>
                  <w:tcBorders>
                    <w:tl2br w:val="nil"/>
                    <w:tr2bl w:val="nil"/>
                  </w:tcBorders>
                  <w:vAlign w:val="center"/>
                </w:tcPr>
                <w:p w14:paraId="540A722C">
                  <w:pPr>
                    <w:pStyle w:val="49"/>
                    <w:keepNext w:val="0"/>
                    <w:keepLines w:val="0"/>
                    <w:pageBreakBefore w:val="0"/>
                    <w:widowControl w:val="0"/>
                    <w:kinsoku/>
                    <w:wordWrap/>
                    <w:overflowPunct/>
                    <w:topLinePunct w:val="0"/>
                    <w:autoSpaceDE/>
                    <w:autoSpaceDN/>
                    <w:bidi w:val="0"/>
                    <w:adjustRightInd/>
                    <w:snapToGrid w:val="0"/>
                    <w:textAlignment w:val="auto"/>
                    <w:rPr>
                      <w:rFonts w:hint="default" w:eastAsia="宋体"/>
                      <w:color w:val="FF0000"/>
                      <w:highlight w:val="none"/>
                      <w:lang w:val="en-US" w:eastAsia="zh-CN"/>
                    </w:rPr>
                  </w:pPr>
                  <w:r>
                    <w:rPr>
                      <w:rFonts w:hint="eastAsia"/>
                      <w:color w:val="FF0000"/>
                      <w:highlight w:val="none"/>
                      <w:lang w:val="en-US" w:eastAsia="zh-CN"/>
                    </w:rPr>
                    <w:t>地面冲洗废水</w:t>
                  </w:r>
                </w:p>
              </w:tc>
              <w:tc>
                <w:tcPr>
                  <w:tcW w:w="2877" w:type="pct"/>
                  <w:tcBorders>
                    <w:tl2br w:val="nil"/>
                    <w:tr2bl w:val="nil"/>
                  </w:tcBorders>
                  <w:vAlign w:val="center"/>
                </w:tcPr>
                <w:p w14:paraId="7EE16BDA">
                  <w:pPr>
                    <w:pStyle w:val="49"/>
                    <w:keepNext w:val="0"/>
                    <w:keepLines w:val="0"/>
                    <w:pageBreakBefore w:val="0"/>
                    <w:widowControl w:val="0"/>
                    <w:kinsoku/>
                    <w:wordWrap/>
                    <w:overflowPunct/>
                    <w:topLinePunct w:val="0"/>
                    <w:autoSpaceDE/>
                    <w:autoSpaceDN/>
                    <w:bidi w:val="0"/>
                    <w:adjustRightInd/>
                    <w:snapToGrid w:val="0"/>
                    <w:jc w:val="both"/>
                    <w:textAlignment w:val="auto"/>
                    <w:rPr>
                      <w:rFonts w:hint="default"/>
                      <w:color w:val="FF0000"/>
                      <w:highlight w:val="none"/>
                      <w:lang w:val="en-US"/>
                    </w:rPr>
                  </w:pPr>
                  <w:r>
                    <w:rPr>
                      <w:rFonts w:hint="eastAsia"/>
                      <w:color w:val="FF0000"/>
                      <w:highlight w:val="none"/>
                      <w:lang w:val="en-US" w:eastAsia="zh-CN"/>
                    </w:rPr>
                    <w:t>隔油池（有效容积为6m</w:t>
                  </w:r>
                  <w:r>
                    <w:rPr>
                      <w:rFonts w:hint="eastAsia"/>
                      <w:color w:val="FF0000"/>
                      <w:highlight w:val="none"/>
                      <w:vertAlign w:val="superscript"/>
                      <w:lang w:val="en-US" w:eastAsia="zh-CN"/>
                    </w:rPr>
                    <w:t>3</w:t>
                  </w:r>
                  <w:r>
                    <w:rPr>
                      <w:rFonts w:hint="eastAsia"/>
                      <w:color w:val="FF0000"/>
                      <w:highlight w:val="none"/>
                      <w:lang w:val="en-US" w:eastAsia="zh-CN"/>
                    </w:rPr>
                    <w:t>（</w:t>
                  </w:r>
                  <w:r>
                    <w:rPr>
                      <w:rFonts w:hint="default" w:ascii="Times New Roman" w:hAnsi="Times New Roman" w:cs="Times New Roman"/>
                      <w:color w:val="FF0000"/>
                      <w:highlight w:val="none"/>
                      <w:lang w:val="en-US" w:eastAsia="zh-CN"/>
                    </w:rPr>
                    <w:t>3m×2m×</w:t>
                  </w:r>
                  <w:r>
                    <w:rPr>
                      <w:rFonts w:hint="eastAsia" w:cs="Times New Roman"/>
                      <w:color w:val="FF0000"/>
                      <w:highlight w:val="none"/>
                      <w:lang w:val="en-US" w:eastAsia="zh-CN"/>
                    </w:rPr>
                    <w:t>1</w:t>
                  </w:r>
                  <w:r>
                    <w:rPr>
                      <w:rFonts w:hint="default" w:ascii="Times New Roman" w:hAnsi="Times New Roman" w:cs="Times New Roman"/>
                      <w:color w:val="FF0000"/>
                      <w:highlight w:val="none"/>
                      <w:lang w:val="en-US" w:eastAsia="zh-CN"/>
                    </w:rPr>
                    <w:t>m</w:t>
                  </w:r>
                  <w:r>
                    <w:rPr>
                      <w:rFonts w:hint="eastAsia"/>
                      <w:color w:val="FF0000"/>
                      <w:highlight w:val="none"/>
                      <w:lang w:val="en-US" w:eastAsia="zh-CN"/>
                    </w:rPr>
                    <w:t>））+一体化（MBR）洗车废水处理设施（</w:t>
                  </w:r>
                  <w:r>
                    <w:rPr>
                      <w:rFonts w:hint="eastAsia"/>
                      <w:color w:val="FF0000"/>
                      <w:sz w:val="21"/>
                      <w:szCs w:val="21"/>
                      <w:lang w:val="en-US" w:eastAsia="zh-CN"/>
                    </w:rPr>
                    <w:t>设计处理规模为1</w:t>
                  </w:r>
                  <w:r>
                    <w:rPr>
                      <w:rFonts w:hint="eastAsia" w:cs="Times New Roman"/>
                      <w:bCs/>
                      <w:color w:val="FF0000"/>
                      <w:sz w:val="21"/>
                      <w:szCs w:val="21"/>
                      <w:lang w:val="en-US" w:eastAsia="zh-CN" w:bidi="ar-SA"/>
                    </w:rPr>
                    <w:t>m</w:t>
                  </w:r>
                  <w:r>
                    <w:rPr>
                      <w:rFonts w:hint="eastAsia" w:cs="Times New Roman"/>
                      <w:bCs/>
                      <w:color w:val="FF0000"/>
                      <w:sz w:val="21"/>
                      <w:szCs w:val="21"/>
                      <w:vertAlign w:val="superscript"/>
                      <w:lang w:val="en-US" w:eastAsia="zh-CN" w:bidi="ar-SA"/>
                    </w:rPr>
                    <w:t>3</w:t>
                  </w:r>
                  <w:r>
                    <w:rPr>
                      <w:rFonts w:hint="eastAsia" w:cs="Times New Roman"/>
                      <w:bCs/>
                      <w:color w:val="FF0000"/>
                      <w:sz w:val="21"/>
                      <w:szCs w:val="21"/>
                      <w:lang w:val="en-US" w:eastAsia="zh-CN" w:bidi="ar-SA"/>
                    </w:rPr>
                    <w:t>/d</w:t>
                  </w:r>
                  <w:r>
                    <w:rPr>
                      <w:rFonts w:hint="eastAsia"/>
                      <w:color w:val="FF0000"/>
                      <w:highlight w:val="none"/>
                      <w:lang w:val="en-US" w:eastAsia="zh-CN"/>
                    </w:rPr>
                    <w:t>）</w:t>
                  </w:r>
                </w:p>
              </w:tc>
              <w:tc>
                <w:tcPr>
                  <w:tcW w:w="369" w:type="pct"/>
                  <w:tcBorders>
                    <w:tl2br w:val="nil"/>
                    <w:tr2bl w:val="nil"/>
                  </w:tcBorders>
                  <w:vAlign w:val="center"/>
                </w:tcPr>
                <w:p w14:paraId="27AFEAC9">
                  <w:pPr>
                    <w:pStyle w:val="49"/>
                    <w:keepNext w:val="0"/>
                    <w:keepLines w:val="0"/>
                    <w:pageBreakBefore w:val="0"/>
                    <w:widowControl w:val="0"/>
                    <w:kinsoku/>
                    <w:wordWrap/>
                    <w:overflowPunct/>
                    <w:topLinePunct w:val="0"/>
                    <w:autoSpaceDE/>
                    <w:autoSpaceDN/>
                    <w:bidi w:val="0"/>
                    <w:adjustRightInd/>
                    <w:snapToGrid w:val="0"/>
                    <w:textAlignment w:val="auto"/>
                    <w:rPr>
                      <w:rFonts w:hint="eastAsia" w:eastAsia="宋体"/>
                      <w:color w:val="FF0000"/>
                      <w:highlight w:val="none"/>
                      <w:lang w:val="en-US" w:eastAsia="zh-CN"/>
                    </w:rPr>
                  </w:pPr>
                  <w:r>
                    <w:rPr>
                      <w:rFonts w:hint="eastAsia"/>
                      <w:color w:val="FF0000"/>
                      <w:highlight w:val="none"/>
                      <w:lang w:val="en-US" w:eastAsia="zh-CN"/>
                    </w:rPr>
                    <w:t>新建</w:t>
                  </w:r>
                </w:p>
              </w:tc>
            </w:tr>
            <w:tr w14:paraId="1D6621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8" w:type="pct"/>
                  <w:vMerge w:val="continue"/>
                  <w:tcBorders>
                    <w:tl2br w:val="nil"/>
                    <w:tr2bl w:val="nil"/>
                  </w:tcBorders>
                  <w:vAlign w:val="center"/>
                </w:tcPr>
                <w:p w14:paraId="1E68440E">
                  <w:pPr>
                    <w:pStyle w:val="49"/>
                    <w:keepNext w:val="0"/>
                    <w:keepLines w:val="0"/>
                    <w:pageBreakBefore w:val="0"/>
                    <w:widowControl w:val="0"/>
                    <w:kinsoku/>
                    <w:wordWrap/>
                    <w:overflowPunct/>
                    <w:topLinePunct w:val="0"/>
                    <w:autoSpaceDE/>
                    <w:autoSpaceDN/>
                    <w:bidi w:val="0"/>
                    <w:adjustRightInd/>
                    <w:snapToGrid w:val="0"/>
                    <w:textAlignment w:val="auto"/>
                    <w:rPr>
                      <w:highlight w:val="none"/>
                    </w:rPr>
                  </w:pPr>
                </w:p>
              </w:tc>
              <w:tc>
                <w:tcPr>
                  <w:tcW w:w="345" w:type="pct"/>
                  <w:vMerge w:val="continue"/>
                  <w:tcBorders>
                    <w:tl2br w:val="nil"/>
                    <w:tr2bl w:val="nil"/>
                  </w:tcBorders>
                  <w:vAlign w:val="center"/>
                </w:tcPr>
                <w:p w14:paraId="19B1D748">
                  <w:pPr>
                    <w:pStyle w:val="49"/>
                    <w:keepNext w:val="0"/>
                    <w:keepLines w:val="0"/>
                    <w:pageBreakBefore w:val="0"/>
                    <w:widowControl w:val="0"/>
                    <w:kinsoku/>
                    <w:wordWrap/>
                    <w:overflowPunct/>
                    <w:topLinePunct w:val="0"/>
                    <w:autoSpaceDE/>
                    <w:autoSpaceDN/>
                    <w:bidi w:val="0"/>
                    <w:adjustRightInd/>
                    <w:snapToGrid w:val="0"/>
                    <w:textAlignment w:val="auto"/>
                    <w:rPr>
                      <w:highlight w:val="none"/>
                    </w:rPr>
                  </w:pPr>
                </w:p>
              </w:tc>
              <w:tc>
                <w:tcPr>
                  <w:tcW w:w="829" w:type="pct"/>
                  <w:tcBorders>
                    <w:tl2br w:val="nil"/>
                    <w:tr2bl w:val="nil"/>
                  </w:tcBorders>
                  <w:vAlign w:val="center"/>
                </w:tcPr>
                <w:p w14:paraId="37FD181B">
                  <w:pPr>
                    <w:pStyle w:val="49"/>
                    <w:keepNext w:val="0"/>
                    <w:keepLines w:val="0"/>
                    <w:pageBreakBefore w:val="0"/>
                    <w:widowControl w:val="0"/>
                    <w:kinsoku/>
                    <w:wordWrap/>
                    <w:overflowPunct/>
                    <w:topLinePunct w:val="0"/>
                    <w:autoSpaceDE/>
                    <w:autoSpaceDN/>
                    <w:bidi w:val="0"/>
                    <w:adjustRightInd/>
                    <w:snapToGrid w:val="0"/>
                    <w:textAlignment w:val="auto"/>
                    <w:rPr>
                      <w:rFonts w:hint="default"/>
                      <w:color w:val="FF0000"/>
                      <w:highlight w:val="none"/>
                      <w:lang w:val="en-US" w:eastAsia="zh-CN"/>
                    </w:rPr>
                  </w:pPr>
                  <w:r>
                    <w:rPr>
                      <w:rFonts w:hint="eastAsia"/>
                      <w:color w:val="FF0000"/>
                      <w:highlight w:val="none"/>
                      <w:lang w:val="en-US" w:eastAsia="zh-CN"/>
                    </w:rPr>
                    <w:t>洗车废水</w:t>
                  </w:r>
                </w:p>
              </w:tc>
              <w:tc>
                <w:tcPr>
                  <w:tcW w:w="2877" w:type="pct"/>
                  <w:tcBorders>
                    <w:tl2br w:val="nil"/>
                    <w:tr2bl w:val="nil"/>
                  </w:tcBorders>
                  <w:vAlign w:val="center"/>
                </w:tcPr>
                <w:p w14:paraId="63F6A646">
                  <w:pPr>
                    <w:pStyle w:val="49"/>
                    <w:keepNext w:val="0"/>
                    <w:keepLines w:val="0"/>
                    <w:pageBreakBefore w:val="0"/>
                    <w:widowControl w:val="0"/>
                    <w:kinsoku/>
                    <w:wordWrap/>
                    <w:overflowPunct/>
                    <w:topLinePunct w:val="0"/>
                    <w:autoSpaceDE/>
                    <w:autoSpaceDN/>
                    <w:bidi w:val="0"/>
                    <w:adjustRightInd/>
                    <w:snapToGrid w:val="0"/>
                    <w:jc w:val="both"/>
                    <w:textAlignment w:val="auto"/>
                    <w:rPr>
                      <w:rFonts w:hint="default"/>
                      <w:color w:val="FF0000"/>
                      <w:highlight w:val="none"/>
                      <w:lang w:val="en-US" w:eastAsia="zh-CN"/>
                    </w:rPr>
                  </w:pPr>
                  <w:r>
                    <w:rPr>
                      <w:rFonts w:hint="eastAsia"/>
                      <w:color w:val="FF0000"/>
                      <w:highlight w:val="none"/>
                      <w:lang w:val="en-US" w:eastAsia="zh-CN"/>
                    </w:rPr>
                    <w:t>一体化（MBR）洗车废水处理设施（</w:t>
                  </w:r>
                  <w:r>
                    <w:rPr>
                      <w:rFonts w:hint="eastAsia"/>
                      <w:color w:val="FF0000"/>
                      <w:sz w:val="21"/>
                      <w:szCs w:val="21"/>
                      <w:lang w:val="en-US" w:eastAsia="zh-CN"/>
                    </w:rPr>
                    <w:t>设计处理规模为1</w:t>
                  </w:r>
                  <w:r>
                    <w:rPr>
                      <w:rFonts w:hint="eastAsia" w:cs="Times New Roman"/>
                      <w:bCs/>
                      <w:color w:val="FF0000"/>
                      <w:sz w:val="21"/>
                      <w:szCs w:val="21"/>
                      <w:lang w:val="en-US" w:eastAsia="zh-CN" w:bidi="ar-SA"/>
                    </w:rPr>
                    <w:t>m</w:t>
                  </w:r>
                  <w:r>
                    <w:rPr>
                      <w:rFonts w:hint="eastAsia" w:cs="Times New Roman"/>
                      <w:bCs/>
                      <w:color w:val="FF0000"/>
                      <w:sz w:val="21"/>
                      <w:szCs w:val="21"/>
                      <w:vertAlign w:val="superscript"/>
                      <w:lang w:val="en-US" w:eastAsia="zh-CN" w:bidi="ar-SA"/>
                    </w:rPr>
                    <w:t>3</w:t>
                  </w:r>
                  <w:r>
                    <w:rPr>
                      <w:rFonts w:hint="eastAsia" w:cs="Times New Roman"/>
                      <w:bCs/>
                      <w:color w:val="FF0000"/>
                      <w:sz w:val="21"/>
                      <w:szCs w:val="21"/>
                      <w:lang w:val="en-US" w:eastAsia="zh-CN" w:bidi="ar-SA"/>
                    </w:rPr>
                    <w:t>/d</w:t>
                  </w:r>
                  <w:r>
                    <w:rPr>
                      <w:rFonts w:hint="eastAsia"/>
                      <w:color w:val="FF0000"/>
                      <w:highlight w:val="none"/>
                      <w:lang w:val="en-US" w:eastAsia="zh-CN"/>
                    </w:rPr>
                    <w:t>）</w:t>
                  </w:r>
                </w:p>
              </w:tc>
              <w:tc>
                <w:tcPr>
                  <w:tcW w:w="369" w:type="pct"/>
                  <w:tcBorders>
                    <w:tl2br w:val="nil"/>
                    <w:tr2bl w:val="nil"/>
                  </w:tcBorders>
                  <w:vAlign w:val="center"/>
                </w:tcPr>
                <w:p w14:paraId="124FE9D4">
                  <w:pPr>
                    <w:pStyle w:val="49"/>
                    <w:keepNext w:val="0"/>
                    <w:keepLines w:val="0"/>
                    <w:pageBreakBefore w:val="0"/>
                    <w:widowControl w:val="0"/>
                    <w:kinsoku/>
                    <w:wordWrap/>
                    <w:overflowPunct/>
                    <w:topLinePunct w:val="0"/>
                    <w:autoSpaceDE/>
                    <w:autoSpaceDN/>
                    <w:bidi w:val="0"/>
                    <w:adjustRightInd/>
                    <w:snapToGrid w:val="0"/>
                    <w:textAlignment w:val="auto"/>
                    <w:rPr>
                      <w:rFonts w:hint="default"/>
                      <w:color w:val="FF0000"/>
                      <w:highlight w:val="none"/>
                      <w:lang w:val="en-US" w:eastAsia="zh-CN"/>
                    </w:rPr>
                  </w:pPr>
                  <w:r>
                    <w:rPr>
                      <w:rFonts w:hint="eastAsia"/>
                      <w:color w:val="FF0000"/>
                      <w:highlight w:val="none"/>
                      <w:lang w:val="en-US" w:eastAsia="zh-CN"/>
                    </w:rPr>
                    <w:t>新建</w:t>
                  </w:r>
                </w:p>
              </w:tc>
            </w:tr>
            <w:tr w14:paraId="0F83C7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578" w:type="pct"/>
                  <w:vMerge w:val="continue"/>
                  <w:tcBorders>
                    <w:tl2br w:val="nil"/>
                    <w:tr2bl w:val="nil"/>
                  </w:tcBorders>
                  <w:vAlign w:val="center"/>
                </w:tcPr>
                <w:p w14:paraId="61820025">
                  <w:pPr>
                    <w:pStyle w:val="49"/>
                    <w:keepNext w:val="0"/>
                    <w:keepLines w:val="0"/>
                    <w:pageBreakBefore w:val="0"/>
                    <w:widowControl w:val="0"/>
                    <w:kinsoku/>
                    <w:wordWrap/>
                    <w:overflowPunct/>
                    <w:topLinePunct w:val="0"/>
                    <w:autoSpaceDE/>
                    <w:autoSpaceDN/>
                    <w:bidi w:val="0"/>
                    <w:adjustRightInd/>
                    <w:snapToGrid w:val="0"/>
                    <w:textAlignment w:val="auto"/>
                    <w:rPr>
                      <w:highlight w:val="none"/>
                    </w:rPr>
                  </w:pPr>
                </w:p>
              </w:tc>
              <w:tc>
                <w:tcPr>
                  <w:tcW w:w="345" w:type="pct"/>
                  <w:vMerge w:val="restart"/>
                  <w:tcBorders>
                    <w:tl2br w:val="nil"/>
                    <w:tr2bl w:val="nil"/>
                  </w:tcBorders>
                  <w:vAlign w:val="center"/>
                </w:tcPr>
                <w:p w14:paraId="040E1AB9">
                  <w:pPr>
                    <w:pStyle w:val="49"/>
                    <w:keepNext w:val="0"/>
                    <w:keepLines w:val="0"/>
                    <w:pageBreakBefore w:val="0"/>
                    <w:widowControl w:val="0"/>
                    <w:kinsoku/>
                    <w:wordWrap/>
                    <w:overflowPunct/>
                    <w:topLinePunct w:val="0"/>
                    <w:autoSpaceDE/>
                    <w:autoSpaceDN/>
                    <w:bidi w:val="0"/>
                    <w:adjustRightInd/>
                    <w:snapToGrid w:val="0"/>
                    <w:textAlignment w:val="auto"/>
                    <w:rPr>
                      <w:highlight w:val="none"/>
                    </w:rPr>
                  </w:pPr>
                  <w:r>
                    <w:rPr>
                      <w:highlight w:val="none"/>
                    </w:rPr>
                    <w:t>固废</w:t>
                  </w:r>
                </w:p>
              </w:tc>
              <w:tc>
                <w:tcPr>
                  <w:tcW w:w="829" w:type="pct"/>
                  <w:tcBorders>
                    <w:tl2br w:val="nil"/>
                    <w:tr2bl w:val="nil"/>
                  </w:tcBorders>
                  <w:vAlign w:val="center"/>
                </w:tcPr>
                <w:p w14:paraId="2E26BD7A">
                  <w:pPr>
                    <w:pStyle w:val="49"/>
                    <w:keepNext w:val="0"/>
                    <w:keepLines w:val="0"/>
                    <w:pageBreakBefore w:val="0"/>
                    <w:widowControl w:val="0"/>
                    <w:kinsoku/>
                    <w:wordWrap/>
                    <w:overflowPunct/>
                    <w:topLinePunct w:val="0"/>
                    <w:autoSpaceDE/>
                    <w:autoSpaceDN/>
                    <w:bidi w:val="0"/>
                    <w:adjustRightInd/>
                    <w:snapToGrid w:val="0"/>
                    <w:textAlignment w:val="auto"/>
                    <w:rPr>
                      <w:rFonts w:hint="default" w:eastAsia="宋体"/>
                      <w:highlight w:val="none"/>
                      <w:lang w:val="en-US" w:eastAsia="zh-CN"/>
                    </w:rPr>
                  </w:pPr>
                  <w:r>
                    <w:rPr>
                      <w:rFonts w:hint="eastAsia"/>
                      <w:highlight w:val="none"/>
                      <w:lang w:val="en-US" w:eastAsia="zh-CN"/>
                    </w:rPr>
                    <w:t>危险废物</w:t>
                  </w:r>
                </w:p>
              </w:tc>
              <w:tc>
                <w:tcPr>
                  <w:tcW w:w="2877" w:type="pct"/>
                  <w:tcBorders>
                    <w:tl2br w:val="nil"/>
                    <w:tr2bl w:val="nil"/>
                  </w:tcBorders>
                  <w:vAlign w:val="center"/>
                </w:tcPr>
                <w:p w14:paraId="4331485A">
                  <w:pPr>
                    <w:pStyle w:val="49"/>
                    <w:keepNext w:val="0"/>
                    <w:keepLines w:val="0"/>
                    <w:pageBreakBefore w:val="0"/>
                    <w:widowControl w:val="0"/>
                    <w:kinsoku/>
                    <w:wordWrap/>
                    <w:overflowPunct/>
                    <w:topLinePunct w:val="0"/>
                    <w:autoSpaceDE/>
                    <w:autoSpaceDN/>
                    <w:bidi w:val="0"/>
                    <w:adjustRightInd/>
                    <w:snapToGrid w:val="0"/>
                    <w:jc w:val="both"/>
                    <w:textAlignment w:val="auto"/>
                    <w:rPr>
                      <w:rFonts w:hint="default" w:eastAsia="宋体"/>
                      <w:highlight w:val="none"/>
                      <w:lang w:val="en-US" w:eastAsia="zh-CN"/>
                    </w:rPr>
                  </w:pPr>
                  <w:r>
                    <w:rPr>
                      <w:rFonts w:hint="eastAsia"/>
                      <w:highlight w:val="none"/>
                      <w:lang w:val="en-US" w:eastAsia="zh-CN"/>
                    </w:rPr>
                    <w:t>危险废物暂存箱，位于卸油区</w:t>
                  </w:r>
                  <w:r>
                    <w:rPr>
                      <w:rFonts w:hint="eastAsia"/>
                      <w:highlight w:val="none"/>
                    </w:rPr>
                    <w:t>旁</w:t>
                  </w:r>
                  <w:r>
                    <w:rPr>
                      <w:rFonts w:hint="eastAsia"/>
                      <w:highlight w:val="none"/>
                      <w:lang w:eastAsia="zh-CN"/>
                    </w:rPr>
                    <w:t>，</w:t>
                  </w:r>
                  <w:r>
                    <w:rPr>
                      <w:rFonts w:hint="eastAsia"/>
                      <w:highlight w:val="none"/>
                      <w:lang w:val="en-US" w:eastAsia="zh-CN"/>
                    </w:rPr>
                    <w:t>占地面积为2.5m</w:t>
                  </w:r>
                  <w:r>
                    <w:rPr>
                      <w:rFonts w:hint="eastAsia"/>
                      <w:highlight w:val="none"/>
                      <w:vertAlign w:val="superscript"/>
                      <w:lang w:val="en-US" w:eastAsia="zh-CN"/>
                    </w:rPr>
                    <w:t>2</w:t>
                  </w:r>
                  <w:r>
                    <w:rPr>
                      <w:rFonts w:hint="eastAsia"/>
                      <w:highlight w:val="none"/>
                      <w:lang w:eastAsia="zh-CN"/>
                    </w:rPr>
                    <w:t>，</w:t>
                  </w:r>
                  <w:r>
                    <w:rPr>
                      <w:rFonts w:hint="eastAsia"/>
                      <w:highlight w:val="none"/>
                      <w:lang w:val="en-US" w:eastAsia="zh-CN"/>
                    </w:rPr>
                    <w:t>贮存能力为2.5t</w:t>
                  </w:r>
                </w:p>
              </w:tc>
              <w:tc>
                <w:tcPr>
                  <w:tcW w:w="369" w:type="pct"/>
                  <w:tcBorders>
                    <w:tl2br w:val="nil"/>
                    <w:tr2bl w:val="nil"/>
                  </w:tcBorders>
                  <w:vAlign w:val="center"/>
                </w:tcPr>
                <w:p w14:paraId="5D4E8AED">
                  <w:pPr>
                    <w:pStyle w:val="49"/>
                    <w:keepNext w:val="0"/>
                    <w:keepLines w:val="0"/>
                    <w:pageBreakBefore w:val="0"/>
                    <w:widowControl w:val="0"/>
                    <w:kinsoku/>
                    <w:wordWrap/>
                    <w:overflowPunct/>
                    <w:topLinePunct w:val="0"/>
                    <w:autoSpaceDE/>
                    <w:autoSpaceDN/>
                    <w:bidi w:val="0"/>
                    <w:adjustRightInd/>
                    <w:snapToGrid w:val="0"/>
                    <w:textAlignment w:val="auto"/>
                    <w:rPr>
                      <w:rFonts w:hint="eastAsia"/>
                      <w:highlight w:val="none"/>
                    </w:rPr>
                  </w:pPr>
                  <w:r>
                    <w:rPr>
                      <w:rFonts w:hint="eastAsia"/>
                      <w:highlight w:val="none"/>
                      <w:lang w:val="en-US" w:eastAsia="zh-CN"/>
                    </w:rPr>
                    <w:t>新建</w:t>
                  </w:r>
                </w:p>
              </w:tc>
            </w:tr>
            <w:tr w14:paraId="03A5C4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578" w:type="pct"/>
                  <w:vMerge w:val="continue"/>
                  <w:tcBorders>
                    <w:tl2br w:val="nil"/>
                    <w:tr2bl w:val="nil"/>
                  </w:tcBorders>
                  <w:vAlign w:val="center"/>
                </w:tcPr>
                <w:p w14:paraId="631CC77B">
                  <w:pPr>
                    <w:pStyle w:val="49"/>
                    <w:keepNext w:val="0"/>
                    <w:keepLines w:val="0"/>
                    <w:pageBreakBefore w:val="0"/>
                    <w:widowControl w:val="0"/>
                    <w:kinsoku/>
                    <w:wordWrap/>
                    <w:overflowPunct/>
                    <w:topLinePunct w:val="0"/>
                    <w:autoSpaceDE/>
                    <w:autoSpaceDN/>
                    <w:bidi w:val="0"/>
                    <w:adjustRightInd/>
                    <w:snapToGrid w:val="0"/>
                    <w:textAlignment w:val="auto"/>
                  </w:pPr>
                </w:p>
              </w:tc>
              <w:tc>
                <w:tcPr>
                  <w:tcW w:w="345" w:type="pct"/>
                  <w:vMerge w:val="continue"/>
                  <w:tcBorders>
                    <w:tl2br w:val="nil"/>
                    <w:tr2bl w:val="nil"/>
                  </w:tcBorders>
                  <w:vAlign w:val="center"/>
                </w:tcPr>
                <w:p w14:paraId="1F74B751">
                  <w:pPr>
                    <w:pStyle w:val="49"/>
                    <w:keepNext w:val="0"/>
                    <w:keepLines w:val="0"/>
                    <w:pageBreakBefore w:val="0"/>
                    <w:widowControl w:val="0"/>
                    <w:kinsoku/>
                    <w:wordWrap/>
                    <w:overflowPunct/>
                    <w:topLinePunct w:val="0"/>
                    <w:autoSpaceDE/>
                    <w:autoSpaceDN/>
                    <w:bidi w:val="0"/>
                    <w:adjustRightInd/>
                    <w:snapToGrid w:val="0"/>
                    <w:textAlignment w:val="auto"/>
                  </w:pPr>
                </w:p>
              </w:tc>
              <w:tc>
                <w:tcPr>
                  <w:tcW w:w="829" w:type="pct"/>
                  <w:tcBorders>
                    <w:tl2br w:val="nil"/>
                    <w:tr2bl w:val="nil"/>
                  </w:tcBorders>
                  <w:vAlign w:val="center"/>
                </w:tcPr>
                <w:p w14:paraId="1A43C73E">
                  <w:pPr>
                    <w:pStyle w:val="49"/>
                    <w:keepNext w:val="0"/>
                    <w:keepLines w:val="0"/>
                    <w:pageBreakBefore w:val="0"/>
                    <w:widowControl w:val="0"/>
                    <w:kinsoku/>
                    <w:wordWrap/>
                    <w:overflowPunct/>
                    <w:topLinePunct w:val="0"/>
                    <w:autoSpaceDE/>
                    <w:autoSpaceDN/>
                    <w:bidi w:val="0"/>
                    <w:adjustRightInd/>
                    <w:snapToGrid w:val="0"/>
                    <w:textAlignment w:val="auto"/>
                    <w:rPr>
                      <w:rFonts w:hint="default"/>
                      <w:color w:val="00B050"/>
                      <w:highlight w:val="none"/>
                      <w:lang w:val="en-US" w:eastAsia="zh-CN"/>
                    </w:rPr>
                  </w:pPr>
                  <w:r>
                    <w:rPr>
                      <w:rFonts w:hint="eastAsia"/>
                      <w:color w:val="00B050"/>
                      <w:highlight w:val="none"/>
                      <w:lang w:val="en-US" w:eastAsia="zh-CN"/>
                    </w:rPr>
                    <w:t>生活垃圾</w:t>
                  </w:r>
                </w:p>
              </w:tc>
              <w:tc>
                <w:tcPr>
                  <w:tcW w:w="2877" w:type="pct"/>
                  <w:tcBorders>
                    <w:tl2br w:val="nil"/>
                    <w:tr2bl w:val="nil"/>
                  </w:tcBorders>
                  <w:vAlign w:val="center"/>
                </w:tcPr>
                <w:p w14:paraId="767CF19E">
                  <w:pPr>
                    <w:pStyle w:val="49"/>
                    <w:keepNext w:val="0"/>
                    <w:keepLines w:val="0"/>
                    <w:pageBreakBefore w:val="0"/>
                    <w:widowControl w:val="0"/>
                    <w:kinsoku/>
                    <w:wordWrap/>
                    <w:overflowPunct/>
                    <w:topLinePunct w:val="0"/>
                    <w:autoSpaceDE/>
                    <w:autoSpaceDN/>
                    <w:bidi w:val="0"/>
                    <w:adjustRightInd/>
                    <w:snapToGrid w:val="0"/>
                    <w:jc w:val="both"/>
                    <w:textAlignment w:val="auto"/>
                    <w:rPr>
                      <w:rFonts w:hint="eastAsia"/>
                      <w:color w:val="00B050"/>
                      <w:highlight w:val="none"/>
                      <w:lang w:val="en-US" w:eastAsia="zh-CN"/>
                    </w:rPr>
                  </w:pPr>
                  <w:r>
                    <w:rPr>
                      <w:rFonts w:ascii="Times New Roman" w:hAnsi="Times New Roman" w:eastAsia="宋体" w:cs="Times New Roman"/>
                      <w:color w:val="00B050"/>
                      <w:kern w:val="0"/>
                      <w:szCs w:val="21"/>
                    </w:rPr>
                    <w:t>设置垃圾桶，用于收集员工及</w:t>
                  </w:r>
                  <w:r>
                    <w:rPr>
                      <w:rFonts w:hint="eastAsia" w:ascii="Times New Roman" w:hAnsi="Times New Roman" w:eastAsia="宋体" w:cs="Times New Roman"/>
                      <w:color w:val="00B050"/>
                      <w:kern w:val="0"/>
                      <w:szCs w:val="21"/>
                      <w:lang w:val="en-US" w:eastAsia="zh-CN"/>
                    </w:rPr>
                    <w:t>外来人员</w:t>
                  </w:r>
                  <w:r>
                    <w:rPr>
                      <w:rFonts w:ascii="Times New Roman" w:hAnsi="Times New Roman" w:eastAsia="宋体" w:cs="Times New Roman"/>
                      <w:color w:val="00B050"/>
                      <w:kern w:val="0"/>
                      <w:szCs w:val="21"/>
                    </w:rPr>
                    <w:t>产生的生活垃圾</w:t>
                  </w:r>
                </w:p>
              </w:tc>
              <w:tc>
                <w:tcPr>
                  <w:tcW w:w="369" w:type="pct"/>
                  <w:tcBorders>
                    <w:tl2br w:val="nil"/>
                    <w:tr2bl w:val="nil"/>
                  </w:tcBorders>
                  <w:vAlign w:val="center"/>
                </w:tcPr>
                <w:p w14:paraId="33439601">
                  <w:pPr>
                    <w:pStyle w:val="49"/>
                    <w:keepNext w:val="0"/>
                    <w:keepLines w:val="0"/>
                    <w:pageBreakBefore w:val="0"/>
                    <w:widowControl w:val="0"/>
                    <w:kinsoku/>
                    <w:wordWrap/>
                    <w:overflowPunct/>
                    <w:topLinePunct w:val="0"/>
                    <w:autoSpaceDE/>
                    <w:autoSpaceDN/>
                    <w:bidi w:val="0"/>
                    <w:adjustRightInd/>
                    <w:snapToGrid w:val="0"/>
                    <w:textAlignment w:val="auto"/>
                    <w:rPr>
                      <w:rFonts w:hint="eastAsia"/>
                      <w:color w:val="00B050"/>
                      <w:highlight w:val="none"/>
                      <w:lang w:val="en-US" w:eastAsia="zh-CN"/>
                    </w:rPr>
                  </w:pPr>
                  <w:r>
                    <w:rPr>
                      <w:rFonts w:hint="eastAsia"/>
                      <w:color w:val="00B050"/>
                      <w:highlight w:val="none"/>
                      <w:lang w:val="en-US" w:eastAsia="zh-CN"/>
                    </w:rPr>
                    <w:t>新建</w:t>
                  </w:r>
                </w:p>
              </w:tc>
            </w:tr>
            <w:tr w14:paraId="37E94D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8" w:type="pct"/>
                  <w:vMerge w:val="continue"/>
                  <w:tcBorders>
                    <w:tl2br w:val="nil"/>
                    <w:tr2bl w:val="nil"/>
                  </w:tcBorders>
                  <w:vAlign w:val="center"/>
                </w:tcPr>
                <w:p w14:paraId="18F78D22">
                  <w:pPr>
                    <w:pStyle w:val="49"/>
                    <w:keepNext w:val="0"/>
                    <w:keepLines w:val="0"/>
                    <w:pageBreakBefore w:val="0"/>
                    <w:widowControl w:val="0"/>
                    <w:kinsoku/>
                    <w:wordWrap/>
                    <w:overflowPunct/>
                    <w:topLinePunct w:val="0"/>
                    <w:autoSpaceDE/>
                    <w:autoSpaceDN/>
                    <w:bidi w:val="0"/>
                    <w:adjustRightInd/>
                    <w:snapToGrid w:val="0"/>
                    <w:textAlignment w:val="auto"/>
                  </w:pPr>
                </w:p>
              </w:tc>
              <w:tc>
                <w:tcPr>
                  <w:tcW w:w="1174" w:type="pct"/>
                  <w:gridSpan w:val="2"/>
                  <w:tcBorders>
                    <w:tl2br w:val="nil"/>
                    <w:tr2bl w:val="nil"/>
                  </w:tcBorders>
                  <w:vAlign w:val="center"/>
                </w:tcPr>
                <w:p w14:paraId="1EECE412">
                  <w:pPr>
                    <w:pStyle w:val="49"/>
                    <w:keepNext w:val="0"/>
                    <w:keepLines w:val="0"/>
                    <w:pageBreakBefore w:val="0"/>
                    <w:widowControl w:val="0"/>
                    <w:kinsoku/>
                    <w:wordWrap/>
                    <w:overflowPunct/>
                    <w:topLinePunct w:val="0"/>
                    <w:autoSpaceDE/>
                    <w:autoSpaceDN/>
                    <w:bidi w:val="0"/>
                    <w:adjustRightInd/>
                    <w:snapToGrid w:val="0"/>
                    <w:textAlignment w:val="auto"/>
                    <w:rPr>
                      <w:color w:val="FF0000"/>
                      <w:highlight w:val="none"/>
                    </w:rPr>
                  </w:pPr>
                  <w:r>
                    <w:rPr>
                      <w:rFonts w:hint="eastAsia"/>
                      <w:color w:val="FF0000"/>
                      <w:highlight w:val="none"/>
                    </w:rPr>
                    <w:t>土壤及地下水污染防治措施</w:t>
                  </w:r>
                </w:p>
              </w:tc>
              <w:tc>
                <w:tcPr>
                  <w:tcW w:w="2877" w:type="pct"/>
                  <w:tcBorders>
                    <w:tl2br w:val="nil"/>
                    <w:tr2bl w:val="nil"/>
                  </w:tcBorders>
                  <w:vAlign w:val="center"/>
                </w:tcPr>
                <w:p w14:paraId="30E8C026">
                  <w:pPr>
                    <w:pStyle w:val="49"/>
                    <w:keepNext w:val="0"/>
                    <w:keepLines w:val="0"/>
                    <w:pageBreakBefore w:val="0"/>
                    <w:widowControl w:val="0"/>
                    <w:kinsoku/>
                    <w:wordWrap/>
                    <w:overflowPunct/>
                    <w:topLinePunct w:val="0"/>
                    <w:autoSpaceDE/>
                    <w:autoSpaceDN/>
                    <w:bidi w:val="0"/>
                    <w:adjustRightInd/>
                    <w:snapToGrid w:val="0"/>
                    <w:jc w:val="both"/>
                    <w:textAlignment w:val="auto"/>
                    <w:rPr>
                      <w:rFonts w:hint="eastAsia" w:cs="宋体"/>
                      <w:color w:val="FF0000"/>
                      <w:kern w:val="0"/>
                      <w:szCs w:val="21"/>
                      <w:lang w:eastAsia="zh-CN"/>
                    </w:rPr>
                  </w:pPr>
                  <w:r>
                    <w:rPr>
                      <w:rFonts w:hint="eastAsia" w:cs="宋体"/>
                      <w:color w:val="FF0000"/>
                      <w:kern w:val="0"/>
                      <w:szCs w:val="21"/>
                    </w:rPr>
                    <w:t>重点防渗区：危</w:t>
                  </w:r>
                  <w:r>
                    <w:rPr>
                      <w:rFonts w:hint="eastAsia" w:cs="宋体"/>
                      <w:color w:val="FF0000"/>
                      <w:kern w:val="0"/>
                      <w:szCs w:val="21"/>
                      <w:lang w:val="en-US" w:eastAsia="zh-CN"/>
                    </w:rPr>
                    <w:t>险</w:t>
                  </w:r>
                  <w:r>
                    <w:rPr>
                      <w:rFonts w:hint="eastAsia" w:cs="宋体"/>
                      <w:color w:val="FF0000"/>
                      <w:kern w:val="0"/>
                      <w:szCs w:val="21"/>
                    </w:rPr>
                    <w:t>废</w:t>
                  </w:r>
                  <w:r>
                    <w:rPr>
                      <w:rFonts w:hint="eastAsia" w:cs="宋体"/>
                      <w:color w:val="FF0000"/>
                      <w:kern w:val="0"/>
                      <w:szCs w:val="21"/>
                      <w:lang w:val="en-US" w:eastAsia="zh-CN"/>
                    </w:rPr>
                    <w:t>物暂存</w:t>
                  </w:r>
                  <w:r>
                    <w:rPr>
                      <w:rFonts w:hint="eastAsia"/>
                      <w:color w:val="FF0000"/>
                      <w:sz w:val="21"/>
                      <w:szCs w:val="21"/>
                      <w:lang w:val="en-US" w:eastAsia="zh-CN"/>
                    </w:rPr>
                    <w:t>箱</w:t>
                  </w:r>
                  <w:r>
                    <w:rPr>
                      <w:rFonts w:hint="eastAsia" w:cs="宋体"/>
                      <w:color w:val="FF0000"/>
                      <w:kern w:val="0"/>
                      <w:szCs w:val="21"/>
                    </w:rPr>
                    <w:t>、</w:t>
                  </w:r>
                  <w:r>
                    <w:rPr>
                      <w:rFonts w:hint="eastAsia" w:cs="宋体"/>
                      <w:color w:val="FF0000"/>
                      <w:kern w:val="0"/>
                      <w:szCs w:val="21"/>
                      <w:lang w:val="en-US" w:eastAsia="zh-CN"/>
                    </w:rPr>
                    <w:t>储</w:t>
                  </w:r>
                  <w:r>
                    <w:rPr>
                      <w:rFonts w:hint="eastAsia" w:cs="宋体"/>
                      <w:color w:val="FF0000"/>
                      <w:kern w:val="0"/>
                      <w:szCs w:val="21"/>
                    </w:rPr>
                    <w:t>罐区、卸油区、加油区、输油管</w:t>
                  </w:r>
                  <w:r>
                    <w:rPr>
                      <w:rFonts w:hint="eastAsia" w:cs="宋体"/>
                      <w:color w:val="FF0000"/>
                      <w:kern w:val="0"/>
                      <w:szCs w:val="21"/>
                      <w:lang w:val="en-US" w:eastAsia="zh-CN"/>
                    </w:rPr>
                    <w:t>线区</w:t>
                  </w:r>
                  <w:r>
                    <w:rPr>
                      <w:rFonts w:hint="eastAsia" w:cs="宋体"/>
                      <w:color w:val="FF0000"/>
                      <w:kern w:val="0"/>
                      <w:szCs w:val="21"/>
                    </w:rPr>
                    <w:t>等；一般防渗区：排水渠、化粪池、洗车区、隔油池</w:t>
                  </w:r>
                  <w:r>
                    <w:rPr>
                      <w:rFonts w:hint="eastAsia" w:cs="宋体"/>
                      <w:color w:val="FF0000"/>
                      <w:kern w:val="0"/>
                      <w:szCs w:val="21"/>
                      <w:lang w:eastAsia="zh-CN"/>
                    </w:rPr>
                    <w:t>、</w:t>
                  </w:r>
                  <w:r>
                    <w:rPr>
                      <w:rFonts w:hint="eastAsia" w:cs="宋体"/>
                      <w:color w:val="FF0000"/>
                      <w:kern w:val="0"/>
                      <w:szCs w:val="21"/>
                      <w:lang w:val="en-US" w:eastAsia="zh-CN"/>
                    </w:rPr>
                    <w:t>一体化（MBR）洗车废水处理设施</w:t>
                  </w:r>
                  <w:r>
                    <w:rPr>
                      <w:rFonts w:hint="eastAsia" w:cs="宋体"/>
                      <w:color w:val="FF0000"/>
                      <w:kern w:val="0"/>
                      <w:szCs w:val="21"/>
                    </w:rPr>
                    <w:t>等；简单防渗区：站房室内地面、站内道路</w:t>
                  </w:r>
                  <w:r>
                    <w:rPr>
                      <w:rFonts w:hint="eastAsia" w:cs="宋体"/>
                      <w:color w:val="FF0000"/>
                      <w:kern w:val="0"/>
                      <w:szCs w:val="21"/>
                      <w:lang w:eastAsia="zh-CN"/>
                    </w:rPr>
                    <w:t>。</w:t>
                  </w:r>
                </w:p>
                <w:p w14:paraId="0613CFF7">
                  <w:pPr>
                    <w:pStyle w:val="49"/>
                    <w:keepNext w:val="0"/>
                    <w:keepLines w:val="0"/>
                    <w:pageBreakBefore w:val="0"/>
                    <w:widowControl w:val="0"/>
                    <w:kinsoku/>
                    <w:wordWrap/>
                    <w:overflowPunct/>
                    <w:topLinePunct w:val="0"/>
                    <w:autoSpaceDE/>
                    <w:autoSpaceDN/>
                    <w:bidi w:val="0"/>
                    <w:adjustRightInd/>
                    <w:snapToGrid w:val="0"/>
                    <w:jc w:val="both"/>
                    <w:textAlignment w:val="auto"/>
                    <w:rPr>
                      <w:rFonts w:hint="eastAsia" w:cs="宋体"/>
                      <w:color w:val="FF0000"/>
                      <w:kern w:val="0"/>
                      <w:szCs w:val="21"/>
                      <w:lang w:eastAsia="zh-CN"/>
                    </w:rPr>
                  </w:pPr>
                  <w:r>
                    <w:rPr>
                      <w:rFonts w:hint="eastAsia" w:ascii="Times New Roman" w:hAnsi="Times New Roman" w:eastAsia="宋体" w:cs="Times New Roman"/>
                      <w:color w:val="FF0000"/>
                      <w:kern w:val="0"/>
                      <w:szCs w:val="21"/>
                    </w:rPr>
                    <w:t>设置一个地下水监测井，位于</w:t>
                  </w:r>
                  <w:r>
                    <w:rPr>
                      <w:rFonts w:hint="eastAsia" w:ascii="Times New Roman" w:hAnsi="Times New Roman" w:eastAsia="宋体" w:cs="Times New Roman"/>
                      <w:color w:val="FF0000"/>
                      <w:kern w:val="0"/>
                      <w:szCs w:val="21"/>
                      <w:lang w:val="en-US" w:eastAsia="zh-CN"/>
                    </w:rPr>
                    <w:t>储</w:t>
                  </w:r>
                  <w:r>
                    <w:rPr>
                      <w:rFonts w:hint="eastAsia" w:ascii="Times New Roman" w:hAnsi="Times New Roman" w:eastAsia="宋体" w:cs="Times New Roman"/>
                      <w:color w:val="FF0000"/>
                      <w:kern w:val="0"/>
                      <w:szCs w:val="21"/>
                    </w:rPr>
                    <w:t>罐区</w:t>
                  </w:r>
                  <w:r>
                    <w:rPr>
                      <w:rFonts w:hint="eastAsia" w:ascii="Times New Roman" w:hAnsi="Times New Roman" w:eastAsia="宋体" w:cs="Times New Roman"/>
                      <w:color w:val="FF0000"/>
                      <w:kern w:val="0"/>
                      <w:szCs w:val="21"/>
                      <w:lang w:val="en-US" w:eastAsia="zh-CN"/>
                    </w:rPr>
                    <w:t>东面</w:t>
                  </w:r>
                  <w:r>
                    <w:rPr>
                      <w:rFonts w:hint="eastAsia" w:ascii="Times New Roman" w:hAnsi="Times New Roman" w:eastAsia="宋体" w:cs="Times New Roman"/>
                      <w:color w:val="FF0000"/>
                      <w:kern w:val="0"/>
                      <w:szCs w:val="21"/>
                    </w:rPr>
                    <w:t>，井深5m。</w:t>
                  </w:r>
                </w:p>
              </w:tc>
              <w:tc>
                <w:tcPr>
                  <w:tcW w:w="369" w:type="pct"/>
                  <w:tcBorders>
                    <w:tl2br w:val="nil"/>
                    <w:tr2bl w:val="nil"/>
                  </w:tcBorders>
                  <w:vAlign w:val="center"/>
                </w:tcPr>
                <w:p w14:paraId="584BCA56">
                  <w:pPr>
                    <w:pStyle w:val="49"/>
                    <w:keepNext w:val="0"/>
                    <w:keepLines w:val="0"/>
                    <w:pageBreakBefore w:val="0"/>
                    <w:widowControl w:val="0"/>
                    <w:kinsoku/>
                    <w:wordWrap/>
                    <w:overflowPunct/>
                    <w:topLinePunct w:val="0"/>
                    <w:autoSpaceDE/>
                    <w:autoSpaceDN/>
                    <w:bidi w:val="0"/>
                    <w:adjustRightInd/>
                    <w:snapToGrid w:val="0"/>
                    <w:textAlignment w:val="auto"/>
                    <w:rPr>
                      <w:color w:val="FF0000"/>
                      <w:highlight w:val="none"/>
                    </w:rPr>
                  </w:pPr>
                  <w:r>
                    <w:rPr>
                      <w:rFonts w:hint="eastAsia"/>
                      <w:color w:val="FF0000"/>
                      <w:highlight w:val="none"/>
                      <w:lang w:val="en-US" w:eastAsia="zh-CN"/>
                    </w:rPr>
                    <w:t>新建</w:t>
                  </w:r>
                </w:p>
              </w:tc>
            </w:tr>
            <w:tr w14:paraId="0F6336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8" w:type="pct"/>
                  <w:vMerge w:val="continue"/>
                  <w:tcBorders>
                    <w:tl2br w:val="nil"/>
                    <w:tr2bl w:val="nil"/>
                  </w:tcBorders>
                  <w:vAlign w:val="center"/>
                </w:tcPr>
                <w:p w14:paraId="0A933286">
                  <w:pPr>
                    <w:pStyle w:val="49"/>
                    <w:keepNext w:val="0"/>
                    <w:keepLines w:val="0"/>
                    <w:pageBreakBefore w:val="0"/>
                    <w:widowControl w:val="0"/>
                    <w:kinsoku/>
                    <w:wordWrap/>
                    <w:overflowPunct/>
                    <w:topLinePunct w:val="0"/>
                    <w:autoSpaceDE/>
                    <w:autoSpaceDN/>
                    <w:bidi w:val="0"/>
                    <w:adjustRightInd/>
                    <w:snapToGrid w:val="0"/>
                    <w:textAlignment w:val="auto"/>
                    <w:rPr>
                      <w:highlight w:val="none"/>
                    </w:rPr>
                  </w:pPr>
                </w:p>
              </w:tc>
              <w:tc>
                <w:tcPr>
                  <w:tcW w:w="1174" w:type="pct"/>
                  <w:gridSpan w:val="2"/>
                  <w:tcBorders>
                    <w:tl2br w:val="nil"/>
                    <w:tr2bl w:val="nil"/>
                  </w:tcBorders>
                  <w:vAlign w:val="center"/>
                </w:tcPr>
                <w:p w14:paraId="135B74C7">
                  <w:pPr>
                    <w:pStyle w:val="49"/>
                    <w:keepNext w:val="0"/>
                    <w:keepLines w:val="0"/>
                    <w:pageBreakBefore w:val="0"/>
                    <w:widowControl w:val="0"/>
                    <w:kinsoku/>
                    <w:wordWrap/>
                    <w:overflowPunct/>
                    <w:topLinePunct w:val="0"/>
                    <w:autoSpaceDE/>
                    <w:autoSpaceDN/>
                    <w:bidi w:val="0"/>
                    <w:adjustRightInd/>
                    <w:snapToGrid w:val="0"/>
                    <w:textAlignment w:val="auto"/>
                    <w:rPr>
                      <w:rFonts w:hint="default" w:eastAsia="宋体"/>
                      <w:color w:val="FF0000"/>
                      <w:highlight w:val="none"/>
                      <w:lang w:val="en-US" w:eastAsia="zh-CN"/>
                    </w:rPr>
                  </w:pPr>
                  <w:r>
                    <w:rPr>
                      <w:rFonts w:hint="eastAsia"/>
                      <w:color w:val="FF0000"/>
                      <w:highlight w:val="none"/>
                      <w:lang w:val="en-US" w:eastAsia="zh-CN"/>
                    </w:rPr>
                    <w:t>环境风险防范措施</w:t>
                  </w:r>
                </w:p>
              </w:tc>
              <w:tc>
                <w:tcPr>
                  <w:tcW w:w="2877" w:type="pct"/>
                  <w:tcBorders>
                    <w:tl2br w:val="nil"/>
                    <w:tr2bl w:val="nil"/>
                  </w:tcBorders>
                  <w:vAlign w:val="center"/>
                </w:tcPr>
                <w:p w14:paraId="1A5F88FE">
                  <w:pPr>
                    <w:pStyle w:val="49"/>
                    <w:keepNext w:val="0"/>
                    <w:keepLines w:val="0"/>
                    <w:pageBreakBefore w:val="0"/>
                    <w:widowControl w:val="0"/>
                    <w:kinsoku/>
                    <w:wordWrap/>
                    <w:overflowPunct/>
                    <w:topLinePunct w:val="0"/>
                    <w:autoSpaceDE/>
                    <w:autoSpaceDN/>
                    <w:bidi w:val="0"/>
                    <w:adjustRightInd/>
                    <w:snapToGrid w:val="0"/>
                    <w:jc w:val="both"/>
                    <w:textAlignment w:val="auto"/>
                    <w:rPr>
                      <w:color w:val="FF0000"/>
                      <w:highlight w:val="none"/>
                    </w:rPr>
                  </w:pPr>
                  <w:r>
                    <w:rPr>
                      <w:rFonts w:cs="宋体"/>
                      <w:color w:val="FF0000"/>
                      <w:kern w:val="0"/>
                      <w:sz w:val="21"/>
                      <w:szCs w:val="21"/>
                    </w:rPr>
                    <w:t>灭火毯</w:t>
                  </w:r>
                  <w:r>
                    <w:rPr>
                      <w:rFonts w:hint="eastAsia" w:cs="宋体"/>
                      <w:color w:val="FF0000"/>
                      <w:kern w:val="0"/>
                      <w:sz w:val="21"/>
                      <w:szCs w:val="21"/>
                    </w:rPr>
                    <w:t>5块</w:t>
                  </w:r>
                  <w:r>
                    <w:rPr>
                      <w:rFonts w:hint="eastAsia" w:cs="宋体"/>
                      <w:color w:val="FF0000"/>
                      <w:kern w:val="0"/>
                      <w:sz w:val="21"/>
                      <w:szCs w:val="21"/>
                      <w:lang w:eastAsia="zh-CN"/>
                    </w:rPr>
                    <w:t>、</w:t>
                  </w:r>
                  <w:r>
                    <w:rPr>
                      <w:rFonts w:hint="eastAsia" w:cs="宋体"/>
                      <w:color w:val="FF0000"/>
                      <w:kern w:val="0"/>
                      <w:sz w:val="21"/>
                      <w:szCs w:val="21"/>
                    </w:rPr>
                    <w:t>5</w:t>
                  </w:r>
                  <w:r>
                    <w:rPr>
                      <w:rFonts w:cs="宋体"/>
                      <w:color w:val="FF0000"/>
                      <w:kern w:val="0"/>
                      <w:sz w:val="21"/>
                      <w:szCs w:val="21"/>
                    </w:rPr>
                    <w:t>kg</w:t>
                  </w:r>
                  <w:r>
                    <w:rPr>
                      <w:rFonts w:hint="eastAsia" w:cs="宋体"/>
                      <w:color w:val="FF0000"/>
                      <w:kern w:val="0"/>
                      <w:sz w:val="21"/>
                      <w:szCs w:val="21"/>
                    </w:rPr>
                    <w:t>手提式</w:t>
                  </w:r>
                  <w:r>
                    <w:rPr>
                      <w:rFonts w:cs="宋体"/>
                      <w:color w:val="FF0000"/>
                      <w:kern w:val="0"/>
                      <w:sz w:val="21"/>
                      <w:szCs w:val="21"/>
                    </w:rPr>
                    <w:t>干粉</w:t>
                  </w:r>
                  <w:r>
                    <w:rPr>
                      <w:rFonts w:hint="eastAsia" w:cs="宋体"/>
                      <w:color w:val="FF0000"/>
                      <w:kern w:val="0"/>
                      <w:sz w:val="21"/>
                      <w:szCs w:val="21"/>
                    </w:rPr>
                    <w:t>灭火器</w:t>
                  </w:r>
                  <w:r>
                    <w:rPr>
                      <w:rFonts w:hint="eastAsia" w:cs="宋体"/>
                      <w:color w:val="FF0000"/>
                      <w:kern w:val="0"/>
                      <w:sz w:val="21"/>
                      <w:szCs w:val="21"/>
                      <w:lang w:val="en-US" w:eastAsia="zh-CN"/>
                    </w:rPr>
                    <w:t>18个</w:t>
                  </w:r>
                  <w:r>
                    <w:rPr>
                      <w:rFonts w:hint="eastAsia" w:cs="宋体"/>
                      <w:color w:val="FF0000"/>
                      <w:kern w:val="0"/>
                      <w:sz w:val="21"/>
                      <w:szCs w:val="21"/>
                      <w:lang w:eastAsia="zh-CN"/>
                    </w:rPr>
                    <w:t>、</w:t>
                  </w:r>
                  <w:r>
                    <w:rPr>
                      <w:rFonts w:hint="eastAsia" w:cs="宋体"/>
                      <w:color w:val="FF0000"/>
                      <w:kern w:val="0"/>
                      <w:sz w:val="21"/>
                      <w:szCs w:val="21"/>
                    </w:rPr>
                    <w:t>50</w:t>
                  </w:r>
                  <w:r>
                    <w:rPr>
                      <w:rFonts w:cs="宋体"/>
                      <w:color w:val="FF0000"/>
                      <w:kern w:val="0"/>
                      <w:sz w:val="21"/>
                      <w:szCs w:val="21"/>
                    </w:rPr>
                    <w:t>kg</w:t>
                  </w:r>
                  <w:r>
                    <w:rPr>
                      <w:rFonts w:hint="eastAsia" w:cs="宋体"/>
                      <w:color w:val="FF0000"/>
                      <w:kern w:val="0"/>
                      <w:sz w:val="21"/>
                      <w:szCs w:val="21"/>
                    </w:rPr>
                    <w:t>推车式</w:t>
                  </w:r>
                  <w:r>
                    <w:rPr>
                      <w:rFonts w:cs="宋体"/>
                      <w:color w:val="FF0000"/>
                      <w:kern w:val="0"/>
                      <w:sz w:val="21"/>
                      <w:szCs w:val="21"/>
                    </w:rPr>
                    <w:t>干粉灭火器</w:t>
                  </w:r>
                  <w:r>
                    <w:rPr>
                      <w:rFonts w:hint="eastAsia" w:cs="宋体"/>
                      <w:color w:val="FF0000"/>
                      <w:kern w:val="0"/>
                      <w:sz w:val="21"/>
                      <w:szCs w:val="21"/>
                    </w:rPr>
                    <w:t>1台</w:t>
                  </w:r>
                  <w:r>
                    <w:rPr>
                      <w:rFonts w:hint="eastAsia" w:cs="宋体"/>
                      <w:color w:val="FF0000"/>
                      <w:kern w:val="0"/>
                      <w:sz w:val="21"/>
                      <w:szCs w:val="21"/>
                      <w:lang w:eastAsia="zh-CN"/>
                    </w:rPr>
                    <w:t>、</w:t>
                  </w:r>
                  <w:r>
                    <w:rPr>
                      <w:rFonts w:cs="宋体"/>
                      <w:color w:val="FF0000"/>
                      <w:kern w:val="0"/>
                      <w:sz w:val="21"/>
                      <w:szCs w:val="21"/>
                    </w:rPr>
                    <w:t>消防沙</w:t>
                  </w:r>
                  <w:r>
                    <w:rPr>
                      <w:rFonts w:hint="eastAsia" w:cs="宋体"/>
                      <w:color w:val="FF0000"/>
                      <w:kern w:val="0"/>
                      <w:sz w:val="21"/>
                      <w:szCs w:val="21"/>
                      <w:lang w:val="en-US" w:eastAsia="zh-CN"/>
                    </w:rPr>
                    <w:t>箱（</w:t>
                  </w:r>
                  <w:r>
                    <w:rPr>
                      <w:rFonts w:hint="eastAsia" w:cs="宋体"/>
                      <w:color w:val="FF0000"/>
                      <w:kern w:val="0"/>
                      <w:sz w:val="21"/>
                      <w:szCs w:val="21"/>
                    </w:rPr>
                    <w:t>2</w:t>
                  </w:r>
                  <w:r>
                    <w:rPr>
                      <w:rFonts w:cs="宋体"/>
                      <w:color w:val="FF0000"/>
                      <w:kern w:val="0"/>
                      <w:sz w:val="21"/>
                      <w:szCs w:val="21"/>
                    </w:rPr>
                    <w:t>m</w:t>
                  </w:r>
                  <w:r>
                    <w:rPr>
                      <w:rFonts w:cs="宋体"/>
                      <w:color w:val="FF0000"/>
                      <w:kern w:val="0"/>
                      <w:sz w:val="21"/>
                      <w:szCs w:val="21"/>
                      <w:vertAlign w:val="superscript"/>
                    </w:rPr>
                    <w:t>3</w:t>
                  </w:r>
                  <w:r>
                    <w:rPr>
                      <w:rFonts w:hint="eastAsia" w:cs="宋体"/>
                      <w:color w:val="FF0000"/>
                      <w:kern w:val="0"/>
                      <w:sz w:val="21"/>
                      <w:szCs w:val="21"/>
                      <w:lang w:val="en-US" w:eastAsia="zh-CN"/>
                    </w:rPr>
                    <w:t>）一个、消防铲3个、消防桶3个</w:t>
                  </w:r>
                  <w:r>
                    <w:rPr>
                      <w:rFonts w:hint="eastAsia" w:cs="宋体"/>
                      <w:color w:val="FF0000"/>
                      <w:kern w:val="0"/>
                      <w:sz w:val="21"/>
                      <w:szCs w:val="21"/>
                    </w:rPr>
                    <w:t>；安全帽</w:t>
                  </w:r>
                  <w:r>
                    <w:rPr>
                      <w:rFonts w:hint="eastAsia" w:cs="宋体"/>
                      <w:color w:val="FF0000"/>
                      <w:kern w:val="0"/>
                      <w:sz w:val="21"/>
                      <w:szCs w:val="21"/>
                      <w:lang w:eastAsia="zh-CN"/>
                    </w:rPr>
                    <w:t>、</w:t>
                  </w:r>
                  <w:r>
                    <w:rPr>
                      <w:rFonts w:hint="eastAsia" w:cs="宋体"/>
                      <w:color w:val="FF0000"/>
                      <w:kern w:val="0"/>
                      <w:sz w:val="21"/>
                      <w:szCs w:val="21"/>
                    </w:rPr>
                    <w:t>雨靴</w:t>
                  </w:r>
                  <w:r>
                    <w:rPr>
                      <w:rFonts w:hint="eastAsia" w:cs="宋体"/>
                      <w:color w:val="FF0000"/>
                      <w:kern w:val="0"/>
                      <w:sz w:val="21"/>
                      <w:szCs w:val="21"/>
                      <w:lang w:eastAsia="zh-CN"/>
                    </w:rPr>
                    <w:t>、</w:t>
                  </w:r>
                  <w:r>
                    <w:rPr>
                      <w:rFonts w:hint="eastAsia" w:cs="宋体"/>
                      <w:color w:val="FF0000"/>
                      <w:kern w:val="0"/>
                      <w:sz w:val="21"/>
                      <w:szCs w:val="21"/>
                    </w:rPr>
                    <w:t>吸油毡</w:t>
                  </w:r>
                  <w:r>
                    <w:rPr>
                      <w:rFonts w:hint="eastAsia" w:cs="宋体"/>
                      <w:color w:val="FF0000"/>
                      <w:kern w:val="0"/>
                      <w:sz w:val="21"/>
                      <w:szCs w:val="21"/>
                      <w:lang w:eastAsia="zh-CN"/>
                    </w:rPr>
                    <w:t>、</w:t>
                  </w:r>
                  <w:r>
                    <w:rPr>
                      <w:rFonts w:hint="eastAsia" w:cs="宋体"/>
                      <w:color w:val="FF0000"/>
                      <w:kern w:val="0"/>
                      <w:sz w:val="21"/>
                      <w:szCs w:val="21"/>
                    </w:rPr>
                    <w:t>吸油棉</w:t>
                  </w:r>
                  <w:r>
                    <w:rPr>
                      <w:rFonts w:hint="eastAsia" w:cs="宋体"/>
                      <w:color w:val="FF0000"/>
                      <w:kern w:val="0"/>
                      <w:sz w:val="21"/>
                      <w:szCs w:val="21"/>
                      <w:lang w:eastAsia="zh-CN"/>
                    </w:rPr>
                    <w:t>、</w:t>
                  </w:r>
                  <w:r>
                    <w:rPr>
                      <w:rFonts w:hint="eastAsia" w:cs="宋体"/>
                      <w:color w:val="FF0000"/>
                      <w:kern w:val="0"/>
                      <w:sz w:val="21"/>
                      <w:szCs w:val="21"/>
                    </w:rPr>
                    <w:t>呼吸面具</w:t>
                  </w:r>
                  <w:r>
                    <w:rPr>
                      <w:rFonts w:hint="eastAsia" w:cs="宋体"/>
                      <w:color w:val="FF0000"/>
                      <w:kern w:val="0"/>
                      <w:sz w:val="21"/>
                      <w:szCs w:val="21"/>
                      <w:lang w:eastAsia="zh-CN"/>
                    </w:rPr>
                    <w:t>、</w:t>
                  </w:r>
                  <w:r>
                    <w:rPr>
                      <w:rFonts w:hint="eastAsia" w:cs="宋体"/>
                      <w:color w:val="FF0000"/>
                      <w:kern w:val="0"/>
                      <w:sz w:val="21"/>
                      <w:szCs w:val="21"/>
                    </w:rPr>
                    <w:t>医用急救箱、应急照明设备</w:t>
                  </w:r>
                  <w:r>
                    <w:rPr>
                      <w:rFonts w:hint="eastAsia" w:cs="宋体"/>
                      <w:color w:val="FF0000"/>
                      <w:kern w:val="0"/>
                      <w:sz w:val="21"/>
                      <w:szCs w:val="21"/>
                      <w:lang w:eastAsia="zh-CN"/>
                    </w:rPr>
                    <w:t>、</w:t>
                  </w:r>
                  <w:r>
                    <w:rPr>
                      <w:rFonts w:hint="eastAsia" w:cs="宋体"/>
                      <w:color w:val="FF0000"/>
                      <w:kern w:val="0"/>
                      <w:sz w:val="21"/>
                      <w:szCs w:val="21"/>
                    </w:rPr>
                    <w:t>防毒面具、防护服等个人防护器材；警示牌、标识牌和报警器等其他风险防护措施</w:t>
                  </w:r>
                  <w:r>
                    <w:rPr>
                      <w:rFonts w:hint="eastAsia" w:cs="宋体"/>
                      <w:color w:val="FF0000"/>
                      <w:kern w:val="0"/>
                      <w:szCs w:val="21"/>
                    </w:rPr>
                    <w:t>；编制应急预案并开展演练</w:t>
                  </w:r>
                  <w:r>
                    <w:rPr>
                      <w:rFonts w:hint="eastAsia" w:cs="宋体"/>
                      <w:color w:val="FF0000"/>
                      <w:kern w:val="0"/>
                      <w:szCs w:val="21"/>
                      <w:lang w:eastAsia="zh-CN"/>
                    </w:rPr>
                    <w:t>。</w:t>
                  </w:r>
                </w:p>
              </w:tc>
              <w:tc>
                <w:tcPr>
                  <w:tcW w:w="369" w:type="pct"/>
                  <w:tcBorders>
                    <w:tl2br w:val="nil"/>
                    <w:tr2bl w:val="nil"/>
                  </w:tcBorders>
                  <w:vAlign w:val="center"/>
                </w:tcPr>
                <w:p w14:paraId="32F12E28">
                  <w:pPr>
                    <w:pStyle w:val="49"/>
                    <w:keepNext w:val="0"/>
                    <w:keepLines w:val="0"/>
                    <w:pageBreakBefore w:val="0"/>
                    <w:widowControl w:val="0"/>
                    <w:kinsoku/>
                    <w:wordWrap/>
                    <w:overflowPunct/>
                    <w:topLinePunct w:val="0"/>
                    <w:autoSpaceDE/>
                    <w:autoSpaceDN/>
                    <w:bidi w:val="0"/>
                    <w:adjustRightInd/>
                    <w:snapToGrid w:val="0"/>
                    <w:textAlignment w:val="auto"/>
                    <w:rPr>
                      <w:color w:val="FF0000"/>
                      <w:highlight w:val="none"/>
                    </w:rPr>
                  </w:pPr>
                  <w:r>
                    <w:rPr>
                      <w:rFonts w:hint="eastAsia"/>
                      <w:color w:val="FF0000"/>
                      <w:highlight w:val="none"/>
                      <w:lang w:val="en-US" w:eastAsia="zh-CN"/>
                    </w:rPr>
                    <w:t>新建</w:t>
                  </w:r>
                </w:p>
              </w:tc>
            </w:tr>
          </w:tbl>
          <w:p w14:paraId="14A6E53B">
            <w:pPr>
              <w:pStyle w:val="54"/>
              <w:keepNext w:val="0"/>
              <w:keepLines w:val="0"/>
              <w:pageBreakBefore w:val="0"/>
              <w:widowControl w:val="0"/>
              <w:numPr>
                <w:ilvl w:val="0"/>
                <w:numId w:val="0"/>
              </w:numPr>
              <w:kinsoku/>
              <w:wordWrap/>
              <w:overflowPunct/>
              <w:topLinePunct w:val="0"/>
              <w:autoSpaceDE/>
              <w:autoSpaceDN/>
              <w:bidi w:val="0"/>
              <w:adjustRightInd/>
              <w:snapToGrid/>
              <w:ind w:leftChars="0" w:firstLine="482" w:firstLineChars="200"/>
              <w:textAlignment w:val="auto"/>
              <w:rPr>
                <w:highlight w:val="none"/>
              </w:rPr>
            </w:pPr>
            <w:r>
              <w:rPr>
                <w:rFonts w:hint="eastAsia"/>
                <w:b/>
                <w:highlight w:val="none"/>
                <w:lang w:val="en-US" w:eastAsia="zh-CN"/>
              </w:rPr>
              <w:t>4、产品</w:t>
            </w:r>
            <w:r>
              <w:rPr>
                <w:rFonts w:hint="eastAsia"/>
                <w:b/>
                <w:highlight w:val="none"/>
              </w:rPr>
              <w:t>方案</w:t>
            </w:r>
          </w:p>
          <w:p w14:paraId="5E0D76A1">
            <w:pPr>
              <w:ind w:firstLine="480"/>
              <w:rPr>
                <w:highlight w:val="none"/>
              </w:rPr>
            </w:pPr>
            <w:r>
              <w:rPr>
                <w:rFonts w:hint="eastAsia" w:ascii="Times New Roman" w:hAnsi="Times New Roman" w:eastAsia="宋体"/>
                <w:color w:val="000000" w:themeColor="text1"/>
                <w:sz w:val="24"/>
                <w14:textFill>
                  <w14:solidFill>
                    <w14:schemeClr w14:val="tx1"/>
                  </w14:solidFill>
                </w14:textFill>
              </w:rPr>
              <w:t>本项目</w:t>
            </w:r>
            <w:r>
              <w:rPr>
                <w:rFonts w:ascii="Times New Roman" w:hAnsi="Times New Roman" w:eastAsia="宋体"/>
                <w:color w:val="000000" w:themeColor="text1"/>
                <w:sz w:val="24"/>
                <w14:textFill>
                  <w14:solidFill>
                    <w14:schemeClr w14:val="tx1"/>
                  </w14:solidFill>
                </w14:textFill>
              </w:rPr>
              <w:t>主要从事</w:t>
            </w:r>
            <w:r>
              <w:rPr>
                <w:rFonts w:hint="eastAsia" w:ascii="Times New Roman" w:hAnsi="Times New Roman" w:eastAsia="宋体"/>
                <w:color w:val="000000" w:themeColor="text1"/>
                <w:sz w:val="24"/>
                <w14:textFill>
                  <w14:solidFill>
                    <w14:schemeClr w14:val="tx1"/>
                  </w14:solidFill>
                </w14:textFill>
              </w:rPr>
              <w:t>92</w:t>
            </w:r>
            <w:r>
              <w:rPr>
                <w:rFonts w:ascii="Times New Roman" w:hAnsi="Times New Roman" w:eastAsia="宋体"/>
                <w:color w:val="000000" w:themeColor="text1"/>
                <w:sz w:val="24"/>
                <w14:textFill>
                  <w14:solidFill>
                    <w14:schemeClr w14:val="tx1"/>
                  </w14:solidFill>
                </w14:textFill>
              </w:rPr>
              <w:t>#汽油、95#汽油和</w:t>
            </w:r>
            <w:r>
              <w:rPr>
                <w:rFonts w:hint="eastAsia" w:ascii="Times New Roman" w:hAnsi="Times New Roman" w:eastAsia="宋体"/>
                <w:color w:val="000000" w:themeColor="text1"/>
                <w:sz w:val="24"/>
                <w14:textFill>
                  <w14:solidFill>
                    <w14:schemeClr w14:val="tx1"/>
                  </w14:solidFill>
                </w14:textFill>
              </w:rPr>
              <w:t>0</w:t>
            </w:r>
            <w:r>
              <w:rPr>
                <w:rFonts w:ascii="Times New Roman" w:hAnsi="Times New Roman" w:eastAsia="宋体"/>
                <w:color w:val="000000" w:themeColor="text1"/>
                <w:sz w:val="24"/>
                <w14:textFill>
                  <w14:solidFill>
                    <w14:schemeClr w14:val="tx1"/>
                  </w14:solidFill>
                </w14:textFill>
              </w:rPr>
              <w:t>#柴油加油</w:t>
            </w:r>
            <w:r>
              <w:rPr>
                <w:rFonts w:hint="eastAsia" w:ascii="Times New Roman" w:hAnsi="Times New Roman" w:eastAsia="宋体"/>
                <w:color w:val="000000" w:themeColor="text1"/>
                <w:sz w:val="24"/>
                <w14:textFill>
                  <w14:solidFill>
                    <w14:schemeClr w14:val="tx1"/>
                  </w14:solidFill>
                </w14:textFill>
              </w:rPr>
              <w:t>业务，</w:t>
            </w:r>
            <w:r>
              <w:rPr>
                <w:rFonts w:ascii="Times New Roman" w:hAnsi="Times New Roman" w:eastAsia="宋体"/>
                <w:color w:val="000000" w:themeColor="text1"/>
                <w:sz w:val="24"/>
                <w14:textFill>
                  <w14:solidFill>
                    <w14:schemeClr w14:val="tx1"/>
                  </w14:solidFill>
                </w14:textFill>
              </w:rPr>
              <w:t>年销售</w:t>
            </w:r>
            <w:r>
              <w:rPr>
                <w:rFonts w:hint="eastAsia" w:ascii="Times New Roman" w:hAnsi="Times New Roman" w:eastAsia="宋体"/>
                <w:color w:val="000000" w:themeColor="text1"/>
                <w:sz w:val="24"/>
                <w14:textFill>
                  <w14:solidFill>
                    <w14:schemeClr w14:val="tx1"/>
                  </w14:solidFill>
                </w14:textFill>
              </w:rPr>
              <w:t>92</w:t>
            </w:r>
            <w:r>
              <w:rPr>
                <w:rFonts w:ascii="Times New Roman" w:hAnsi="Times New Roman" w:eastAsia="宋体"/>
                <w:color w:val="000000" w:themeColor="text1"/>
                <w:sz w:val="24"/>
                <w14:textFill>
                  <w14:solidFill>
                    <w14:schemeClr w14:val="tx1"/>
                  </w14:solidFill>
                </w14:textFill>
              </w:rPr>
              <w:t>#汽油</w:t>
            </w:r>
            <w:r>
              <w:rPr>
                <w:rFonts w:hint="eastAsia" w:ascii="Times New Roman" w:hAnsi="Times New Roman" w:eastAsia="宋体"/>
                <w:color w:val="000000" w:themeColor="text1"/>
                <w:sz w:val="24"/>
                <w:lang w:val="en-US" w:eastAsia="zh-CN"/>
                <w14:textFill>
                  <w14:solidFill>
                    <w14:schemeClr w14:val="tx1"/>
                  </w14:solidFill>
                </w14:textFill>
              </w:rPr>
              <w:t>734.4</w:t>
            </w:r>
            <w:r>
              <w:rPr>
                <w:rFonts w:ascii="Times New Roman" w:hAnsi="Times New Roman" w:eastAsia="宋体"/>
                <w:color w:val="000000" w:themeColor="text1"/>
                <w:sz w:val="24"/>
                <w14:textFill>
                  <w14:solidFill>
                    <w14:schemeClr w14:val="tx1"/>
                  </w14:solidFill>
                </w14:textFill>
              </w:rPr>
              <w:t>t/a</w:t>
            </w:r>
            <w:r>
              <w:rPr>
                <w:rFonts w:hint="eastAsia" w:ascii="Times New Roman" w:hAnsi="Times New Roman" w:eastAsia="宋体"/>
                <w:color w:val="000000" w:themeColor="text1"/>
                <w:sz w:val="24"/>
                <w14:textFill>
                  <w14:solidFill>
                    <w14:schemeClr w14:val="tx1"/>
                  </w14:solidFill>
                </w14:textFill>
              </w:rPr>
              <w:t>，95</w:t>
            </w:r>
            <w:r>
              <w:rPr>
                <w:rFonts w:ascii="Times New Roman" w:hAnsi="Times New Roman" w:eastAsia="宋体"/>
                <w:color w:val="000000" w:themeColor="text1"/>
                <w:sz w:val="24"/>
                <w14:textFill>
                  <w14:solidFill>
                    <w14:schemeClr w14:val="tx1"/>
                  </w14:solidFill>
                </w14:textFill>
              </w:rPr>
              <w:t>#汽油</w:t>
            </w:r>
            <w:r>
              <w:rPr>
                <w:rFonts w:hint="eastAsia" w:ascii="Times New Roman" w:hAnsi="Times New Roman" w:eastAsia="宋体"/>
                <w:color w:val="000000" w:themeColor="text1"/>
                <w:sz w:val="24"/>
                <w:lang w:val="en-US" w:eastAsia="zh-CN"/>
                <w14:textFill>
                  <w14:solidFill>
                    <w14:schemeClr w14:val="tx1"/>
                  </w14:solidFill>
                </w14:textFill>
              </w:rPr>
              <w:t>765</w:t>
            </w:r>
            <w:r>
              <w:rPr>
                <w:rFonts w:ascii="Times New Roman" w:hAnsi="Times New Roman" w:eastAsia="宋体"/>
                <w:color w:val="000000" w:themeColor="text1"/>
                <w:sz w:val="24"/>
                <w14:textFill>
                  <w14:solidFill>
                    <w14:schemeClr w14:val="tx1"/>
                  </w14:solidFill>
                </w14:textFill>
              </w:rPr>
              <w:t>t/a</w:t>
            </w:r>
            <w:r>
              <w:rPr>
                <w:rFonts w:hint="eastAsia" w:ascii="Times New Roman" w:hAnsi="Times New Roman" w:eastAsia="宋体"/>
                <w:color w:val="000000" w:themeColor="text1"/>
                <w:sz w:val="24"/>
                <w14:textFill>
                  <w14:solidFill>
                    <w14:schemeClr w14:val="tx1"/>
                  </w14:solidFill>
                </w14:textFill>
              </w:rPr>
              <w:t>，0</w:t>
            </w:r>
            <w:r>
              <w:rPr>
                <w:rFonts w:ascii="Times New Roman" w:hAnsi="Times New Roman" w:eastAsia="宋体"/>
                <w:color w:val="000000" w:themeColor="text1"/>
                <w:sz w:val="24"/>
                <w14:textFill>
                  <w14:solidFill>
                    <w14:schemeClr w14:val="tx1"/>
                  </w14:solidFill>
                </w14:textFill>
              </w:rPr>
              <w:t>#柴油</w:t>
            </w:r>
            <w:r>
              <w:rPr>
                <w:rFonts w:hint="eastAsia" w:ascii="Times New Roman" w:hAnsi="Times New Roman" w:eastAsia="宋体"/>
                <w:color w:val="000000" w:themeColor="text1"/>
                <w:sz w:val="24"/>
                <w:lang w:val="en-US" w:eastAsia="zh-CN"/>
                <w14:textFill>
                  <w14:solidFill>
                    <w14:schemeClr w14:val="tx1"/>
                  </w14:solidFill>
                </w14:textFill>
              </w:rPr>
              <w:t>2856</w:t>
            </w:r>
            <w:r>
              <w:rPr>
                <w:rFonts w:ascii="Times New Roman" w:hAnsi="Times New Roman" w:eastAsia="宋体"/>
                <w:color w:val="000000" w:themeColor="text1"/>
                <w:sz w:val="24"/>
                <w14:textFill>
                  <w14:solidFill>
                    <w14:schemeClr w14:val="tx1"/>
                  </w14:solidFill>
                </w14:textFill>
              </w:rPr>
              <w:t>t/a</w:t>
            </w:r>
            <w:r>
              <w:rPr>
                <w:rFonts w:hint="eastAsia" w:ascii="Times New Roman" w:hAnsi="Times New Roman" w:eastAsia="宋体"/>
                <w:color w:val="000000" w:themeColor="text1"/>
                <w:sz w:val="24"/>
                <w14:textFill>
                  <w14:solidFill>
                    <w14:schemeClr w14:val="tx1"/>
                  </w14:solidFill>
                </w14:textFill>
              </w:rPr>
              <w:t>。</w:t>
            </w:r>
            <w:r>
              <w:rPr>
                <w:rFonts w:hint="eastAsia" w:ascii="Times New Roman" w:hAnsi="Times New Roman" w:eastAsia="宋体"/>
                <w:color w:val="000000" w:themeColor="text1"/>
                <w:sz w:val="24"/>
                <w:lang w:val="en-US" w:eastAsia="zh-CN"/>
                <w14:textFill>
                  <w14:solidFill>
                    <w14:schemeClr w14:val="tx1"/>
                  </w14:solidFill>
                </w14:textFill>
              </w:rPr>
              <w:t>项目</w:t>
            </w:r>
            <w:r>
              <w:rPr>
                <w:rFonts w:ascii="Times New Roman" w:hAnsi="Times New Roman" w:eastAsia="宋体"/>
                <w:color w:val="000000" w:themeColor="text1"/>
                <w:sz w:val="24"/>
                <w14:textFill>
                  <w14:solidFill>
                    <w14:schemeClr w14:val="tx1"/>
                  </w14:solidFill>
                </w14:textFill>
              </w:rPr>
              <w:t>共设置4</w:t>
            </w:r>
            <w:r>
              <w:rPr>
                <w:rFonts w:hint="eastAsia" w:ascii="Times New Roman" w:hAnsi="Times New Roman" w:eastAsia="宋体"/>
                <w:color w:val="000000" w:themeColor="text1"/>
                <w:sz w:val="24"/>
                <w14:textFill>
                  <w14:solidFill>
                    <w14:schemeClr w14:val="tx1"/>
                  </w14:solidFill>
                </w14:textFill>
              </w:rPr>
              <w:t>台</w:t>
            </w:r>
            <w:r>
              <w:rPr>
                <w:rFonts w:ascii="Times New Roman" w:hAnsi="Times New Roman" w:eastAsia="宋体"/>
                <w:color w:val="000000" w:themeColor="text1"/>
                <w:sz w:val="24"/>
                <w14:textFill>
                  <w14:solidFill>
                    <w14:schemeClr w14:val="tx1"/>
                  </w14:solidFill>
                </w14:textFill>
              </w:rPr>
              <w:t>加油机，</w:t>
            </w:r>
            <w:r>
              <w:rPr>
                <w:rFonts w:hint="eastAsia" w:ascii="Times New Roman" w:hAnsi="Times New Roman" w:eastAsia="宋体"/>
                <w:color w:val="000000" w:themeColor="text1"/>
                <w:sz w:val="24"/>
                <w:lang w:val="en-US" w:eastAsia="zh-CN"/>
                <w14:textFill>
                  <w14:solidFill>
                    <w14:schemeClr w14:val="tx1"/>
                  </w14:solidFill>
                </w14:textFill>
              </w:rPr>
              <w:t>4</w:t>
            </w:r>
            <w:r>
              <w:rPr>
                <w:rFonts w:hint="eastAsia"/>
                <w:color w:val="000000" w:themeColor="text1"/>
                <w:sz w:val="24"/>
                <w:lang w:val="en-US" w:eastAsia="zh-CN"/>
                <w14:textFill>
                  <w14:solidFill>
                    <w14:schemeClr w14:val="tx1"/>
                  </w14:solidFill>
                </w14:textFill>
              </w:rPr>
              <w:t>座</w:t>
            </w:r>
            <w:r>
              <w:rPr>
                <w:rFonts w:hint="eastAsia" w:ascii="Times New Roman" w:hAnsi="Times New Roman" w:eastAsia="宋体"/>
                <w:color w:val="000000" w:themeColor="text1"/>
                <w:sz w:val="24"/>
                <w14:textFill>
                  <w14:solidFill>
                    <w14:schemeClr w14:val="tx1"/>
                  </w14:solidFill>
                </w14:textFill>
              </w:rPr>
              <w:t>油罐</w:t>
            </w:r>
            <w:r>
              <w:rPr>
                <w:rFonts w:ascii="Times New Roman" w:hAnsi="Times New Roman" w:eastAsia="宋体"/>
                <w:color w:val="000000" w:themeColor="text1"/>
                <w:sz w:val="24"/>
                <w14:textFill>
                  <w14:solidFill>
                    <w14:schemeClr w14:val="tx1"/>
                  </w14:solidFill>
                </w14:textFill>
              </w:rPr>
              <w:t>，均为</w:t>
            </w:r>
            <w:r>
              <w:rPr>
                <w:rFonts w:hint="eastAsia" w:ascii="Times New Roman" w:hAnsi="Times New Roman" w:eastAsia="宋体"/>
                <w:color w:val="000000" w:themeColor="text1"/>
                <w:sz w:val="24"/>
                <w14:textFill>
                  <w14:solidFill>
                    <w14:schemeClr w14:val="tx1"/>
                  </w14:solidFill>
                </w14:textFill>
              </w:rPr>
              <w:t>S</w:t>
            </w:r>
            <w:r>
              <w:rPr>
                <w:rFonts w:ascii="Times New Roman" w:hAnsi="Times New Roman" w:eastAsia="宋体"/>
                <w:color w:val="000000" w:themeColor="text1"/>
                <w:sz w:val="24"/>
                <w14:textFill>
                  <w14:solidFill>
                    <w14:schemeClr w14:val="tx1"/>
                  </w14:solidFill>
                </w14:textFill>
              </w:rPr>
              <w:t>F双层罐，其中</w:t>
            </w:r>
            <w:r>
              <w:rPr>
                <w:rFonts w:hint="eastAsia" w:ascii="Times New Roman" w:hAnsi="Times New Roman" w:eastAsia="宋体"/>
                <w:color w:val="000000" w:themeColor="text1"/>
                <w:sz w:val="24"/>
                <w14:textFill>
                  <w14:solidFill>
                    <w14:schemeClr w14:val="tx1"/>
                  </w14:solidFill>
                </w14:textFill>
              </w:rPr>
              <w:t>92</w:t>
            </w:r>
            <w:r>
              <w:rPr>
                <w:rFonts w:ascii="Times New Roman" w:hAnsi="Times New Roman" w:eastAsia="宋体"/>
                <w:color w:val="000000" w:themeColor="text1"/>
                <w:sz w:val="24"/>
                <w14:textFill>
                  <w14:solidFill>
                    <w14:schemeClr w14:val="tx1"/>
                  </w14:solidFill>
                </w14:textFill>
              </w:rPr>
              <w:t>#</w:t>
            </w:r>
            <w:r>
              <w:rPr>
                <w:rFonts w:hint="eastAsia" w:ascii="Times New Roman" w:hAnsi="Times New Roman" w:eastAsia="宋体"/>
                <w:color w:val="000000" w:themeColor="text1"/>
                <w:sz w:val="24"/>
                <w14:textFill>
                  <w14:solidFill>
                    <w14:schemeClr w14:val="tx1"/>
                  </w14:solidFill>
                </w14:textFill>
              </w:rPr>
              <w:t>汽油罐</w:t>
            </w:r>
            <w:r>
              <w:rPr>
                <w:rFonts w:hint="eastAsia" w:ascii="Times New Roman" w:hAnsi="Times New Roman" w:eastAsia="宋体"/>
                <w:color w:val="000000" w:themeColor="text1"/>
                <w:sz w:val="24"/>
                <w:lang w:val="en-US" w:eastAsia="zh-CN"/>
                <w14:textFill>
                  <w14:solidFill>
                    <w14:schemeClr w14:val="tx1"/>
                  </w14:solidFill>
                </w14:textFill>
              </w:rPr>
              <w:t>1</w:t>
            </w:r>
            <w:r>
              <w:rPr>
                <w:rFonts w:hint="eastAsia"/>
                <w:color w:val="000000" w:themeColor="text1"/>
                <w:sz w:val="24"/>
                <w:lang w:val="en-US" w:eastAsia="zh-CN"/>
                <w14:textFill>
                  <w14:solidFill>
                    <w14:schemeClr w14:val="tx1"/>
                  </w14:solidFill>
                </w14:textFill>
              </w:rPr>
              <w:t>座</w:t>
            </w:r>
            <w:r>
              <w:rPr>
                <w:rFonts w:ascii="Times New Roman" w:hAnsi="Times New Roman" w:eastAsia="宋体"/>
                <w:color w:val="000000" w:themeColor="text1"/>
                <w:sz w:val="24"/>
                <w14:textFill>
                  <w14:solidFill>
                    <w14:schemeClr w14:val="tx1"/>
                  </w14:solidFill>
                </w14:textFill>
              </w:rPr>
              <w:t>，容积为</w:t>
            </w:r>
            <w:r>
              <w:rPr>
                <w:rFonts w:hint="eastAsia" w:ascii="Times New Roman" w:hAnsi="Times New Roman" w:eastAsia="宋体"/>
                <w:color w:val="000000" w:themeColor="text1"/>
                <w:sz w:val="24"/>
                <w14:textFill>
                  <w14:solidFill>
                    <w14:schemeClr w14:val="tx1"/>
                  </w14:solidFill>
                </w14:textFill>
              </w:rPr>
              <w:t>30</w:t>
            </w:r>
            <w:r>
              <w:rPr>
                <w:rFonts w:ascii="Times New Roman" w:hAnsi="Times New Roman" w:eastAsia="宋体"/>
                <w:color w:val="000000" w:themeColor="text1"/>
                <w:sz w:val="24"/>
                <w14:textFill>
                  <w14:solidFill>
                    <w14:schemeClr w14:val="tx1"/>
                  </w14:solidFill>
                </w14:textFill>
              </w:rPr>
              <w:t>m</w:t>
            </w:r>
            <w:r>
              <w:rPr>
                <w:rFonts w:ascii="Times New Roman" w:hAnsi="Times New Roman" w:eastAsia="宋体"/>
                <w:color w:val="000000" w:themeColor="text1"/>
                <w:sz w:val="24"/>
                <w:vertAlign w:val="superscript"/>
                <w14:textFill>
                  <w14:solidFill>
                    <w14:schemeClr w14:val="tx1"/>
                  </w14:solidFill>
                </w14:textFill>
              </w:rPr>
              <w:t>3</w:t>
            </w:r>
            <w:r>
              <w:rPr>
                <w:rFonts w:hint="eastAsia" w:ascii="Times New Roman" w:hAnsi="Times New Roman" w:eastAsia="宋体"/>
                <w:color w:val="000000" w:themeColor="text1"/>
                <w:sz w:val="24"/>
                <w14:textFill>
                  <w14:solidFill>
                    <w14:schemeClr w14:val="tx1"/>
                  </w14:solidFill>
                </w14:textFill>
              </w:rPr>
              <w:t>；95</w:t>
            </w:r>
            <w:r>
              <w:rPr>
                <w:rFonts w:ascii="Times New Roman" w:hAnsi="Times New Roman" w:eastAsia="宋体"/>
                <w:color w:val="000000" w:themeColor="text1"/>
                <w:sz w:val="24"/>
                <w14:textFill>
                  <w14:solidFill>
                    <w14:schemeClr w14:val="tx1"/>
                  </w14:solidFill>
                </w14:textFill>
              </w:rPr>
              <w:t>#</w:t>
            </w:r>
            <w:r>
              <w:rPr>
                <w:rFonts w:hint="eastAsia" w:ascii="Times New Roman" w:hAnsi="Times New Roman" w:eastAsia="宋体"/>
                <w:color w:val="000000" w:themeColor="text1"/>
                <w:sz w:val="24"/>
                <w14:textFill>
                  <w14:solidFill>
                    <w14:schemeClr w14:val="tx1"/>
                  </w14:solidFill>
                </w14:textFill>
              </w:rPr>
              <w:t>汽油罐</w:t>
            </w:r>
            <w:r>
              <w:rPr>
                <w:rFonts w:hint="eastAsia" w:ascii="Times New Roman" w:hAnsi="Times New Roman" w:eastAsia="宋体"/>
                <w:color w:val="000000" w:themeColor="text1"/>
                <w:sz w:val="24"/>
                <w:lang w:val="en-US" w:eastAsia="zh-CN"/>
                <w14:textFill>
                  <w14:solidFill>
                    <w14:schemeClr w14:val="tx1"/>
                  </w14:solidFill>
                </w14:textFill>
              </w:rPr>
              <w:t>1</w:t>
            </w:r>
            <w:r>
              <w:rPr>
                <w:rFonts w:hint="eastAsia"/>
                <w:color w:val="000000" w:themeColor="text1"/>
                <w:sz w:val="24"/>
                <w:lang w:val="en-US" w:eastAsia="zh-CN"/>
                <w14:textFill>
                  <w14:solidFill>
                    <w14:schemeClr w14:val="tx1"/>
                  </w14:solidFill>
                </w14:textFill>
              </w:rPr>
              <w:t>座</w:t>
            </w:r>
            <w:r>
              <w:rPr>
                <w:rFonts w:ascii="Times New Roman" w:hAnsi="Times New Roman" w:eastAsia="宋体"/>
                <w:color w:val="000000" w:themeColor="text1"/>
                <w:sz w:val="24"/>
                <w14:textFill>
                  <w14:solidFill>
                    <w14:schemeClr w14:val="tx1"/>
                  </w14:solidFill>
                </w14:textFill>
              </w:rPr>
              <w:t>，容积为</w:t>
            </w:r>
            <w:r>
              <w:rPr>
                <w:rFonts w:hint="eastAsia" w:ascii="Times New Roman" w:hAnsi="Times New Roman" w:eastAsia="宋体"/>
                <w:color w:val="000000" w:themeColor="text1"/>
                <w:sz w:val="24"/>
                <w14:textFill>
                  <w14:solidFill>
                    <w14:schemeClr w14:val="tx1"/>
                  </w14:solidFill>
                </w14:textFill>
              </w:rPr>
              <w:t>30</w:t>
            </w:r>
            <w:r>
              <w:rPr>
                <w:rFonts w:ascii="Times New Roman" w:hAnsi="Times New Roman" w:eastAsia="宋体"/>
                <w:color w:val="000000" w:themeColor="text1"/>
                <w:sz w:val="24"/>
                <w14:textFill>
                  <w14:solidFill>
                    <w14:schemeClr w14:val="tx1"/>
                  </w14:solidFill>
                </w14:textFill>
              </w:rPr>
              <w:t>m</w:t>
            </w:r>
            <w:r>
              <w:rPr>
                <w:rFonts w:ascii="Times New Roman" w:hAnsi="Times New Roman" w:eastAsia="宋体"/>
                <w:color w:val="000000" w:themeColor="text1"/>
                <w:sz w:val="24"/>
                <w:vertAlign w:val="superscript"/>
                <w14:textFill>
                  <w14:solidFill>
                    <w14:schemeClr w14:val="tx1"/>
                  </w14:solidFill>
                </w14:textFill>
              </w:rPr>
              <w:t>3</w:t>
            </w:r>
            <w:r>
              <w:rPr>
                <w:rFonts w:hint="eastAsia" w:ascii="Times New Roman" w:hAnsi="Times New Roman" w:eastAsia="宋体"/>
                <w:color w:val="000000" w:themeColor="text1"/>
                <w:sz w:val="24"/>
                <w:vertAlign w:val="baseline"/>
                <w:lang w:eastAsia="zh-CN"/>
                <w14:textFill>
                  <w14:solidFill>
                    <w14:schemeClr w14:val="tx1"/>
                  </w14:solidFill>
                </w14:textFill>
              </w:rPr>
              <w:t>；</w:t>
            </w:r>
            <w:r>
              <w:rPr>
                <w:rFonts w:hint="eastAsia" w:ascii="Times New Roman" w:hAnsi="Times New Roman" w:eastAsia="宋体"/>
                <w:color w:val="000000" w:themeColor="text1"/>
                <w:sz w:val="24"/>
                <w14:textFill>
                  <w14:solidFill>
                    <w14:schemeClr w14:val="tx1"/>
                  </w14:solidFill>
                </w14:textFill>
              </w:rPr>
              <w:t>0</w:t>
            </w:r>
            <w:r>
              <w:rPr>
                <w:rFonts w:ascii="Times New Roman" w:hAnsi="Times New Roman" w:eastAsia="宋体"/>
                <w:color w:val="000000" w:themeColor="text1"/>
                <w:sz w:val="24"/>
                <w14:textFill>
                  <w14:solidFill>
                    <w14:schemeClr w14:val="tx1"/>
                  </w14:solidFill>
                </w14:textFill>
              </w:rPr>
              <w:t>#柴油罐2</w:t>
            </w:r>
            <w:r>
              <w:rPr>
                <w:rFonts w:hint="eastAsia"/>
                <w:color w:val="000000" w:themeColor="text1"/>
                <w:sz w:val="24"/>
                <w:lang w:val="en-US" w:eastAsia="zh-CN"/>
                <w14:textFill>
                  <w14:solidFill>
                    <w14:schemeClr w14:val="tx1"/>
                  </w14:solidFill>
                </w14:textFill>
              </w:rPr>
              <w:t>座</w:t>
            </w:r>
            <w:r>
              <w:rPr>
                <w:rFonts w:ascii="Times New Roman" w:hAnsi="Times New Roman" w:eastAsia="宋体"/>
                <w:color w:val="000000" w:themeColor="text1"/>
                <w:sz w:val="24"/>
                <w14:textFill>
                  <w14:solidFill>
                    <w14:schemeClr w14:val="tx1"/>
                  </w14:solidFill>
                </w14:textFill>
              </w:rPr>
              <w:t>，容积</w:t>
            </w:r>
            <w:r>
              <w:rPr>
                <w:rFonts w:hint="eastAsia" w:ascii="Times New Roman" w:hAnsi="Times New Roman" w:eastAsia="宋体"/>
                <w:color w:val="000000" w:themeColor="text1"/>
                <w:sz w:val="24"/>
                <w14:textFill>
                  <w14:solidFill>
                    <w14:schemeClr w14:val="tx1"/>
                  </w14:solidFill>
                </w14:textFill>
              </w:rPr>
              <w:t>均</w:t>
            </w:r>
            <w:r>
              <w:rPr>
                <w:rFonts w:ascii="Times New Roman" w:hAnsi="Times New Roman" w:eastAsia="宋体"/>
                <w:color w:val="000000" w:themeColor="text1"/>
                <w:sz w:val="24"/>
                <w14:textFill>
                  <w14:solidFill>
                    <w14:schemeClr w14:val="tx1"/>
                  </w14:solidFill>
                </w14:textFill>
              </w:rPr>
              <w:t>为</w:t>
            </w:r>
            <w:r>
              <w:rPr>
                <w:rFonts w:hint="eastAsia" w:ascii="Times New Roman" w:hAnsi="Times New Roman" w:eastAsia="宋体"/>
                <w:color w:val="000000" w:themeColor="text1"/>
                <w:sz w:val="24"/>
                <w:lang w:val="en-US" w:eastAsia="zh-CN"/>
                <w14:textFill>
                  <w14:solidFill>
                    <w14:schemeClr w14:val="tx1"/>
                  </w14:solidFill>
                </w14:textFill>
              </w:rPr>
              <w:t>5</w:t>
            </w:r>
            <w:r>
              <w:rPr>
                <w:rFonts w:hint="eastAsia" w:ascii="Times New Roman" w:hAnsi="Times New Roman" w:eastAsia="宋体"/>
                <w:color w:val="000000" w:themeColor="text1"/>
                <w:sz w:val="24"/>
                <w14:textFill>
                  <w14:solidFill>
                    <w14:schemeClr w14:val="tx1"/>
                  </w14:solidFill>
                </w14:textFill>
              </w:rPr>
              <w:t>0</w:t>
            </w:r>
            <w:r>
              <w:rPr>
                <w:rFonts w:ascii="Times New Roman" w:hAnsi="Times New Roman" w:eastAsia="宋体"/>
                <w:color w:val="000000" w:themeColor="text1"/>
                <w:sz w:val="24"/>
                <w14:textFill>
                  <w14:solidFill>
                    <w14:schemeClr w14:val="tx1"/>
                  </w14:solidFill>
                </w14:textFill>
              </w:rPr>
              <w:t>m</w:t>
            </w:r>
            <w:r>
              <w:rPr>
                <w:rFonts w:ascii="Times New Roman" w:hAnsi="Times New Roman" w:eastAsia="宋体"/>
                <w:color w:val="000000" w:themeColor="text1"/>
                <w:sz w:val="24"/>
                <w:vertAlign w:val="superscript"/>
                <w14:textFill>
                  <w14:solidFill>
                    <w14:schemeClr w14:val="tx1"/>
                  </w14:solidFill>
                </w14:textFill>
              </w:rPr>
              <w:t>3</w:t>
            </w:r>
            <w:r>
              <w:rPr>
                <w:rFonts w:hint="eastAsia" w:ascii="Times New Roman" w:hAnsi="Times New Roman" w:eastAsia="宋体"/>
                <w:color w:val="000000" w:themeColor="text1"/>
                <w:sz w:val="24"/>
                <w14:textFill>
                  <w14:solidFill>
                    <w14:schemeClr w14:val="tx1"/>
                  </w14:solidFill>
                </w14:textFill>
              </w:rPr>
              <w:t>，总</w:t>
            </w:r>
            <w:r>
              <w:rPr>
                <w:rFonts w:hint="eastAsia" w:ascii="Times New Roman" w:hAnsi="Times New Roman" w:eastAsia="宋体"/>
                <w:color w:val="000000" w:themeColor="text1"/>
                <w:sz w:val="24"/>
                <w:lang w:val="en-US" w:eastAsia="zh-CN"/>
                <w14:textFill>
                  <w14:solidFill>
                    <w14:schemeClr w14:val="tx1"/>
                  </w14:solidFill>
                </w14:textFill>
              </w:rPr>
              <w:t>贮</w:t>
            </w:r>
            <w:r>
              <w:rPr>
                <w:rFonts w:ascii="Times New Roman" w:hAnsi="Times New Roman" w:eastAsia="宋体"/>
                <w:color w:val="000000" w:themeColor="text1"/>
                <w:sz w:val="24"/>
                <w14:textFill>
                  <w14:solidFill>
                    <w14:schemeClr w14:val="tx1"/>
                  </w14:solidFill>
                </w14:textFill>
              </w:rPr>
              <w:t>存能力</w:t>
            </w:r>
            <w:r>
              <w:rPr>
                <w:rFonts w:hint="eastAsia" w:ascii="Times New Roman" w:hAnsi="Times New Roman" w:eastAsia="宋体"/>
                <w:color w:val="000000" w:themeColor="text1"/>
                <w:sz w:val="24"/>
                <w:lang w:val="en-US" w:eastAsia="zh-CN"/>
                <w14:textFill>
                  <w14:solidFill>
                    <w14:schemeClr w14:val="tx1"/>
                  </w14:solidFill>
                </w14:textFill>
              </w:rPr>
              <w:t>160</w:t>
            </w:r>
            <w:r>
              <w:rPr>
                <w:rFonts w:ascii="Times New Roman" w:hAnsi="Times New Roman" w:eastAsia="宋体"/>
                <w:color w:val="000000" w:themeColor="text1"/>
                <w:sz w:val="24"/>
                <w14:textFill>
                  <w14:solidFill>
                    <w14:schemeClr w14:val="tx1"/>
                  </w14:solidFill>
                </w14:textFill>
              </w:rPr>
              <w:t>m</w:t>
            </w:r>
            <w:r>
              <w:rPr>
                <w:rFonts w:ascii="Times New Roman" w:hAnsi="Times New Roman" w:eastAsia="宋体"/>
                <w:color w:val="000000" w:themeColor="text1"/>
                <w:sz w:val="24"/>
                <w:vertAlign w:val="superscript"/>
                <w14:textFill>
                  <w14:solidFill>
                    <w14:schemeClr w14:val="tx1"/>
                  </w14:solidFill>
                </w14:textFill>
              </w:rPr>
              <w:t>3</w:t>
            </w:r>
            <w:r>
              <w:rPr>
                <w:rFonts w:hint="eastAsia" w:ascii="Times New Roman" w:hAnsi="Times New Roman" w:eastAsia="宋体"/>
                <w:color w:val="000000" w:themeColor="text1"/>
                <w:sz w:val="24"/>
                <w14:textFill>
                  <w14:solidFill>
                    <w14:schemeClr w14:val="tx1"/>
                  </w14:solidFill>
                </w14:textFill>
              </w:rPr>
              <w:t>。</w:t>
            </w:r>
            <w:r>
              <w:rPr>
                <w:rFonts w:hint="eastAsia" w:ascii="Times New Roman" w:hAnsi="Times New Roman" w:eastAsia="宋体" w:cs="宋体"/>
                <w:color w:val="000000" w:themeColor="text1"/>
                <w:kern w:val="0"/>
                <w:sz w:val="24"/>
                <w:szCs w:val="24"/>
                <w14:textFill>
                  <w14:solidFill>
                    <w14:schemeClr w14:val="tx1"/>
                  </w14:solidFill>
                </w14:textFill>
              </w:rPr>
              <w:t>根据《汽车加油加气加氢站技术标准》（</w:t>
            </w:r>
            <w:r>
              <w:rPr>
                <w:rFonts w:ascii="Times New Roman" w:hAnsi="Times New Roman" w:eastAsia="宋体" w:cs="宋体"/>
                <w:color w:val="000000" w:themeColor="text1"/>
                <w:kern w:val="0"/>
                <w:sz w:val="24"/>
                <w:szCs w:val="24"/>
                <w14:textFill>
                  <w14:solidFill>
                    <w14:schemeClr w14:val="tx1"/>
                  </w14:solidFill>
                </w14:textFill>
              </w:rPr>
              <w:t>GB50156-2021）中加油站等级划分</w:t>
            </w:r>
            <w:r>
              <w:rPr>
                <w:rFonts w:hint="eastAsia" w:ascii="Times New Roman" w:hAnsi="Times New Roman" w:eastAsia="宋体" w:cs="宋体"/>
                <w:color w:val="000000" w:themeColor="text1"/>
                <w:kern w:val="0"/>
                <w:sz w:val="24"/>
                <w:szCs w:val="24"/>
                <w:lang w:val="en-US" w:eastAsia="zh-CN"/>
                <w14:textFill>
                  <w14:solidFill>
                    <w14:schemeClr w14:val="tx1"/>
                  </w14:solidFill>
                </w14:textFill>
              </w:rPr>
              <w:t>的</w:t>
            </w:r>
            <w:r>
              <w:rPr>
                <w:rFonts w:ascii="Times New Roman" w:hAnsi="Times New Roman" w:eastAsia="宋体" w:cs="宋体"/>
                <w:color w:val="000000" w:themeColor="text1"/>
                <w:kern w:val="0"/>
                <w:sz w:val="24"/>
                <w:szCs w:val="24"/>
                <w14:textFill>
                  <w14:solidFill>
                    <w14:schemeClr w14:val="tx1"/>
                  </w14:solidFill>
                </w14:textFill>
              </w:rPr>
              <w:t>规定，</w:t>
            </w:r>
            <w:r>
              <w:rPr>
                <w:rFonts w:hint="eastAsia" w:ascii="Times New Roman" w:hAnsi="Times New Roman" w:eastAsia="宋体" w:cs="宋体"/>
                <w:color w:val="000000" w:themeColor="text1"/>
                <w:kern w:val="0"/>
                <w:sz w:val="24"/>
                <w:szCs w:val="24"/>
                <w14:textFill>
                  <w14:solidFill>
                    <w14:schemeClr w14:val="tx1"/>
                  </w14:solidFill>
                </w14:textFill>
              </w:rPr>
              <w:t>柴油罐容积折半计入油罐总容积为</w:t>
            </w:r>
            <w:r>
              <w:rPr>
                <w:rFonts w:hint="eastAsia" w:ascii="Times New Roman" w:hAnsi="Times New Roman" w:eastAsia="宋体" w:cs="宋体"/>
                <w:color w:val="000000" w:themeColor="text1"/>
                <w:kern w:val="0"/>
                <w:sz w:val="24"/>
                <w:szCs w:val="24"/>
                <w:lang w:val="en-US" w:eastAsia="zh-CN"/>
                <w14:textFill>
                  <w14:solidFill>
                    <w14:schemeClr w14:val="tx1"/>
                  </w14:solidFill>
                </w14:textFill>
              </w:rPr>
              <w:t>110</w:t>
            </w:r>
            <w:r>
              <w:rPr>
                <w:rFonts w:ascii="Times New Roman" w:hAnsi="Times New Roman" w:eastAsia="宋体" w:cs="宋体"/>
                <w:color w:val="000000" w:themeColor="text1"/>
                <w:kern w:val="0"/>
                <w:sz w:val="24"/>
                <w:szCs w:val="24"/>
                <w14:textFill>
                  <w14:solidFill>
                    <w14:schemeClr w14:val="tx1"/>
                  </w14:solidFill>
                </w14:textFill>
              </w:rPr>
              <w:t>m</w:t>
            </w:r>
            <w:r>
              <w:rPr>
                <w:rFonts w:ascii="Times New Roman" w:hAnsi="Times New Roman" w:eastAsia="宋体" w:cs="宋体"/>
                <w:color w:val="000000" w:themeColor="text1"/>
                <w:kern w:val="0"/>
                <w:sz w:val="24"/>
                <w:szCs w:val="24"/>
                <w:vertAlign w:val="superscript"/>
                <w14:textFill>
                  <w14:solidFill>
                    <w14:schemeClr w14:val="tx1"/>
                  </w14:solidFill>
                </w14:textFill>
              </w:rPr>
              <w:t>3</w:t>
            </w:r>
            <w:r>
              <w:rPr>
                <w:rFonts w:hint="eastAsia" w:ascii="Times New Roman" w:hAnsi="Times New Roman" w:eastAsia="宋体" w:cs="宋体"/>
                <w:color w:val="000000" w:themeColor="text1"/>
                <w:kern w:val="0"/>
                <w:sz w:val="24"/>
                <w:szCs w:val="24"/>
                <w14:textFill>
                  <w14:solidFill>
                    <w14:schemeClr w14:val="tx1"/>
                  </w14:solidFill>
                </w14:textFill>
              </w:rPr>
              <w:t>，</w:t>
            </w:r>
            <w:r>
              <w:rPr>
                <w:rFonts w:ascii="Times New Roman" w:hAnsi="Times New Roman" w:eastAsia="宋体" w:cs="宋体"/>
                <w:color w:val="000000" w:themeColor="text1"/>
                <w:kern w:val="0"/>
                <w:sz w:val="24"/>
                <w:szCs w:val="24"/>
                <w14:textFill>
                  <w14:solidFill>
                    <w14:schemeClr w14:val="tx1"/>
                  </w14:solidFill>
                </w14:textFill>
              </w:rPr>
              <w:t>属于</w:t>
            </w:r>
            <w:r>
              <w:rPr>
                <w:rFonts w:hint="eastAsia" w:ascii="Times New Roman" w:hAnsi="Times New Roman" w:eastAsia="宋体" w:cs="宋体"/>
                <w:color w:val="000000" w:themeColor="text1"/>
                <w:kern w:val="0"/>
                <w:sz w:val="24"/>
                <w:szCs w:val="24"/>
                <w14:textFill>
                  <w14:solidFill>
                    <w14:schemeClr w14:val="tx1"/>
                  </w14:solidFill>
                </w14:textFill>
              </w:rPr>
              <w:t>二</w:t>
            </w:r>
            <w:r>
              <w:rPr>
                <w:rFonts w:ascii="Times New Roman" w:hAnsi="Times New Roman" w:eastAsia="宋体" w:cs="宋体"/>
                <w:color w:val="000000" w:themeColor="text1"/>
                <w:kern w:val="0"/>
                <w:sz w:val="24"/>
                <w:szCs w:val="24"/>
                <w14:textFill>
                  <w14:solidFill>
                    <w14:schemeClr w14:val="tx1"/>
                  </w14:solidFill>
                </w14:textFill>
              </w:rPr>
              <w:t>级加油站。</w:t>
            </w:r>
            <w:r>
              <w:rPr>
                <w:rFonts w:hint="eastAsia"/>
                <w:highlight w:val="none"/>
              </w:rPr>
              <w:t>本项目</w:t>
            </w:r>
            <w:r>
              <w:rPr>
                <w:rFonts w:hint="eastAsia"/>
                <w:highlight w:val="none"/>
                <w:lang w:val="en-US" w:eastAsia="zh-CN"/>
              </w:rPr>
              <w:t>主要产品</w:t>
            </w:r>
            <w:r>
              <w:rPr>
                <w:rFonts w:hint="eastAsia"/>
                <w:highlight w:val="none"/>
              </w:rPr>
              <w:t>方案</w:t>
            </w:r>
            <w:r>
              <w:rPr>
                <w:rFonts w:hint="eastAsia"/>
                <w:highlight w:val="none"/>
                <w:lang w:val="en-US" w:eastAsia="zh-CN"/>
              </w:rPr>
              <w:t>详</w:t>
            </w:r>
            <w:r>
              <w:rPr>
                <w:rFonts w:hint="eastAsia"/>
                <w:highlight w:val="none"/>
              </w:rPr>
              <w:t>见表</w:t>
            </w:r>
            <w:r>
              <w:rPr>
                <w:rFonts w:hint="eastAsia"/>
                <w:highlight w:val="none"/>
                <w:lang w:val="en-US" w:eastAsia="zh-CN"/>
              </w:rPr>
              <w:t>2-2</w:t>
            </w:r>
            <w:r>
              <w:rPr>
                <w:rFonts w:hint="eastAsia"/>
                <w:highlight w:val="none"/>
              </w:rPr>
              <w:t>。</w:t>
            </w:r>
          </w:p>
          <w:p w14:paraId="6E5936EE">
            <w:pPr>
              <w:pStyle w:val="49"/>
              <w:keepNext w:val="0"/>
              <w:keepLines w:val="0"/>
              <w:pageBreakBefore w:val="0"/>
              <w:widowControl w:val="0"/>
              <w:kinsoku/>
              <w:wordWrap/>
              <w:overflowPunct/>
              <w:topLinePunct w:val="0"/>
              <w:autoSpaceDE/>
              <w:autoSpaceDN/>
              <w:bidi w:val="0"/>
              <w:adjustRightInd/>
              <w:snapToGrid/>
              <w:textAlignment w:val="auto"/>
              <w:rPr>
                <w:b/>
                <w:color w:val="auto"/>
                <w:highlight w:val="none"/>
              </w:rPr>
            </w:pPr>
            <w:r>
              <w:rPr>
                <w:b/>
                <w:color w:val="auto"/>
                <w:highlight w:val="none"/>
              </w:rPr>
              <w:t>表</w:t>
            </w:r>
            <w:r>
              <w:rPr>
                <w:rFonts w:hint="eastAsia"/>
                <w:b/>
                <w:color w:val="auto"/>
                <w:highlight w:val="none"/>
              </w:rPr>
              <w:t>2-2</w:t>
            </w:r>
            <w:r>
              <w:rPr>
                <w:rFonts w:hint="eastAsia"/>
                <w:b/>
                <w:color w:val="auto"/>
                <w:highlight w:val="none"/>
                <w:lang w:val="en-US" w:eastAsia="zh-CN"/>
              </w:rPr>
              <w:t xml:space="preserve">   </w:t>
            </w:r>
            <w:r>
              <w:rPr>
                <w:rFonts w:hint="eastAsia" w:hAnsi="Times New Roman"/>
                <w:b/>
                <w:color w:val="auto"/>
                <w:szCs w:val="21"/>
                <w:highlight w:val="none"/>
              </w:rPr>
              <w:t>项目</w:t>
            </w:r>
            <w:r>
              <w:rPr>
                <w:rFonts w:hAnsi="Times New Roman"/>
                <w:b/>
                <w:color w:val="auto"/>
                <w:szCs w:val="21"/>
                <w:highlight w:val="none"/>
              </w:rPr>
              <w:t>产品及</w:t>
            </w:r>
            <w:r>
              <w:rPr>
                <w:rFonts w:hint="eastAsia"/>
                <w:b/>
                <w:color w:val="auto"/>
                <w:szCs w:val="21"/>
                <w:highlight w:val="none"/>
                <w:lang w:val="en-US" w:eastAsia="zh-CN"/>
              </w:rPr>
              <w:t>销</w:t>
            </w:r>
            <w:r>
              <w:rPr>
                <w:rFonts w:hAnsi="Times New Roman"/>
                <w:b/>
                <w:color w:val="auto"/>
                <w:szCs w:val="21"/>
                <w:highlight w:val="none"/>
              </w:rPr>
              <w:t>量</w:t>
            </w:r>
            <w:r>
              <w:rPr>
                <w:rFonts w:hint="eastAsia" w:hAnsi="Times New Roman"/>
                <w:b/>
                <w:color w:val="auto"/>
                <w:szCs w:val="21"/>
                <w:highlight w:val="none"/>
              </w:rPr>
              <w:t>情况一览表</w:t>
            </w:r>
          </w:p>
          <w:tbl>
            <w:tblPr>
              <w:tblStyle w:val="3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2"/>
              <w:gridCol w:w="2059"/>
              <w:gridCol w:w="2060"/>
              <w:gridCol w:w="4477"/>
            </w:tblGrid>
            <w:tr w14:paraId="54BC89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2" w:type="pct"/>
                  <w:vAlign w:val="center"/>
                </w:tcPr>
                <w:p w14:paraId="2D68A643">
                  <w:pPr>
                    <w:pStyle w:val="49"/>
                    <w:keepNext w:val="0"/>
                    <w:keepLines w:val="0"/>
                    <w:pageBreakBefore w:val="0"/>
                    <w:widowControl w:val="0"/>
                    <w:kinsoku/>
                    <w:wordWrap/>
                    <w:overflowPunct/>
                    <w:topLinePunct w:val="0"/>
                    <w:autoSpaceDE/>
                    <w:autoSpaceDN/>
                    <w:bidi w:val="0"/>
                    <w:adjustRightInd/>
                    <w:snapToGrid w:val="0"/>
                    <w:textAlignment w:val="auto"/>
                    <w:rPr>
                      <w:b/>
                      <w:highlight w:val="none"/>
                    </w:rPr>
                  </w:pPr>
                  <w:r>
                    <w:rPr>
                      <w:b/>
                      <w:highlight w:val="none"/>
                    </w:rPr>
                    <w:t>序号</w:t>
                  </w:r>
                </w:p>
              </w:tc>
              <w:tc>
                <w:tcPr>
                  <w:tcW w:w="1108" w:type="pct"/>
                  <w:vAlign w:val="center"/>
                </w:tcPr>
                <w:p w14:paraId="1D70BB60">
                  <w:pPr>
                    <w:pStyle w:val="49"/>
                    <w:keepNext w:val="0"/>
                    <w:keepLines w:val="0"/>
                    <w:pageBreakBefore w:val="0"/>
                    <w:widowControl w:val="0"/>
                    <w:kinsoku/>
                    <w:wordWrap/>
                    <w:overflowPunct/>
                    <w:topLinePunct w:val="0"/>
                    <w:autoSpaceDE/>
                    <w:autoSpaceDN/>
                    <w:bidi w:val="0"/>
                    <w:adjustRightInd/>
                    <w:snapToGrid w:val="0"/>
                    <w:textAlignment w:val="auto"/>
                    <w:rPr>
                      <w:b/>
                      <w:highlight w:val="none"/>
                    </w:rPr>
                  </w:pPr>
                  <w:r>
                    <w:rPr>
                      <w:b/>
                      <w:highlight w:val="none"/>
                    </w:rPr>
                    <w:t>名称</w:t>
                  </w:r>
                </w:p>
              </w:tc>
              <w:tc>
                <w:tcPr>
                  <w:tcW w:w="1108" w:type="pct"/>
                  <w:vAlign w:val="center"/>
                </w:tcPr>
                <w:p w14:paraId="585AF18F">
                  <w:pPr>
                    <w:pStyle w:val="49"/>
                    <w:keepNext w:val="0"/>
                    <w:keepLines w:val="0"/>
                    <w:pageBreakBefore w:val="0"/>
                    <w:widowControl w:val="0"/>
                    <w:kinsoku/>
                    <w:wordWrap/>
                    <w:overflowPunct/>
                    <w:topLinePunct w:val="0"/>
                    <w:autoSpaceDE/>
                    <w:autoSpaceDN/>
                    <w:bidi w:val="0"/>
                    <w:adjustRightInd/>
                    <w:snapToGrid w:val="0"/>
                    <w:textAlignment w:val="auto"/>
                    <w:rPr>
                      <w:b/>
                      <w:highlight w:val="none"/>
                    </w:rPr>
                  </w:pPr>
                  <w:r>
                    <w:rPr>
                      <w:b/>
                      <w:highlight w:val="none"/>
                    </w:rPr>
                    <w:t>年</w:t>
                  </w:r>
                  <w:r>
                    <w:rPr>
                      <w:rFonts w:hint="eastAsia"/>
                      <w:b/>
                      <w:highlight w:val="none"/>
                    </w:rPr>
                    <w:t>销售</w:t>
                  </w:r>
                  <w:r>
                    <w:rPr>
                      <w:b/>
                      <w:highlight w:val="none"/>
                    </w:rPr>
                    <w:t>量</w:t>
                  </w:r>
                </w:p>
              </w:tc>
              <w:tc>
                <w:tcPr>
                  <w:tcW w:w="2410" w:type="pct"/>
                  <w:vAlign w:val="center"/>
                </w:tcPr>
                <w:p w14:paraId="1050CC6F">
                  <w:pPr>
                    <w:pStyle w:val="49"/>
                    <w:keepNext w:val="0"/>
                    <w:keepLines w:val="0"/>
                    <w:pageBreakBefore w:val="0"/>
                    <w:widowControl w:val="0"/>
                    <w:kinsoku/>
                    <w:wordWrap/>
                    <w:overflowPunct/>
                    <w:topLinePunct w:val="0"/>
                    <w:autoSpaceDE/>
                    <w:autoSpaceDN/>
                    <w:bidi w:val="0"/>
                    <w:adjustRightInd/>
                    <w:snapToGrid w:val="0"/>
                    <w:textAlignment w:val="auto"/>
                    <w:rPr>
                      <w:b/>
                      <w:highlight w:val="none"/>
                    </w:rPr>
                  </w:pPr>
                  <w:r>
                    <w:rPr>
                      <w:rFonts w:hint="eastAsia"/>
                      <w:b/>
                      <w:highlight w:val="none"/>
                    </w:rPr>
                    <w:t>备注</w:t>
                  </w:r>
                </w:p>
              </w:tc>
            </w:tr>
            <w:tr w14:paraId="592055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2" w:type="pct"/>
                  <w:vAlign w:val="center"/>
                </w:tcPr>
                <w:p w14:paraId="4CB63BE9">
                  <w:pPr>
                    <w:pStyle w:val="49"/>
                    <w:keepNext w:val="0"/>
                    <w:keepLines w:val="0"/>
                    <w:pageBreakBefore w:val="0"/>
                    <w:widowControl w:val="0"/>
                    <w:numPr>
                      <w:ilvl w:val="0"/>
                      <w:numId w:val="0"/>
                    </w:numPr>
                    <w:kinsoku/>
                    <w:wordWrap/>
                    <w:overflowPunct/>
                    <w:topLinePunct w:val="0"/>
                    <w:autoSpaceDE/>
                    <w:autoSpaceDN/>
                    <w:bidi w:val="0"/>
                    <w:adjustRightInd/>
                    <w:snapToGrid w:val="0"/>
                    <w:ind w:leftChars="0"/>
                    <w:textAlignment w:val="auto"/>
                    <w:rPr>
                      <w:rFonts w:hint="eastAsia" w:eastAsia="宋体"/>
                      <w:color w:val="000000"/>
                      <w:szCs w:val="21"/>
                      <w:highlight w:val="none"/>
                      <w:lang w:eastAsia="zh-CN"/>
                    </w:rPr>
                  </w:pPr>
                  <w:r>
                    <w:rPr>
                      <w:rFonts w:hint="eastAsia"/>
                      <w:color w:val="000000"/>
                      <w:szCs w:val="21"/>
                      <w:highlight w:val="none"/>
                      <w:lang w:val="en-US" w:eastAsia="zh-CN"/>
                    </w:rPr>
                    <w:t>1</w:t>
                  </w:r>
                </w:p>
              </w:tc>
              <w:tc>
                <w:tcPr>
                  <w:tcW w:w="1108" w:type="pct"/>
                  <w:vAlign w:val="center"/>
                </w:tcPr>
                <w:p w14:paraId="1C6D19B9">
                  <w:pPr>
                    <w:pStyle w:val="49"/>
                    <w:keepNext w:val="0"/>
                    <w:keepLines w:val="0"/>
                    <w:pageBreakBefore w:val="0"/>
                    <w:widowControl w:val="0"/>
                    <w:kinsoku/>
                    <w:wordWrap/>
                    <w:overflowPunct/>
                    <w:topLinePunct w:val="0"/>
                    <w:autoSpaceDE/>
                    <w:autoSpaceDN/>
                    <w:bidi w:val="0"/>
                    <w:adjustRightInd/>
                    <w:snapToGrid w:val="0"/>
                    <w:textAlignment w:val="auto"/>
                    <w:rPr>
                      <w:highlight w:val="none"/>
                    </w:rPr>
                  </w:pPr>
                  <w:r>
                    <w:rPr>
                      <w:rFonts w:hint="eastAsia"/>
                      <w:color w:val="000000"/>
                      <w:szCs w:val="21"/>
                      <w:highlight w:val="none"/>
                      <w:lang w:val="en-US" w:eastAsia="zh-CN"/>
                    </w:rPr>
                    <w:t>92#汽油</w:t>
                  </w:r>
                </w:p>
              </w:tc>
              <w:tc>
                <w:tcPr>
                  <w:tcW w:w="1108" w:type="pct"/>
                  <w:vAlign w:val="center"/>
                </w:tcPr>
                <w:p w14:paraId="4E84BA28">
                  <w:pPr>
                    <w:pStyle w:val="49"/>
                    <w:keepNext w:val="0"/>
                    <w:keepLines w:val="0"/>
                    <w:pageBreakBefore w:val="0"/>
                    <w:widowControl w:val="0"/>
                    <w:kinsoku/>
                    <w:wordWrap/>
                    <w:overflowPunct/>
                    <w:topLinePunct w:val="0"/>
                    <w:autoSpaceDE/>
                    <w:autoSpaceDN/>
                    <w:bidi w:val="0"/>
                    <w:adjustRightInd/>
                    <w:snapToGrid w:val="0"/>
                    <w:textAlignment w:val="auto"/>
                    <w:rPr>
                      <w:rFonts w:hint="default" w:eastAsia="宋体"/>
                      <w:highlight w:val="none"/>
                      <w:lang w:val="en-US" w:eastAsia="zh-CN"/>
                    </w:rPr>
                  </w:pPr>
                  <w:r>
                    <w:rPr>
                      <w:rFonts w:hint="eastAsia"/>
                      <w:sz w:val="21"/>
                      <w:szCs w:val="21"/>
                      <w:highlight w:val="none"/>
                      <w:lang w:val="en-US" w:eastAsia="zh-CN"/>
                    </w:rPr>
                    <w:t>734.4</w:t>
                  </w:r>
                  <w:r>
                    <w:rPr>
                      <w:rFonts w:hint="eastAsia"/>
                      <w:color w:val="000000"/>
                      <w:szCs w:val="21"/>
                      <w:highlight w:val="none"/>
                      <w:lang w:val="en-US" w:eastAsia="zh-CN"/>
                    </w:rPr>
                    <w:t>吨</w:t>
                  </w:r>
                </w:p>
              </w:tc>
              <w:tc>
                <w:tcPr>
                  <w:tcW w:w="2410" w:type="pct"/>
                </w:tcPr>
                <w:p w14:paraId="4B1FA03D">
                  <w:pPr>
                    <w:pStyle w:val="49"/>
                    <w:keepNext w:val="0"/>
                    <w:keepLines w:val="0"/>
                    <w:pageBreakBefore w:val="0"/>
                    <w:widowControl w:val="0"/>
                    <w:kinsoku/>
                    <w:wordWrap/>
                    <w:overflowPunct/>
                    <w:topLinePunct w:val="0"/>
                    <w:autoSpaceDE/>
                    <w:autoSpaceDN/>
                    <w:bidi w:val="0"/>
                    <w:adjustRightInd/>
                    <w:snapToGrid w:val="0"/>
                    <w:textAlignment w:val="auto"/>
                    <w:rPr>
                      <w:highlight w:val="none"/>
                    </w:rPr>
                  </w:pPr>
                  <w:r>
                    <w:rPr>
                      <w:rFonts w:hint="eastAsia" w:ascii="Times New Roman" w:hAnsi="Times New Roman" w:eastAsia="宋体" w:cs="宋体"/>
                      <w:color w:val="auto"/>
                      <w:kern w:val="0"/>
                      <w:szCs w:val="21"/>
                      <w:highlight w:val="none"/>
                    </w:rPr>
                    <w:t>由油罐车运至</w:t>
                  </w:r>
                  <w:r>
                    <w:rPr>
                      <w:rFonts w:hint="eastAsia" w:cs="宋体"/>
                      <w:color w:val="auto"/>
                      <w:kern w:val="0"/>
                      <w:szCs w:val="21"/>
                      <w:highlight w:val="none"/>
                      <w:lang w:val="en-US" w:eastAsia="zh-CN"/>
                    </w:rPr>
                    <w:t>厂区</w:t>
                  </w:r>
                  <w:r>
                    <w:rPr>
                      <w:rFonts w:hint="eastAsia" w:ascii="Times New Roman" w:hAnsi="Times New Roman" w:eastAsia="宋体" w:cs="宋体"/>
                      <w:color w:val="auto"/>
                      <w:kern w:val="0"/>
                      <w:szCs w:val="21"/>
                      <w:highlight w:val="none"/>
                    </w:rPr>
                    <w:t>内，年周转量</w:t>
                  </w:r>
                  <w:r>
                    <w:rPr>
                      <w:rFonts w:hint="eastAsia" w:cs="宋体"/>
                      <w:color w:val="auto"/>
                      <w:kern w:val="0"/>
                      <w:szCs w:val="21"/>
                      <w:highlight w:val="none"/>
                      <w:lang w:eastAsia="zh-CN"/>
                    </w:rPr>
                    <w:t>（</w:t>
                  </w:r>
                  <w:r>
                    <w:rPr>
                      <w:rFonts w:hint="eastAsia" w:cs="宋体"/>
                      <w:color w:val="auto"/>
                      <w:kern w:val="0"/>
                      <w:szCs w:val="21"/>
                      <w:highlight w:val="none"/>
                      <w:lang w:val="en-US" w:eastAsia="zh-CN"/>
                    </w:rPr>
                    <w:t>销售量</w:t>
                  </w:r>
                  <w:r>
                    <w:rPr>
                      <w:rFonts w:hint="eastAsia" w:cs="宋体"/>
                      <w:color w:val="auto"/>
                      <w:kern w:val="0"/>
                      <w:szCs w:val="21"/>
                      <w:highlight w:val="none"/>
                      <w:lang w:eastAsia="zh-CN"/>
                    </w:rPr>
                    <w:t>）</w:t>
                  </w:r>
                  <w:r>
                    <w:rPr>
                      <w:rFonts w:hint="eastAsia"/>
                      <w:sz w:val="21"/>
                      <w:szCs w:val="21"/>
                      <w:highlight w:val="none"/>
                      <w:lang w:val="en-US" w:eastAsia="zh-CN"/>
                    </w:rPr>
                    <w:t>918</w:t>
                  </w:r>
                  <w:r>
                    <w:rPr>
                      <w:rFonts w:hint="eastAsia" w:ascii="Times New Roman" w:hAnsi="Times New Roman" w:eastAsia="宋体" w:cs="宋体"/>
                      <w:color w:val="auto"/>
                      <w:kern w:val="0"/>
                      <w:szCs w:val="21"/>
                      <w:highlight w:val="none"/>
                    </w:rPr>
                    <w:t>t，一次最大周转量</w:t>
                  </w:r>
                  <w:r>
                    <w:rPr>
                      <w:rFonts w:hint="eastAsia" w:cs="宋体"/>
                      <w:color w:val="auto"/>
                      <w:kern w:val="0"/>
                      <w:szCs w:val="21"/>
                      <w:highlight w:val="none"/>
                      <w:lang w:val="en-US" w:eastAsia="zh-CN"/>
                    </w:rPr>
                    <w:t>18.36</w:t>
                  </w:r>
                  <w:r>
                    <w:rPr>
                      <w:rFonts w:hint="eastAsia" w:ascii="Times New Roman" w:hAnsi="Times New Roman" w:eastAsia="宋体" w:cs="宋体"/>
                      <w:color w:val="auto"/>
                      <w:kern w:val="0"/>
                      <w:szCs w:val="21"/>
                      <w:highlight w:val="none"/>
                    </w:rPr>
                    <w:t>t</w:t>
                  </w:r>
                  <w:r>
                    <w:rPr>
                      <w:rFonts w:hint="eastAsia" w:ascii="Times New Roman" w:hAnsi="Times New Roman" w:eastAsia="宋体" w:cs="宋体"/>
                      <w:color w:val="auto"/>
                      <w:kern w:val="0"/>
                      <w:szCs w:val="21"/>
                      <w:highlight w:val="none"/>
                      <w:lang w:eastAsia="zh-CN"/>
                    </w:rPr>
                    <w:t>，</w:t>
                  </w:r>
                  <w:r>
                    <w:rPr>
                      <w:rFonts w:hint="eastAsia" w:ascii="Times New Roman" w:hAnsi="Times New Roman" w:eastAsia="宋体" w:cs="宋体"/>
                      <w:color w:val="auto"/>
                      <w:kern w:val="0"/>
                      <w:szCs w:val="21"/>
                      <w:highlight w:val="none"/>
                      <w:lang w:val="en-US" w:eastAsia="zh-CN"/>
                    </w:rPr>
                    <w:t>年周转</w:t>
                  </w:r>
                  <w:r>
                    <w:rPr>
                      <w:rFonts w:hint="eastAsia" w:cs="宋体"/>
                      <w:color w:val="auto"/>
                      <w:kern w:val="0"/>
                      <w:szCs w:val="21"/>
                      <w:highlight w:val="none"/>
                      <w:lang w:val="en-US" w:eastAsia="zh-CN"/>
                    </w:rPr>
                    <w:t>4</w:t>
                  </w:r>
                  <w:r>
                    <w:rPr>
                      <w:rFonts w:hint="eastAsia" w:ascii="Times New Roman" w:hAnsi="Times New Roman" w:eastAsia="宋体" w:cs="宋体"/>
                      <w:color w:val="auto"/>
                      <w:kern w:val="0"/>
                      <w:szCs w:val="21"/>
                      <w:highlight w:val="none"/>
                      <w:lang w:val="en-US" w:eastAsia="zh-CN"/>
                    </w:rPr>
                    <w:t>0次</w:t>
                  </w:r>
                </w:p>
              </w:tc>
            </w:tr>
            <w:tr w14:paraId="17CFD0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2" w:type="pct"/>
                  <w:vAlign w:val="center"/>
                </w:tcPr>
                <w:p w14:paraId="19CA9B64">
                  <w:pPr>
                    <w:pStyle w:val="49"/>
                    <w:keepNext w:val="0"/>
                    <w:keepLines w:val="0"/>
                    <w:pageBreakBefore w:val="0"/>
                    <w:widowControl w:val="0"/>
                    <w:kinsoku/>
                    <w:wordWrap/>
                    <w:overflowPunct/>
                    <w:topLinePunct w:val="0"/>
                    <w:autoSpaceDE/>
                    <w:autoSpaceDN/>
                    <w:bidi w:val="0"/>
                    <w:adjustRightInd/>
                    <w:snapToGrid w:val="0"/>
                    <w:textAlignment w:val="auto"/>
                    <w:rPr>
                      <w:rFonts w:hint="eastAsia" w:eastAsia="宋体"/>
                      <w:color w:val="000000"/>
                      <w:szCs w:val="21"/>
                      <w:highlight w:val="none"/>
                      <w:lang w:val="en-US" w:eastAsia="zh-CN"/>
                    </w:rPr>
                  </w:pPr>
                  <w:r>
                    <w:rPr>
                      <w:rFonts w:hint="eastAsia"/>
                      <w:color w:val="000000"/>
                      <w:szCs w:val="21"/>
                      <w:highlight w:val="none"/>
                      <w:lang w:val="en-US" w:eastAsia="zh-CN"/>
                    </w:rPr>
                    <w:t>2</w:t>
                  </w:r>
                </w:p>
              </w:tc>
              <w:tc>
                <w:tcPr>
                  <w:tcW w:w="1108" w:type="pct"/>
                  <w:vAlign w:val="center"/>
                </w:tcPr>
                <w:p w14:paraId="33B0311A">
                  <w:pPr>
                    <w:pStyle w:val="49"/>
                    <w:keepNext w:val="0"/>
                    <w:keepLines w:val="0"/>
                    <w:pageBreakBefore w:val="0"/>
                    <w:widowControl w:val="0"/>
                    <w:kinsoku/>
                    <w:wordWrap/>
                    <w:overflowPunct/>
                    <w:topLinePunct w:val="0"/>
                    <w:autoSpaceDE/>
                    <w:autoSpaceDN/>
                    <w:bidi w:val="0"/>
                    <w:adjustRightInd/>
                    <w:snapToGrid w:val="0"/>
                    <w:textAlignment w:val="auto"/>
                    <w:rPr>
                      <w:rFonts w:hint="default" w:eastAsia="宋体"/>
                      <w:color w:val="000000"/>
                      <w:szCs w:val="21"/>
                      <w:highlight w:val="none"/>
                      <w:lang w:val="en-US" w:eastAsia="zh-CN"/>
                    </w:rPr>
                  </w:pPr>
                  <w:r>
                    <w:rPr>
                      <w:rFonts w:hint="eastAsia"/>
                      <w:color w:val="000000"/>
                      <w:szCs w:val="21"/>
                      <w:highlight w:val="none"/>
                      <w:lang w:val="en-US" w:eastAsia="zh-CN"/>
                    </w:rPr>
                    <w:t>95#汽油</w:t>
                  </w:r>
                </w:p>
              </w:tc>
              <w:tc>
                <w:tcPr>
                  <w:tcW w:w="1108" w:type="pct"/>
                  <w:vAlign w:val="center"/>
                </w:tcPr>
                <w:p w14:paraId="5E8514DF">
                  <w:pPr>
                    <w:pStyle w:val="49"/>
                    <w:keepNext w:val="0"/>
                    <w:keepLines w:val="0"/>
                    <w:pageBreakBefore w:val="0"/>
                    <w:widowControl w:val="0"/>
                    <w:kinsoku/>
                    <w:wordWrap/>
                    <w:overflowPunct/>
                    <w:topLinePunct w:val="0"/>
                    <w:autoSpaceDE/>
                    <w:autoSpaceDN/>
                    <w:bidi w:val="0"/>
                    <w:adjustRightInd/>
                    <w:snapToGrid w:val="0"/>
                    <w:textAlignment w:val="auto"/>
                    <w:rPr>
                      <w:rFonts w:hint="default" w:eastAsia="宋体"/>
                      <w:color w:val="000000"/>
                      <w:szCs w:val="21"/>
                      <w:highlight w:val="none"/>
                      <w:lang w:val="en-US" w:eastAsia="zh-CN"/>
                    </w:rPr>
                  </w:pPr>
                  <w:r>
                    <w:rPr>
                      <w:rFonts w:hint="eastAsia"/>
                      <w:sz w:val="21"/>
                      <w:szCs w:val="21"/>
                      <w:highlight w:val="none"/>
                      <w:lang w:val="en-US" w:eastAsia="zh-CN"/>
                    </w:rPr>
                    <w:t>765</w:t>
                  </w:r>
                  <w:r>
                    <w:rPr>
                      <w:rFonts w:hint="eastAsia"/>
                      <w:color w:val="000000"/>
                      <w:szCs w:val="21"/>
                      <w:highlight w:val="none"/>
                      <w:lang w:val="en-US" w:eastAsia="zh-CN"/>
                    </w:rPr>
                    <w:t>吨</w:t>
                  </w:r>
                </w:p>
              </w:tc>
              <w:tc>
                <w:tcPr>
                  <w:tcW w:w="2410" w:type="pct"/>
                </w:tcPr>
                <w:p w14:paraId="78910946">
                  <w:pPr>
                    <w:pStyle w:val="49"/>
                    <w:keepNext w:val="0"/>
                    <w:keepLines w:val="0"/>
                    <w:pageBreakBefore w:val="0"/>
                    <w:widowControl w:val="0"/>
                    <w:kinsoku/>
                    <w:wordWrap/>
                    <w:overflowPunct/>
                    <w:topLinePunct w:val="0"/>
                    <w:autoSpaceDE/>
                    <w:autoSpaceDN/>
                    <w:bidi w:val="0"/>
                    <w:adjustRightInd/>
                    <w:snapToGrid w:val="0"/>
                    <w:textAlignment w:val="auto"/>
                    <w:rPr>
                      <w:color w:val="000000"/>
                      <w:szCs w:val="21"/>
                      <w:highlight w:val="none"/>
                    </w:rPr>
                  </w:pPr>
                  <w:r>
                    <w:rPr>
                      <w:rFonts w:hint="eastAsia" w:ascii="Times New Roman" w:hAnsi="Times New Roman" w:eastAsia="宋体" w:cs="宋体"/>
                      <w:color w:val="auto"/>
                      <w:kern w:val="0"/>
                      <w:szCs w:val="21"/>
                      <w:highlight w:val="none"/>
                    </w:rPr>
                    <w:t>由油罐车运至</w:t>
                  </w:r>
                  <w:r>
                    <w:rPr>
                      <w:rFonts w:hint="eastAsia" w:cs="宋体"/>
                      <w:color w:val="auto"/>
                      <w:kern w:val="0"/>
                      <w:szCs w:val="21"/>
                      <w:highlight w:val="none"/>
                      <w:lang w:val="en-US" w:eastAsia="zh-CN"/>
                    </w:rPr>
                    <w:t>厂区</w:t>
                  </w:r>
                  <w:r>
                    <w:rPr>
                      <w:rFonts w:hint="eastAsia" w:ascii="Times New Roman" w:hAnsi="Times New Roman" w:eastAsia="宋体" w:cs="宋体"/>
                      <w:color w:val="auto"/>
                      <w:kern w:val="0"/>
                      <w:szCs w:val="21"/>
                      <w:highlight w:val="none"/>
                    </w:rPr>
                    <w:t>内，年周转量</w:t>
                  </w:r>
                  <w:r>
                    <w:rPr>
                      <w:rFonts w:hint="eastAsia" w:cs="宋体"/>
                      <w:color w:val="auto"/>
                      <w:kern w:val="0"/>
                      <w:szCs w:val="21"/>
                      <w:highlight w:val="none"/>
                      <w:lang w:eastAsia="zh-CN"/>
                    </w:rPr>
                    <w:t>（</w:t>
                  </w:r>
                  <w:r>
                    <w:rPr>
                      <w:rFonts w:hint="eastAsia" w:cs="宋体"/>
                      <w:color w:val="auto"/>
                      <w:kern w:val="0"/>
                      <w:szCs w:val="21"/>
                      <w:highlight w:val="none"/>
                      <w:lang w:val="en-US" w:eastAsia="zh-CN"/>
                    </w:rPr>
                    <w:t>销售量</w:t>
                  </w:r>
                  <w:r>
                    <w:rPr>
                      <w:rFonts w:hint="eastAsia" w:cs="宋体"/>
                      <w:color w:val="auto"/>
                      <w:kern w:val="0"/>
                      <w:szCs w:val="21"/>
                      <w:highlight w:val="none"/>
                      <w:lang w:eastAsia="zh-CN"/>
                    </w:rPr>
                    <w:t>）</w:t>
                  </w:r>
                  <w:r>
                    <w:rPr>
                      <w:rFonts w:hint="eastAsia"/>
                      <w:sz w:val="21"/>
                      <w:szCs w:val="21"/>
                      <w:highlight w:val="none"/>
                      <w:lang w:val="en-US" w:eastAsia="zh-CN"/>
                    </w:rPr>
                    <w:t>969</w:t>
                  </w:r>
                  <w:r>
                    <w:rPr>
                      <w:rFonts w:hint="eastAsia" w:ascii="Times New Roman" w:hAnsi="Times New Roman" w:eastAsia="宋体" w:cs="宋体"/>
                      <w:color w:val="auto"/>
                      <w:kern w:val="0"/>
                      <w:szCs w:val="21"/>
                      <w:highlight w:val="none"/>
                    </w:rPr>
                    <w:t>t，一次最大周转量</w:t>
                  </w:r>
                  <w:r>
                    <w:rPr>
                      <w:rFonts w:hint="eastAsia"/>
                      <w:sz w:val="21"/>
                      <w:szCs w:val="21"/>
                      <w:highlight w:val="none"/>
                      <w:lang w:val="en-US" w:eastAsia="zh-CN"/>
                    </w:rPr>
                    <w:t>19.125</w:t>
                  </w:r>
                  <w:r>
                    <w:rPr>
                      <w:rFonts w:hint="eastAsia" w:ascii="Times New Roman" w:hAnsi="Times New Roman" w:eastAsia="宋体" w:cs="宋体"/>
                      <w:color w:val="auto"/>
                      <w:kern w:val="0"/>
                      <w:szCs w:val="21"/>
                      <w:highlight w:val="none"/>
                    </w:rPr>
                    <w:t>t</w:t>
                  </w:r>
                  <w:r>
                    <w:rPr>
                      <w:rFonts w:hint="eastAsia" w:ascii="Times New Roman" w:hAnsi="Times New Roman" w:eastAsia="宋体" w:cs="宋体"/>
                      <w:color w:val="auto"/>
                      <w:kern w:val="0"/>
                      <w:szCs w:val="21"/>
                      <w:highlight w:val="none"/>
                      <w:lang w:eastAsia="zh-CN"/>
                    </w:rPr>
                    <w:t>，</w:t>
                  </w:r>
                  <w:r>
                    <w:rPr>
                      <w:rFonts w:hint="eastAsia" w:ascii="Times New Roman" w:hAnsi="Times New Roman" w:eastAsia="宋体" w:cs="宋体"/>
                      <w:color w:val="auto"/>
                      <w:kern w:val="0"/>
                      <w:szCs w:val="21"/>
                      <w:highlight w:val="none"/>
                      <w:lang w:val="en-US" w:eastAsia="zh-CN"/>
                    </w:rPr>
                    <w:t>年周转</w:t>
                  </w:r>
                  <w:r>
                    <w:rPr>
                      <w:rFonts w:hint="eastAsia" w:cs="宋体"/>
                      <w:color w:val="auto"/>
                      <w:kern w:val="0"/>
                      <w:szCs w:val="21"/>
                      <w:highlight w:val="none"/>
                      <w:lang w:val="en-US" w:eastAsia="zh-CN"/>
                    </w:rPr>
                    <w:t>4</w:t>
                  </w:r>
                  <w:r>
                    <w:rPr>
                      <w:rFonts w:hint="eastAsia" w:ascii="Times New Roman" w:hAnsi="Times New Roman" w:eastAsia="宋体" w:cs="宋体"/>
                      <w:color w:val="auto"/>
                      <w:kern w:val="0"/>
                      <w:szCs w:val="21"/>
                      <w:highlight w:val="none"/>
                      <w:lang w:val="en-US" w:eastAsia="zh-CN"/>
                    </w:rPr>
                    <w:t>0次</w:t>
                  </w:r>
                </w:p>
              </w:tc>
            </w:tr>
            <w:tr w14:paraId="56C056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2" w:type="pct"/>
                  <w:vAlign w:val="center"/>
                </w:tcPr>
                <w:p w14:paraId="7A90FB25">
                  <w:pPr>
                    <w:pStyle w:val="49"/>
                    <w:keepNext w:val="0"/>
                    <w:keepLines w:val="0"/>
                    <w:pageBreakBefore w:val="0"/>
                    <w:widowControl w:val="0"/>
                    <w:kinsoku/>
                    <w:wordWrap/>
                    <w:overflowPunct/>
                    <w:topLinePunct w:val="0"/>
                    <w:autoSpaceDE/>
                    <w:autoSpaceDN/>
                    <w:bidi w:val="0"/>
                    <w:adjustRightInd/>
                    <w:snapToGrid w:val="0"/>
                    <w:textAlignment w:val="auto"/>
                    <w:rPr>
                      <w:rFonts w:hint="eastAsia" w:eastAsia="宋体"/>
                      <w:color w:val="000000"/>
                      <w:szCs w:val="21"/>
                      <w:highlight w:val="none"/>
                      <w:lang w:val="en-US" w:eastAsia="zh-CN"/>
                    </w:rPr>
                  </w:pPr>
                  <w:r>
                    <w:rPr>
                      <w:rFonts w:hint="eastAsia"/>
                      <w:color w:val="000000"/>
                      <w:szCs w:val="21"/>
                      <w:highlight w:val="none"/>
                      <w:lang w:val="en-US" w:eastAsia="zh-CN"/>
                    </w:rPr>
                    <w:t>3</w:t>
                  </w:r>
                </w:p>
              </w:tc>
              <w:tc>
                <w:tcPr>
                  <w:tcW w:w="1108" w:type="pct"/>
                  <w:vAlign w:val="center"/>
                </w:tcPr>
                <w:p w14:paraId="7D91D073">
                  <w:pPr>
                    <w:pStyle w:val="49"/>
                    <w:keepNext w:val="0"/>
                    <w:keepLines w:val="0"/>
                    <w:pageBreakBefore w:val="0"/>
                    <w:widowControl w:val="0"/>
                    <w:kinsoku/>
                    <w:wordWrap/>
                    <w:overflowPunct/>
                    <w:topLinePunct w:val="0"/>
                    <w:autoSpaceDE/>
                    <w:autoSpaceDN/>
                    <w:bidi w:val="0"/>
                    <w:adjustRightInd/>
                    <w:snapToGrid w:val="0"/>
                    <w:textAlignment w:val="auto"/>
                    <w:rPr>
                      <w:rFonts w:hint="default" w:eastAsia="宋体"/>
                      <w:color w:val="000000"/>
                      <w:szCs w:val="21"/>
                      <w:highlight w:val="none"/>
                      <w:lang w:val="en-US" w:eastAsia="zh-CN"/>
                    </w:rPr>
                  </w:pPr>
                  <w:r>
                    <w:rPr>
                      <w:rFonts w:hint="eastAsia"/>
                      <w:highlight w:val="none"/>
                    </w:rPr>
                    <w:t>0#柴油</w:t>
                  </w:r>
                </w:p>
              </w:tc>
              <w:tc>
                <w:tcPr>
                  <w:tcW w:w="1108" w:type="pct"/>
                  <w:vAlign w:val="center"/>
                </w:tcPr>
                <w:p w14:paraId="18BBE068">
                  <w:pPr>
                    <w:pStyle w:val="49"/>
                    <w:keepNext w:val="0"/>
                    <w:keepLines w:val="0"/>
                    <w:pageBreakBefore w:val="0"/>
                    <w:widowControl w:val="0"/>
                    <w:kinsoku/>
                    <w:wordWrap/>
                    <w:overflowPunct/>
                    <w:topLinePunct w:val="0"/>
                    <w:autoSpaceDE/>
                    <w:autoSpaceDN/>
                    <w:bidi w:val="0"/>
                    <w:adjustRightInd/>
                    <w:snapToGrid w:val="0"/>
                    <w:textAlignment w:val="auto"/>
                    <w:rPr>
                      <w:rFonts w:hint="default" w:eastAsia="宋体"/>
                      <w:color w:val="000000"/>
                      <w:szCs w:val="21"/>
                      <w:highlight w:val="none"/>
                      <w:lang w:val="en-US" w:eastAsia="zh-CN"/>
                    </w:rPr>
                  </w:pPr>
                  <w:r>
                    <w:rPr>
                      <w:rFonts w:hint="eastAsia"/>
                      <w:sz w:val="21"/>
                      <w:szCs w:val="21"/>
                      <w:highlight w:val="none"/>
                      <w:lang w:val="en-US" w:eastAsia="zh-CN"/>
                    </w:rPr>
                    <w:t>2856</w:t>
                  </w:r>
                  <w:r>
                    <w:rPr>
                      <w:rFonts w:hint="eastAsia"/>
                      <w:highlight w:val="none"/>
                      <w:lang w:val="en-US" w:eastAsia="zh-CN"/>
                    </w:rPr>
                    <w:t>吨</w:t>
                  </w:r>
                </w:p>
              </w:tc>
              <w:tc>
                <w:tcPr>
                  <w:tcW w:w="2410" w:type="pct"/>
                </w:tcPr>
                <w:p w14:paraId="6480B7A5">
                  <w:pPr>
                    <w:pStyle w:val="49"/>
                    <w:keepNext w:val="0"/>
                    <w:keepLines w:val="0"/>
                    <w:pageBreakBefore w:val="0"/>
                    <w:widowControl w:val="0"/>
                    <w:kinsoku/>
                    <w:wordWrap/>
                    <w:overflowPunct/>
                    <w:topLinePunct w:val="0"/>
                    <w:autoSpaceDE/>
                    <w:autoSpaceDN/>
                    <w:bidi w:val="0"/>
                    <w:adjustRightInd/>
                    <w:snapToGrid w:val="0"/>
                    <w:textAlignment w:val="auto"/>
                    <w:rPr>
                      <w:color w:val="000000"/>
                      <w:szCs w:val="21"/>
                      <w:highlight w:val="none"/>
                    </w:rPr>
                  </w:pPr>
                  <w:r>
                    <w:rPr>
                      <w:rFonts w:hint="eastAsia" w:ascii="Times New Roman" w:hAnsi="Times New Roman" w:eastAsia="宋体" w:cs="宋体"/>
                      <w:color w:val="auto"/>
                      <w:kern w:val="0"/>
                      <w:szCs w:val="21"/>
                      <w:highlight w:val="none"/>
                    </w:rPr>
                    <w:t>由油罐车运至</w:t>
                  </w:r>
                  <w:r>
                    <w:rPr>
                      <w:rFonts w:hint="eastAsia" w:cs="宋体"/>
                      <w:color w:val="auto"/>
                      <w:kern w:val="0"/>
                      <w:szCs w:val="21"/>
                      <w:highlight w:val="none"/>
                      <w:lang w:val="en-US" w:eastAsia="zh-CN"/>
                    </w:rPr>
                    <w:t>厂区</w:t>
                  </w:r>
                  <w:r>
                    <w:rPr>
                      <w:rFonts w:hint="eastAsia" w:ascii="Times New Roman" w:hAnsi="Times New Roman" w:eastAsia="宋体" w:cs="宋体"/>
                      <w:color w:val="auto"/>
                      <w:kern w:val="0"/>
                      <w:szCs w:val="21"/>
                      <w:highlight w:val="none"/>
                    </w:rPr>
                    <w:t>内，年周转量</w:t>
                  </w:r>
                  <w:r>
                    <w:rPr>
                      <w:rFonts w:hint="eastAsia" w:cs="宋体"/>
                      <w:color w:val="auto"/>
                      <w:kern w:val="0"/>
                      <w:szCs w:val="21"/>
                      <w:highlight w:val="none"/>
                      <w:lang w:eastAsia="zh-CN"/>
                    </w:rPr>
                    <w:t>（</w:t>
                  </w:r>
                  <w:r>
                    <w:rPr>
                      <w:rFonts w:hint="eastAsia" w:cs="宋体"/>
                      <w:color w:val="auto"/>
                      <w:kern w:val="0"/>
                      <w:szCs w:val="21"/>
                      <w:highlight w:val="none"/>
                      <w:lang w:val="en-US" w:eastAsia="zh-CN"/>
                    </w:rPr>
                    <w:t>销售量</w:t>
                  </w:r>
                  <w:r>
                    <w:rPr>
                      <w:rFonts w:hint="eastAsia" w:cs="宋体"/>
                      <w:color w:val="auto"/>
                      <w:kern w:val="0"/>
                      <w:szCs w:val="21"/>
                      <w:highlight w:val="none"/>
                      <w:lang w:eastAsia="zh-CN"/>
                    </w:rPr>
                    <w:t>）</w:t>
                  </w:r>
                  <w:r>
                    <w:rPr>
                      <w:rFonts w:hint="eastAsia"/>
                      <w:sz w:val="21"/>
                      <w:szCs w:val="21"/>
                      <w:highlight w:val="none"/>
                      <w:lang w:val="en-US" w:eastAsia="zh-CN"/>
                    </w:rPr>
                    <w:t>3570</w:t>
                  </w:r>
                  <w:r>
                    <w:rPr>
                      <w:rFonts w:hint="eastAsia" w:ascii="Times New Roman" w:hAnsi="Times New Roman" w:eastAsia="宋体" w:cs="宋体"/>
                      <w:color w:val="auto"/>
                      <w:kern w:val="0"/>
                      <w:szCs w:val="21"/>
                      <w:highlight w:val="none"/>
                    </w:rPr>
                    <w:t>t，一次最大周转量</w:t>
                  </w:r>
                  <w:r>
                    <w:rPr>
                      <w:rFonts w:hint="eastAsia" w:cs="宋体"/>
                      <w:color w:val="auto"/>
                      <w:kern w:val="0"/>
                      <w:szCs w:val="21"/>
                      <w:highlight w:val="none"/>
                      <w:lang w:val="en-US" w:eastAsia="zh-CN"/>
                    </w:rPr>
                    <w:t>71.40</w:t>
                  </w:r>
                  <w:r>
                    <w:rPr>
                      <w:rFonts w:hint="eastAsia" w:ascii="Times New Roman" w:hAnsi="Times New Roman" w:eastAsia="宋体" w:cs="宋体"/>
                      <w:color w:val="auto"/>
                      <w:kern w:val="0"/>
                      <w:szCs w:val="21"/>
                      <w:highlight w:val="none"/>
                    </w:rPr>
                    <w:t>t</w:t>
                  </w:r>
                  <w:r>
                    <w:rPr>
                      <w:rFonts w:hint="eastAsia" w:ascii="Times New Roman" w:hAnsi="Times New Roman" w:eastAsia="宋体" w:cs="宋体"/>
                      <w:color w:val="auto"/>
                      <w:kern w:val="0"/>
                      <w:szCs w:val="21"/>
                      <w:highlight w:val="none"/>
                      <w:lang w:eastAsia="zh-CN"/>
                    </w:rPr>
                    <w:t>，</w:t>
                  </w:r>
                  <w:r>
                    <w:rPr>
                      <w:rFonts w:hint="eastAsia" w:ascii="Times New Roman" w:hAnsi="Times New Roman" w:eastAsia="宋体" w:cs="宋体"/>
                      <w:color w:val="auto"/>
                      <w:kern w:val="0"/>
                      <w:szCs w:val="21"/>
                      <w:highlight w:val="none"/>
                      <w:lang w:val="en-US" w:eastAsia="zh-CN"/>
                    </w:rPr>
                    <w:t>年周转</w:t>
                  </w:r>
                  <w:r>
                    <w:rPr>
                      <w:rFonts w:hint="eastAsia" w:cs="宋体"/>
                      <w:color w:val="auto"/>
                      <w:kern w:val="0"/>
                      <w:szCs w:val="21"/>
                      <w:highlight w:val="none"/>
                      <w:lang w:val="en-US" w:eastAsia="zh-CN"/>
                    </w:rPr>
                    <w:t>4</w:t>
                  </w:r>
                  <w:r>
                    <w:rPr>
                      <w:rFonts w:hint="eastAsia" w:ascii="Times New Roman" w:hAnsi="Times New Roman" w:eastAsia="宋体" w:cs="宋体"/>
                      <w:color w:val="auto"/>
                      <w:kern w:val="0"/>
                      <w:szCs w:val="21"/>
                      <w:highlight w:val="none"/>
                      <w:lang w:val="en-US" w:eastAsia="zh-CN"/>
                    </w:rPr>
                    <w:t>0次</w:t>
                  </w:r>
                </w:p>
              </w:tc>
            </w:tr>
          </w:tbl>
          <w:p w14:paraId="0C0F2459">
            <w:pPr>
              <w:keepNext w:val="0"/>
              <w:keepLines w:val="0"/>
              <w:pageBreakBefore w:val="0"/>
              <w:widowControl w:val="0"/>
              <w:kinsoku/>
              <w:wordWrap/>
              <w:overflowPunct/>
              <w:topLinePunct w:val="0"/>
              <w:autoSpaceDE/>
              <w:autoSpaceDN/>
              <w:bidi w:val="0"/>
              <w:adjustRightInd/>
              <w:snapToGrid/>
              <w:spacing w:line="360" w:lineRule="auto"/>
              <w:textAlignment w:val="auto"/>
              <w:rPr>
                <w:b/>
                <w:bCs/>
                <w:kern w:val="0"/>
                <w:sz w:val="24"/>
                <w:highlight w:val="none"/>
              </w:rPr>
            </w:pPr>
            <w:r>
              <w:rPr>
                <w:rFonts w:hint="eastAsia"/>
                <w:b/>
                <w:bCs/>
                <w:kern w:val="0"/>
                <w:sz w:val="24"/>
                <w:highlight w:val="none"/>
                <w:lang w:val="en-US" w:eastAsia="zh-CN"/>
              </w:rPr>
              <w:t>5</w:t>
            </w:r>
            <w:r>
              <w:rPr>
                <w:rFonts w:hint="eastAsia"/>
                <w:b/>
                <w:bCs/>
                <w:kern w:val="0"/>
                <w:sz w:val="24"/>
                <w:highlight w:val="none"/>
              </w:rPr>
              <w:t>、</w:t>
            </w:r>
            <w:r>
              <w:rPr>
                <w:b/>
                <w:bCs/>
                <w:kern w:val="0"/>
                <w:sz w:val="24"/>
                <w:highlight w:val="none"/>
              </w:rPr>
              <w:t>原辅材料及能源消耗情况</w:t>
            </w:r>
          </w:p>
          <w:p w14:paraId="055A0AFE">
            <w:pPr>
              <w:keepNext w:val="0"/>
              <w:keepLines w:val="0"/>
              <w:pageBreakBefore w:val="0"/>
              <w:widowControl w:val="0"/>
              <w:kinsoku/>
              <w:wordWrap/>
              <w:overflowPunct/>
              <w:topLinePunct w:val="0"/>
              <w:autoSpaceDE/>
              <w:autoSpaceDN/>
              <w:bidi w:val="0"/>
              <w:adjustRightInd/>
              <w:snapToGrid/>
              <w:ind w:firstLine="480"/>
              <w:textAlignment w:val="auto"/>
              <w:rPr>
                <w:rFonts w:hint="eastAsia"/>
                <w:sz w:val="24"/>
                <w:highlight w:val="none"/>
              </w:rPr>
            </w:pPr>
            <w:r>
              <w:rPr>
                <w:rFonts w:hint="eastAsia"/>
                <w:color w:val="auto"/>
                <w:sz w:val="24"/>
                <w:highlight w:val="none"/>
                <w:lang w:val="en-US" w:eastAsia="zh-CN"/>
              </w:rPr>
              <w:t>本项目</w:t>
            </w:r>
            <w:r>
              <w:rPr>
                <w:sz w:val="24"/>
                <w:highlight w:val="none"/>
              </w:rPr>
              <w:t>主要原辅</w:t>
            </w:r>
            <w:r>
              <w:rPr>
                <w:rFonts w:hint="eastAsia"/>
                <w:sz w:val="24"/>
                <w:highlight w:val="none"/>
              </w:rPr>
              <w:t>材</w:t>
            </w:r>
            <w:r>
              <w:rPr>
                <w:sz w:val="24"/>
                <w:highlight w:val="none"/>
              </w:rPr>
              <w:t>料</w:t>
            </w:r>
            <w:r>
              <w:rPr>
                <w:rFonts w:hint="eastAsia"/>
                <w:sz w:val="24"/>
                <w:highlight w:val="none"/>
              </w:rPr>
              <w:t>及能源消耗</w:t>
            </w:r>
            <w:r>
              <w:rPr>
                <w:sz w:val="24"/>
                <w:highlight w:val="none"/>
              </w:rPr>
              <w:t>情况</w:t>
            </w:r>
            <w:r>
              <w:rPr>
                <w:rFonts w:hint="eastAsia"/>
                <w:sz w:val="24"/>
                <w:highlight w:val="none"/>
              </w:rPr>
              <w:t>详见表2-3</w:t>
            </w:r>
            <w:r>
              <w:rPr>
                <w:rFonts w:hint="eastAsia"/>
                <w:sz w:val="24"/>
                <w:highlight w:val="none"/>
                <w:lang w:val="en-US" w:eastAsia="zh-CN"/>
              </w:rPr>
              <w:t>~表2.5</w:t>
            </w:r>
            <w:r>
              <w:rPr>
                <w:rFonts w:hint="eastAsia"/>
                <w:sz w:val="24"/>
                <w:highlight w:val="none"/>
              </w:rPr>
              <w:t>。</w:t>
            </w:r>
          </w:p>
          <w:p w14:paraId="6A6790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rPr>
            </w:pPr>
            <w:r>
              <w:rPr>
                <w:rFonts w:hint="eastAsia"/>
                <w:b/>
                <w:bCs/>
                <w:sz w:val="21"/>
                <w:szCs w:val="21"/>
                <w:highlight w:val="none"/>
              </w:rPr>
              <w:t>表2-</w:t>
            </w:r>
            <w:r>
              <w:rPr>
                <w:rFonts w:hint="eastAsia"/>
                <w:b/>
                <w:bCs/>
                <w:sz w:val="21"/>
                <w:szCs w:val="21"/>
                <w:highlight w:val="none"/>
                <w:lang w:val="en-US" w:eastAsia="zh-CN"/>
              </w:rPr>
              <w:t>3</w:t>
            </w:r>
            <w:r>
              <w:rPr>
                <w:rFonts w:hint="eastAsia"/>
                <w:b/>
                <w:bCs/>
                <w:sz w:val="21"/>
                <w:szCs w:val="21"/>
                <w:highlight w:val="none"/>
              </w:rPr>
              <w:t xml:space="preserve">   项目主要原辅材料及能源消耗情况一览表</w:t>
            </w:r>
          </w:p>
          <w:tbl>
            <w:tblPr>
              <w:tblStyle w:val="3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160"/>
              <w:gridCol w:w="1445"/>
              <w:gridCol w:w="818"/>
              <w:gridCol w:w="1486"/>
              <w:gridCol w:w="3687"/>
            </w:tblGrid>
            <w:tr w14:paraId="736779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72" w:type="pct"/>
                  <w:tcBorders>
                    <w:tl2br w:val="nil"/>
                    <w:tr2bl w:val="nil"/>
                  </w:tcBorders>
                  <w:noWrap w:val="0"/>
                  <w:vAlign w:val="center"/>
                </w:tcPr>
                <w:p w14:paraId="6BFE39F1">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b/>
                      <w:bCs/>
                      <w:sz w:val="21"/>
                      <w:szCs w:val="21"/>
                      <w:highlight w:val="none"/>
                    </w:rPr>
                  </w:pPr>
                  <w:r>
                    <w:rPr>
                      <w:rFonts w:hint="eastAsia"/>
                      <w:b/>
                      <w:bCs/>
                      <w:sz w:val="21"/>
                      <w:szCs w:val="21"/>
                      <w:highlight w:val="none"/>
                    </w:rPr>
                    <w:t>序号</w:t>
                  </w:r>
                </w:p>
              </w:tc>
              <w:tc>
                <w:tcPr>
                  <w:tcW w:w="624" w:type="pct"/>
                  <w:tcBorders>
                    <w:tl2br w:val="nil"/>
                    <w:tr2bl w:val="nil"/>
                  </w:tcBorders>
                  <w:noWrap w:val="0"/>
                  <w:vAlign w:val="center"/>
                </w:tcPr>
                <w:p w14:paraId="578D877A">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b/>
                      <w:bCs/>
                      <w:sz w:val="21"/>
                      <w:szCs w:val="21"/>
                      <w:highlight w:val="none"/>
                    </w:rPr>
                  </w:pPr>
                  <w:r>
                    <w:rPr>
                      <w:rFonts w:hint="eastAsia"/>
                      <w:b/>
                      <w:bCs/>
                      <w:sz w:val="21"/>
                      <w:szCs w:val="21"/>
                      <w:highlight w:val="none"/>
                    </w:rPr>
                    <w:t>名称</w:t>
                  </w:r>
                </w:p>
              </w:tc>
              <w:tc>
                <w:tcPr>
                  <w:tcW w:w="777" w:type="pct"/>
                  <w:tcBorders>
                    <w:tl2br w:val="nil"/>
                    <w:tr2bl w:val="nil"/>
                  </w:tcBorders>
                  <w:noWrap w:val="0"/>
                  <w:vAlign w:val="center"/>
                </w:tcPr>
                <w:p w14:paraId="2C690B0D">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b/>
                      <w:bCs/>
                      <w:sz w:val="21"/>
                      <w:szCs w:val="21"/>
                      <w:highlight w:val="none"/>
                    </w:rPr>
                  </w:pPr>
                  <w:r>
                    <w:rPr>
                      <w:rFonts w:hint="eastAsia"/>
                      <w:b/>
                      <w:bCs/>
                      <w:sz w:val="21"/>
                      <w:szCs w:val="21"/>
                      <w:highlight w:val="none"/>
                    </w:rPr>
                    <w:t>年用量</w:t>
                  </w:r>
                </w:p>
              </w:tc>
              <w:tc>
                <w:tcPr>
                  <w:tcW w:w="440" w:type="pct"/>
                  <w:tcBorders>
                    <w:tl2br w:val="nil"/>
                    <w:tr2bl w:val="nil"/>
                  </w:tcBorders>
                  <w:noWrap w:val="0"/>
                  <w:vAlign w:val="center"/>
                </w:tcPr>
                <w:p w14:paraId="119A271C">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eastAsia="宋体"/>
                      <w:b/>
                      <w:bCs/>
                      <w:sz w:val="21"/>
                      <w:szCs w:val="21"/>
                      <w:highlight w:val="none"/>
                      <w:lang w:eastAsia="zh-CN"/>
                    </w:rPr>
                  </w:pPr>
                  <w:r>
                    <w:rPr>
                      <w:rFonts w:hint="eastAsia"/>
                      <w:b/>
                      <w:bCs/>
                      <w:sz w:val="21"/>
                      <w:szCs w:val="21"/>
                      <w:highlight w:val="none"/>
                      <w:lang w:val="en-US" w:eastAsia="zh-CN"/>
                    </w:rPr>
                    <w:t>来源</w:t>
                  </w:r>
                </w:p>
              </w:tc>
              <w:tc>
                <w:tcPr>
                  <w:tcW w:w="799" w:type="pct"/>
                  <w:tcBorders>
                    <w:tl2br w:val="nil"/>
                    <w:tr2bl w:val="nil"/>
                  </w:tcBorders>
                  <w:noWrap w:val="0"/>
                  <w:vAlign w:val="center"/>
                </w:tcPr>
                <w:p w14:paraId="03627918">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eastAsia="宋体"/>
                      <w:b/>
                      <w:bCs/>
                      <w:sz w:val="21"/>
                      <w:szCs w:val="21"/>
                      <w:highlight w:val="none"/>
                      <w:lang w:val="en-US" w:eastAsia="zh-CN"/>
                    </w:rPr>
                  </w:pPr>
                  <w:r>
                    <w:rPr>
                      <w:rFonts w:hint="eastAsia"/>
                      <w:b/>
                      <w:bCs/>
                      <w:sz w:val="21"/>
                      <w:szCs w:val="21"/>
                      <w:highlight w:val="none"/>
                      <w:lang w:val="en-US" w:eastAsia="zh-CN"/>
                    </w:rPr>
                    <w:t>最大储存量</w:t>
                  </w:r>
                </w:p>
              </w:tc>
              <w:tc>
                <w:tcPr>
                  <w:tcW w:w="1984" w:type="pct"/>
                  <w:tcBorders>
                    <w:tl2br w:val="nil"/>
                    <w:tr2bl w:val="nil"/>
                  </w:tcBorders>
                  <w:noWrap w:val="0"/>
                  <w:vAlign w:val="center"/>
                </w:tcPr>
                <w:p w14:paraId="12E4BE0A">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b/>
                      <w:bCs/>
                      <w:sz w:val="21"/>
                      <w:szCs w:val="21"/>
                      <w:highlight w:val="none"/>
                    </w:rPr>
                  </w:pPr>
                  <w:r>
                    <w:rPr>
                      <w:rFonts w:hint="eastAsia"/>
                      <w:b/>
                      <w:bCs/>
                      <w:sz w:val="21"/>
                      <w:szCs w:val="21"/>
                      <w:highlight w:val="none"/>
                    </w:rPr>
                    <w:t>备注</w:t>
                  </w:r>
                </w:p>
              </w:tc>
            </w:tr>
            <w:tr w14:paraId="7DB6C0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72" w:type="pct"/>
                  <w:tcBorders>
                    <w:tl2br w:val="nil"/>
                    <w:tr2bl w:val="nil"/>
                  </w:tcBorders>
                  <w:noWrap w:val="0"/>
                  <w:vAlign w:val="center"/>
                </w:tcPr>
                <w:p w14:paraId="36FA79DB">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eastAsia="宋体"/>
                      <w:sz w:val="21"/>
                      <w:szCs w:val="21"/>
                      <w:highlight w:val="none"/>
                      <w:lang w:val="en-US" w:eastAsia="zh-CN"/>
                    </w:rPr>
                  </w:pPr>
                  <w:r>
                    <w:rPr>
                      <w:rFonts w:hint="eastAsia"/>
                      <w:sz w:val="21"/>
                      <w:szCs w:val="21"/>
                      <w:highlight w:val="none"/>
                      <w:lang w:val="en-US" w:eastAsia="zh-CN"/>
                    </w:rPr>
                    <w:t>1</w:t>
                  </w:r>
                </w:p>
              </w:tc>
              <w:tc>
                <w:tcPr>
                  <w:tcW w:w="624" w:type="pct"/>
                  <w:tcBorders>
                    <w:tl2br w:val="nil"/>
                    <w:tr2bl w:val="nil"/>
                  </w:tcBorders>
                  <w:noWrap w:val="0"/>
                  <w:vAlign w:val="center"/>
                </w:tcPr>
                <w:p w14:paraId="38478CAE">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92#汽油</w:t>
                  </w:r>
                </w:p>
              </w:tc>
              <w:tc>
                <w:tcPr>
                  <w:tcW w:w="777" w:type="pct"/>
                  <w:tcBorders>
                    <w:tl2br w:val="nil"/>
                    <w:tr2bl w:val="nil"/>
                  </w:tcBorders>
                  <w:noWrap w:val="0"/>
                  <w:vAlign w:val="center"/>
                </w:tcPr>
                <w:p w14:paraId="6CE17937">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734.4吨</w:t>
                  </w:r>
                </w:p>
              </w:tc>
              <w:tc>
                <w:tcPr>
                  <w:tcW w:w="440" w:type="pct"/>
                  <w:tcBorders>
                    <w:tl2br w:val="nil"/>
                    <w:tr2bl w:val="nil"/>
                  </w:tcBorders>
                  <w:noWrap w:val="0"/>
                  <w:vAlign w:val="center"/>
                </w:tcPr>
                <w:p w14:paraId="46A77956">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sz w:val="21"/>
                      <w:szCs w:val="21"/>
                      <w:highlight w:val="none"/>
                    </w:rPr>
                  </w:pPr>
                  <w:r>
                    <w:rPr>
                      <w:rFonts w:hint="eastAsia"/>
                      <w:sz w:val="21"/>
                      <w:szCs w:val="21"/>
                      <w:highlight w:val="none"/>
                      <w:lang w:val="en-US" w:eastAsia="zh-CN"/>
                    </w:rPr>
                    <w:t>外购</w:t>
                  </w:r>
                </w:p>
              </w:tc>
              <w:tc>
                <w:tcPr>
                  <w:tcW w:w="799" w:type="pct"/>
                  <w:tcBorders>
                    <w:tl2br w:val="nil"/>
                    <w:tr2bl w:val="nil"/>
                  </w:tcBorders>
                  <w:noWrap w:val="0"/>
                  <w:vAlign w:val="center"/>
                </w:tcPr>
                <w:p w14:paraId="0B2F1FAD">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eastAsia="宋体"/>
                      <w:sz w:val="21"/>
                      <w:szCs w:val="21"/>
                      <w:highlight w:val="none"/>
                      <w:lang w:val="en-US" w:eastAsia="zh-CN"/>
                    </w:rPr>
                  </w:pPr>
                  <w:r>
                    <w:rPr>
                      <w:rFonts w:hint="eastAsia"/>
                      <w:sz w:val="21"/>
                      <w:szCs w:val="21"/>
                      <w:highlight w:val="none"/>
                      <w:lang w:val="en-US" w:eastAsia="zh-CN"/>
                    </w:rPr>
                    <w:t>18.36吨</w:t>
                  </w:r>
                </w:p>
              </w:tc>
              <w:tc>
                <w:tcPr>
                  <w:tcW w:w="1984" w:type="pct"/>
                  <w:tcBorders>
                    <w:tl2br w:val="nil"/>
                    <w:tr2bl w:val="nil"/>
                  </w:tcBorders>
                  <w:noWrap w:val="0"/>
                  <w:vAlign w:val="center"/>
                </w:tcPr>
                <w:p w14:paraId="2DD12841">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both"/>
                    <w:textAlignment w:val="auto"/>
                    <w:rPr>
                      <w:rFonts w:hint="eastAsia"/>
                      <w:sz w:val="21"/>
                      <w:szCs w:val="21"/>
                      <w:highlight w:val="none"/>
                    </w:rPr>
                  </w:pPr>
                  <w:r>
                    <w:rPr>
                      <w:rFonts w:hint="eastAsia"/>
                      <w:sz w:val="21"/>
                      <w:szCs w:val="21"/>
                      <w:highlight w:val="none"/>
                      <w:lang w:val="en-US" w:eastAsia="zh-CN"/>
                    </w:rPr>
                    <w:t>92#汽油罐总容积为30</w:t>
                  </w:r>
                  <w:r>
                    <w:rPr>
                      <w:rFonts w:hint="eastAsia"/>
                      <w:sz w:val="21"/>
                      <w:szCs w:val="21"/>
                      <w:highlight w:val="none"/>
                    </w:rPr>
                    <w:t>m</w:t>
                  </w:r>
                  <w:r>
                    <w:rPr>
                      <w:rFonts w:hint="eastAsia"/>
                      <w:sz w:val="21"/>
                      <w:szCs w:val="21"/>
                      <w:highlight w:val="none"/>
                      <w:vertAlign w:val="superscript"/>
                    </w:rPr>
                    <w:t>3</w:t>
                  </w:r>
                  <w:r>
                    <w:rPr>
                      <w:rFonts w:hint="eastAsia"/>
                      <w:sz w:val="21"/>
                      <w:szCs w:val="21"/>
                      <w:highlight w:val="none"/>
                      <w:lang w:eastAsia="zh-CN"/>
                    </w:rPr>
                    <w:t>，</w:t>
                  </w:r>
                  <w:r>
                    <w:rPr>
                      <w:rFonts w:hint="eastAsia"/>
                      <w:sz w:val="21"/>
                      <w:szCs w:val="21"/>
                      <w:highlight w:val="none"/>
                    </w:rPr>
                    <w:t>最大储存量为</w:t>
                  </w:r>
                  <w:r>
                    <w:rPr>
                      <w:rFonts w:hint="eastAsia"/>
                      <w:sz w:val="21"/>
                      <w:szCs w:val="21"/>
                      <w:highlight w:val="none"/>
                      <w:lang w:val="en-US" w:eastAsia="zh-CN"/>
                    </w:rPr>
                    <w:t>25.5</w:t>
                  </w:r>
                  <w:r>
                    <w:rPr>
                      <w:rFonts w:hint="eastAsia"/>
                      <w:sz w:val="21"/>
                      <w:szCs w:val="21"/>
                      <w:highlight w:val="none"/>
                    </w:rPr>
                    <w:t>m</w:t>
                  </w:r>
                  <w:r>
                    <w:rPr>
                      <w:rFonts w:hint="eastAsia"/>
                      <w:sz w:val="21"/>
                      <w:szCs w:val="21"/>
                      <w:highlight w:val="none"/>
                      <w:vertAlign w:val="superscript"/>
                    </w:rPr>
                    <w:t>3</w:t>
                  </w:r>
                  <w:r>
                    <w:rPr>
                      <w:rFonts w:hint="eastAsia"/>
                      <w:sz w:val="21"/>
                      <w:szCs w:val="21"/>
                      <w:highlight w:val="none"/>
                    </w:rPr>
                    <w:t>（储罐充装系数为85%），</w:t>
                  </w:r>
                  <w:r>
                    <w:rPr>
                      <w:rFonts w:hint="eastAsia"/>
                      <w:sz w:val="21"/>
                      <w:szCs w:val="21"/>
                      <w:highlight w:val="none"/>
                      <w:lang w:val="en-US" w:eastAsia="zh-CN"/>
                    </w:rPr>
                    <w:t>92#汽油</w:t>
                  </w:r>
                  <w:r>
                    <w:rPr>
                      <w:rFonts w:hint="eastAsia"/>
                      <w:sz w:val="21"/>
                      <w:szCs w:val="21"/>
                      <w:highlight w:val="none"/>
                    </w:rPr>
                    <w:t>密度按0.</w:t>
                  </w:r>
                  <w:r>
                    <w:rPr>
                      <w:rFonts w:hint="eastAsia"/>
                      <w:sz w:val="21"/>
                      <w:szCs w:val="21"/>
                      <w:highlight w:val="none"/>
                      <w:lang w:val="en-US" w:eastAsia="zh-CN"/>
                    </w:rPr>
                    <w:t>72</w:t>
                  </w:r>
                  <w:r>
                    <w:rPr>
                      <w:rFonts w:hint="eastAsia"/>
                      <w:sz w:val="21"/>
                      <w:szCs w:val="21"/>
                      <w:highlight w:val="none"/>
                    </w:rPr>
                    <w:t>g/mL计</w:t>
                  </w:r>
                </w:p>
              </w:tc>
            </w:tr>
            <w:tr w14:paraId="32C9D4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372" w:type="pct"/>
                  <w:tcBorders>
                    <w:tl2br w:val="nil"/>
                    <w:tr2bl w:val="nil"/>
                  </w:tcBorders>
                  <w:noWrap w:val="0"/>
                  <w:vAlign w:val="center"/>
                </w:tcPr>
                <w:p w14:paraId="0120E41A">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eastAsia="宋体"/>
                      <w:sz w:val="21"/>
                      <w:szCs w:val="21"/>
                      <w:highlight w:val="none"/>
                      <w:lang w:val="en-US" w:eastAsia="zh-CN"/>
                    </w:rPr>
                  </w:pPr>
                  <w:r>
                    <w:rPr>
                      <w:rFonts w:hint="eastAsia"/>
                      <w:sz w:val="21"/>
                      <w:szCs w:val="21"/>
                      <w:highlight w:val="none"/>
                      <w:lang w:val="en-US" w:eastAsia="zh-CN"/>
                    </w:rPr>
                    <w:t>2</w:t>
                  </w:r>
                </w:p>
              </w:tc>
              <w:tc>
                <w:tcPr>
                  <w:tcW w:w="624" w:type="pct"/>
                  <w:tcBorders>
                    <w:tl2br w:val="nil"/>
                    <w:tr2bl w:val="nil"/>
                  </w:tcBorders>
                  <w:noWrap w:val="0"/>
                  <w:vAlign w:val="center"/>
                </w:tcPr>
                <w:p w14:paraId="4E9BD523">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95#汽油</w:t>
                  </w:r>
                </w:p>
              </w:tc>
              <w:tc>
                <w:tcPr>
                  <w:tcW w:w="777" w:type="pct"/>
                  <w:tcBorders>
                    <w:tl2br w:val="nil"/>
                    <w:tr2bl w:val="nil"/>
                  </w:tcBorders>
                  <w:noWrap w:val="0"/>
                  <w:vAlign w:val="center"/>
                </w:tcPr>
                <w:p w14:paraId="18F5CEC0">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765吨</w:t>
                  </w:r>
                </w:p>
              </w:tc>
              <w:tc>
                <w:tcPr>
                  <w:tcW w:w="440" w:type="pct"/>
                  <w:tcBorders>
                    <w:tl2br w:val="nil"/>
                    <w:tr2bl w:val="nil"/>
                  </w:tcBorders>
                  <w:noWrap w:val="0"/>
                  <w:vAlign w:val="center"/>
                </w:tcPr>
                <w:p w14:paraId="5DAA67B9">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sz w:val="21"/>
                      <w:szCs w:val="21"/>
                      <w:highlight w:val="none"/>
                    </w:rPr>
                  </w:pPr>
                  <w:r>
                    <w:rPr>
                      <w:rFonts w:hint="eastAsia"/>
                      <w:sz w:val="21"/>
                      <w:szCs w:val="21"/>
                      <w:highlight w:val="none"/>
                      <w:lang w:val="en-US" w:eastAsia="zh-CN"/>
                    </w:rPr>
                    <w:t>外购</w:t>
                  </w:r>
                </w:p>
              </w:tc>
              <w:tc>
                <w:tcPr>
                  <w:tcW w:w="799" w:type="pct"/>
                  <w:tcBorders>
                    <w:tl2br w:val="nil"/>
                    <w:tr2bl w:val="nil"/>
                  </w:tcBorders>
                  <w:noWrap w:val="0"/>
                  <w:vAlign w:val="center"/>
                </w:tcPr>
                <w:p w14:paraId="49A82AE9">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eastAsia="宋体"/>
                      <w:sz w:val="21"/>
                      <w:szCs w:val="21"/>
                      <w:highlight w:val="none"/>
                      <w:lang w:val="en-US" w:eastAsia="zh-CN"/>
                    </w:rPr>
                  </w:pPr>
                  <w:r>
                    <w:rPr>
                      <w:rFonts w:hint="eastAsia"/>
                      <w:sz w:val="21"/>
                      <w:szCs w:val="21"/>
                      <w:highlight w:val="none"/>
                      <w:lang w:val="en-US" w:eastAsia="zh-CN"/>
                    </w:rPr>
                    <w:t>19.125吨</w:t>
                  </w:r>
                </w:p>
              </w:tc>
              <w:tc>
                <w:tcPr>
                  <w:tcW w:w="1984" w:type="pct"/>
                  <w:tcBorders>
                    <w:tl2br w:val="nil"/>
                    <w:tr2bl w:val="nil"/>
                  </w:tcBorders>
                  <w:noWrap w:val="0"/>
                  <w:vAlign w:val="center"/>
                </w:tcPr>
                <w:p w14:paraId="609BCA33">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both"/>
                    <w:textAlignment w:val="auto"/>
                    <w:rPr>
                      <w:rFonts w:hint="eastAsia"/>
                      <w:sz w:val="21"/>
                      <w:szCs w:val="21"/>
                      <w:highlight w:val="none"/>
                    </w:rPr>
                  </w:pPr>
                  <w:r>
                    <w:rPr>
                      <w:rFonts w:hint="eastAsia"/>
                      <w:sz w:val="21"/>
                      <w:szCs w:val="21"/>
                      <w:highlight w:val="none"/>
                      <w:lang w:val="en-US" w:eastAsia="zh-CN"/>
                    </w:rPr>
                    <w:t>95#汽油罐总容积为30</w:t>
                  </w:r>
                  <w:r>
                    <w:rPr>
                      <w:rFonts w:hint="eastAsia"/>
                      <w:sz w:val="21"/>
                      <w:szCs w:val="21"/>
                      <w:highlight w:val="none"/>
                    </w:rPr>
                    <w:t>m</w:t>
                  </w:r>
                  <w:r>
                    <w:rPr>
                      <w:rFonts w:hint="eastAsia"/>
                      <w:sz w:val="21"/>
                      <w:szCs w:val="21"/>
                      <w:highlight w:val="none"/>
                      <w:vertAlign w:val="superscript"/>
                    </w:rPr>
                    <w:t>3</w:t>
                  </w:r>
                  <w:r>
                    <w:rPr>
                      <w:rFonts w:hint="eastAsia"/>
                      <w:sz w:val="21"/>
                      <w:szCs w:val="21"/>
                      <w:highlight w:val="none"/>
                      <w:lang w:eastAsia="zh-CN"/>
                    </w:rPr>
                    <w:t>，</w:t>
                  </w:r>
                  <w:r>
                    <w:rPr>
                      <w:rFonts w:hint="eastAsia"/>
                      <w:sz w:val="21"/>
                      <w:szCs w:val="21"/>
                      <w:highlight w:val="none"/>
                    </w:rPr>
                    <w:t>最大储存量为</w:t>
                  </w:r>
                  <w:r>
                    <w:rPr>
                      <w:rFonts w:hint="eastAsia"/>
                      <w:sz w:val="21"/>
                      <w:szCs w:val="21"/>
                      <w:highlight w:val="none"/>
                      <w:lang w:val="en-US" w:eastAsia="zh-CN"/>
                    </w:rPr>
                    <w:t>25.5</w:t>
                  </w:r>
                  <w:r>
                    <w:rPr>
                      <w:rFonts w:hint="eastAsia"/>
                      <w:sz w:val="21"/>
                      <w:szCs w:val="21"/>
                      <w:highlight w:val="none"/>
                    </w:rPr>
                    <w:t>m</w:t>
                  </w:r>
                  <w:r>
                    <w:rPr>
                      <w:rFonts w:hint="eastAsia"/>
                      <w:sz w:val="21"/>
                      <w:szCs w:val="21"/>
                      <w:highlight w:val="none"/>
                      <w:vertAlign w:val="superscript"/>
                    </w:rPr>
                    <w:t>3</w:t>
                  </w:r>
                  <w:r>
                    <w:rPr>
                      <w:rFonts w:hint="eastAsia"/>
                      <w:sz w:val="21"/>
                      <w:szCs w:val="21"/>
                      <w:highlight w:val="none"/>
                    </w:rPr>
                    <w:t>（充装系数为85%），</w:t>
                  </w:r>
                  <w:r>
                    <w:rPr>
                      <w:rFonts w:hint="eastAsia"/>
                      <w:sz w:val="21"/>
                      <w:szCs w:val="21"/>
                      <w:highlight w:val="none"/>
                      <w:lang w:val="en-US" w:eastAsia="zh-CN"/>
                    </w:rPr>
                    <w:t>95#汽油</w:t>
                  </w:r>
                  <w:r>
                    <w:rPr>
                      <w:rFonts w:hint="eastAsia"/>
                      <w:sz w:val="21"/>
                      <w:szCs w:val="21"/>
                      <w:highlight w:val="none"/>
                    </w:rPr>
                    <w:t>密度按0.</w:t>
                  </w:r>
                  <w:r>
                    <w:rPr>
                      <w:rFonts w:hint="eastAsia"/>
                      <w:sz w:val="21"/>
                      <w:szCs w:val="21"/>
                      <w:highlight w:val="none"/>
                      <w:lang w:val="en-US" w:eastAsia="zh-CN"/>
                    </w:rPr>
                    <w:t>75</w:t>
                  </w:r>
                  <w:r>
                    <w:rPr>
                      <w:rFonts w:hint="eastAsia"/>
                      <w:sz w:val="21"/>
                      <w:szCs w:val="21"/>
                      <w:highlight w:val="none"/>
                    </w:rPr>
                    <w:t>g/mL计</w:t>
                  </w:r>
                </w:p>
              </w:tc>
            </w:tr>
            <w:tr w14:paraId="41A4BD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372" w:type="pct"/>
                  <w:tcBorders>
                    <w:tl2br w:val="nil"/>
                    <w:tr2bl w:val="nil"/>
                  </w:tcBorders>
                  <w:noWrap w:val="0"/>
                  <w:vAlign w:val="center"/>
                </w:tcPr>
                <w:p w14:paraId="4F172226">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3</w:t>
                  </w:r>
                </w:p>
              </w:tc>
              <w:tc>
                <w:tcPr>
                  <w:tcW w:w="624" w:type="pct"/>
                  <w:tcBorders>
                    <w:tl2br w:val="nil"/>
                    <w:tr2bl w:val="nil"/>
                  </w:tcBorders>
                  <w:noWrap w:val="0"/>
                  <w:vAlign w:val="center"/>
                </w:tcPr>
                <w:p w14:paraId="374F2CE7">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w:t>
                  </w:r>
                  <w:r>
                    <w:rPr>
                      <w:rFonts w:hint="eastAsia"/>
                      <w:sz w:val="21"/>
                      <w:szCs w:val="21"/>
                      <w:highlight w:val="none"/>
                    </w:rPr>
                    <w:t>柴油</w:t>
                  </w:r>
                </w:p>
              </w:tc>
              <w:tc>
                <w:tcPr>
                  <w:tcW w:w="777" w:type="pct"/>
                  <w:tcBorders>
                    <w:tl2br w:val="nil"/>
                    <w:tr2bl w:val="nil"/>
                  </w:tcBorders>
                  <w:noWrap w:val="0"/>
                  <w:vAlign w:val="center"/>
                </w:tcPr>
                <w:p w14:paraId="623581D5">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2856吨</w:t>
                  </w:r>
                </w:p>
              </w:tc>
              <w:tc>
                <w:tcPr>
                  <w:tcW w:w="440" w:type="pct"/>
                  <w:tcBorders>
                    <w:tl2br w:val="nil"/>
                    <w:tr2bl w:val="nil"/>
                  </w:tcBorders>
                  <w:noWrap w:val="0"/>
                  <w:vAlign w:val="center"/>
                </w:tcPr>
                <w:p w14:paraId="7A875452">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外购</w:t>
                  </w:r>
                </w:p>
              </w:tc>
              <w:tc>
                <w:tcPr>
                  <w:tcW w:w="799" w:type="pct"/>
                  <w:tcBorders>
                    <w:tl2br w:val="nil"/>
                    <w:tr2bl w:val="nil"/>
                  </w:tcBorders>
                  <w:noWrap w:val="0"/>
                  <w:vAlign w:val="center"/>
                </w:tcPr>
                <w:p w14:paraId="0CA2C743">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71.40吨</w:t>
                  </w:r>
                </w:p>
              </w:tc>
              <w:tc>
                <w:tcPr>
                  <w:tcW w:w="1984" w:type="pct"/>
                  <w:tcBorders>
                    <w:tl2br w:val="nil"/>
                    <w:tr2bl w:val="nil"/>
                  </w:tcBorders>
                  <w:noWrap w:val="0"/>
                  <w:vAlign w:val="center"/>
                </w:tcPr>
                <w:p w14:paraId="00755BE1">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both"/>
                    <w:textAlignment w:val="auto"/>
                    <w:rPr>
                      <w:rFonts w:hint="eastAsia"/>
                      <w:sz w:val="21"/>
                      <w:szCs w:val="21"/>
                      <w:highlight w:val="none"/>
                      <w:lang w:val="en-US" w:eastAsia="zh-CN"/>
                    </w:rPr>
                  </w:pPr>
                  <w:r>
                    <w:rPr>
                      <w:rFonts w:hint="eastAsia"/>
                      <w:sz w:val="21"/>
                      <w:szCs w:val="21"/>
                      <w:highlight w:val="none"/>
                      <w:lang w:val="en-US" w:eastAsia="zh-CN"/>
                    </w:rPr>
                    <w:t>0#柴油罐总容积为100</w:t>
                  </w:r>
                  <w:r>
                    <w:rPr>
                      <w:rFonts w:hint="eastAsia"/>
                      <w:sz w:val="21"/>
                      <w:szCs w:val="21"/>
                      <w:highlight w:val="none"/>
                    </w:rPr>
                    <w:t>m</w:t>
                  </w:r>
                  <w:r>
                    <w:rPr>
                      <w:rFonts w:hint="eastAsia"/>
                      <w:sz w:val="21"/>
                      <w:szCs w:val="21"/>
                      <w:highlight w:val="none"/>
                      <w:vertAlign w:val="superscript"/>
                    </w:rPr>
                    <w:t>3</w:t>
                  </w:r>
                  <w:r>
                    <w:rPr>
                      <w:rFonts w:hint="eastAsia"/>
                      <w:sz w:val="21"/>
                      <w:szCs w:val="21"/>
                      <w:highlight w:val="none"/>
                      <w:lang w:eastAsia="zh-CN"/>
                    </w:rPr>
                    <w:t>，</w:t>
                  </w:r>
                  <w:r>
                    <w:rPr>
                      <w:rFonts w:hint="eastAsia"/>
                      <w:sz w:val="21"/>
                      <w:szCs w:val="21"/>
                      <w:highlight w:val="none"/>
                    </w:rPr>
                    <w:t>最大储存量为</w:t>
                  </w:r>
                  <w:r>
                    <w:rPr>
                      <w:rFonts w:hint="eastAsia"/>
                      <w:sz w:val="21"/>
                      <w:szCs w:val="21"/>
                      <w:highlight w:val="none"/>
                      <w:lang w:val="en-US" w:eastAsia="zh-CN"/>
                    </w:rPr>
                    <w:t>85</w:t>
                  </w:r>
                  <w:r>
                    <w:rPr>
                      <w:rFonts w:hint="eastAsia"/>
                      <w:sz w:val="21"/>
                      <w:szCs w:val="21"/>
                      <w:highlight w:val="none"/>
                    </w:rPr>
                    <w:t>m</w:t>
                  </w:r>
                  <w:r>
                    <w:rPr>
                      <w:rFonts w:hint="eastAsia"/>
                      <w:sz w:val="21"/>
                      <w:szCs w:val="21"/>
                      <w:highlight w:val="none"/>
                      <w:vertAlign w:val="superscript"/>
                    </w:rPr>
                    <w:t>3</w:t>
                  </w:r>
                  <w:r>
                    <w:rPr>
                      <w:rFonts w:hint="eastAsia"/>
                      <w:sz w:val="21"/>
                      <w:szCs w:val="21"/>
                      <w:highlight w:val="none"/>
                    </w:rPr>
                    <w:t>（充装系数为85%），0#柴油密度按0.84g/mL计</w:t>
                  </w:r>
                </w:p>
              </w:tc>
            </w:tr>
            <w:tr w14:paraId="1F42CB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72" w:type="pct"/>
                  <w:tcBorders>
                    <w:tl2br w:val="nil"/>
                    <w:tr2bl w:val="nil"/>
                  </w:tcBorders>
                  <w:noWrap w:val="0"/>
                  <w:vAlign w:val="center"/>
                </w:tcPr>
                <w:p w14:paraId="564818BB">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eastAsia="宋体"/>
                      <w:color w:val="auto"/>
                      <w:sz w:val="21"/>
                      <w:szCs w:val="21"/>
                      <w:highlight w:val="none"/>
                      <w:lang w:eastAsia="zh-CN"/>
                    </w:rPr>
                  </w:pPr>
                  <w:r>
                    <w:rPr>
                      <w:rFonts w:hint="eastAsia"/>
                      <w:color w:val="auto"/>
                      <w:sz w:val="21"/>
                      <w:szCs w:val="21"/>
                      <w:highlight w:val="none"/>
                      <w:lang w:val="en-US" w:eastAsia="zh-CN"/>
                    </w:rPr>
                    <w:t>4</w:t>
                  </w:r>
                </w:p>
              </w:tc>
              <w:tc>
                <w:tcPr>
                  <w:tcW w:w="624" w:type="pct"/>
                  <w:tcBorders>
                    <w:tl2br w:val="nil"/>
                    <w:tr2bl w:val="nil"/>
                  </w:tcBorders>
                  <w:noWrap w:val="0"/>
                  <w:vAlign w:val="center"/>
                </w:tcPr>
                <w:p w14:paraId="25D05962">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color w:val="auto"/>
                      <w:sz w:val="21"/>
                      <w:szCs w:val="21"/>
                      <w:highlight w:val="none"/>
                    </w:rPr>
                  </w:pPr>
                  <w:r>
                    <w:rPr>
                      <w:rFonts w:hint="eastAsia"/>
                      <w:color w:val="auto"/>
                      <w:sz w:val="21"/>
                      <w:szCs w:val="21"/>
                      <w:highlight w:val="none"/>
                    </w:rPr>
                    <w:t>清洗剂</w:t>
                  </w:r>
                </w:p>
              </w:tc>
              <w:tc>
                <w:tcPr>
                  <w:tcW w:w="777" w:type="pct"/>
                  <w:tcBorders>
                    <w:tl2br w:val="nil"/>
                    <w:tr2bl w:val="nil"/>
                  </w:tcBorders>
                  <w:noWrap w:val="0"/>
                  <w:vAlign w:val="center"/>
                </w:tcPr>
                <w:p w14:paraId="00EAA154">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color w:val="auto"/>
                      <w:sz w:val="21"/>
                      <w:szCs w:val="21"/>
                      <w:highlight w:val="none"/>
                    </w:rPr>
                  </w:pPr>
                  <w:r>
                    <w:rPr>
                      <w:rFonts w:hint="eastAsia"/>
                      <w:color w:val="auto"/>
                      <w:sz w:val="21"/>
                      <w:szCs w:val="21"/>
                      <w:highlight w:val="none"/>
                    </w:rPr>
                    <w:t>0.5</w:t>
                  </w:r>
                  <w:r>
                    <w:rPr>
                      <w:rFonts w:hint="eastAsia"/>
                      <w:color w:val="auto"/>
                      <w:sz w:val="21"/>
                      <w:szCs w:val="21"/>
                      <w:highlight w:val="none"/>
                      <w:lang w:val="en-US" w:eastAsia="zh-CN"/>
                    </w:rPr>
                    <w:t>吨</w:t>
                  </w:r>
                </w:p>
              </w:tc>
              <w:tc>
                <w:tcPr>
                  <w:tcW w:w="440" w:type="pct"/>
                  <w:tcBorders>
                    <w:tl2br w:val="nil"/>
                    <w:tr2bl w:val="nil"/>
                  </w:tcBorders>
                  <w:noWrap w:val="0"/>
                  <w:vAlign w:val="center"/>
                </w:tcPr>
                <w:p w14:paraId="114238B5">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color w:val="auto"/>
                      <w:sz w:val="21"/>
                      <w:szCs w:val="21"/>
                      <w:highlight w:val="none"/>
                    </w:rPr>
                  </w:pPr>
                  <w:r>
                    <w:rPr>
                      <w:rFonts w:hint="eastAsia"/>
                      <w:color w:val="auto"/>
                      <w:sz w:val="21"/>
                      <w:szCs w:val="21"/>
                      <w:highlight w:val="none"/>
                      <w:lang w:val="en-US" w:eastAsia="zh-CN"/>
                    </w:rPr>
                    <w:t>外购</w:t>
                  </w:r>
                </w:p>
              </w:tc>
              <w:tc>
                <w:tcPr>
                  <w:tcW w:w="799" w:type="pct"/>
                  <w:tcBorders>
                    <w:tl2br w:val="nil"/>
                    <w:tr2bl w:val="nil"/>
                  </w:tcBorders>
                  <w:noWrap w:val="0"/>
                  <w:vAlign w:val="center"/>
                </w:tcPr>
                <w:p w14:paraId="3991147C">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0.01吨</w:t>
                  </w:r>
                </w:p>
              </w:tc>
              <w:tc>
                <w:tcPr>
                  <w:tcW w:w="1984" w:type="pct"/>
                  <w:tcBorders>
                    <w:tl2br w:val="nil"/>
                    <w:tr2bl w:val="nil"/>
                  </w:tcBorders>
                  <w:noWrap w:val="0"/>
                  <w:vAlign w:val="center"/>
                </w:tcPr>
                <w:p w14:paraId="5896C222">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color w:val="auto"/>
                      <w:sz w:val="21"/>
                      <w:szCs w:val="21"/>
                      <w:highlight w:val="none"/>
                    </w:rPr>
                  </w:pPr>
                  <w:r>
                    <w:rPr>
                      <w:rFonts w:hint="eastAsia"/>
                      <w:color w:val="auto"/>
                      <w:sz w:val="21"/>
                      <w:szCs w:val="21"/>
                      <w:highlight w:val="none"/>
                    </w:rPr>
                    <w:t>/</w:t>
                  </w:r>
                </w:p>
              </w:tc>
            </w:tr>
            <w:tr w14:paraId="567AD1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72" w:type="pct"/>
                  <w:tcBorders>
                    <w:tl2br w:val="nil"/>
                    <w:tr2bl w:val="nil"/>
                  </w:tcBorders>
                  <w:noWrap w:val="0"/>
                  <w:vAlign w:val="center"/>
                </w:tcPr>
                <w:p w14:paraId="435B2AD1">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eastAsia="宋体"/>
                      <w:sz w:val="21"/>
                      <w:szCs w:val="21"/>
                      <w:highlight w:val="none"/>
                      <w:lang w:eastAsia="zh-CN"/>
                    </w:rPr>
                  </w:pPr>
                  <w:r>
                    <w:rPr>
                      <w:rFonts w:hint="eastAsia"/>
                      <w:sz w:val="21"/>
                      <w:szCs w:val="21"/>
                      <w:highlight w:val="none"/>
                      <w:lang w:val="en-US" w:eastAsia="zh-CN"/>
                    </w:rPr>
                    <w:t>5</w:t>
                  </w:r>
                </w:p>
              </w:tc>
              <w:tc>
                <w:tcPr>
                  <w:tcW w:w="624" w:type="pct"/>
                  <w:tcBorders>
                    <w:tl2br w:val="nil"/>
                    <w:tr2bl w:val="nil"/>
                  </w:tcBorders>
                  <w:noWrap w:val="0"/>
                  <w:vAlign w:val="center"/>
                </w:tcPr>
                <w:p w14:paraId="42B8D96D">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sz w:val="21"/>
                      <w:szCs w:val="21"/>
                      <w:highlight w:val="none"/>
                    </w:rPr>
                  </w:pPr>
                  <w:r>
                    <w:rPr>
                      <w:rFonts w:hint="eastAsia"/>
                      <w:sz w:val="21"/>
                      <w:szCs w:val="21"/>
                      <w:highlight w:val="none"/>
                    </w:rPr>
                    <w:t>水</w:t>
                  </w:r>
                </w:p>
              </w:tc>
              <w:tc>
                <w:tcPr>
                  <w:tcW w:w="777" w:type="pct"/>
                  <w:tcBorders>
                    <w:tl2br w:val="nil"/>
                    <w:tr2bl w:val="nil"/>
                  </w:tcBorders>
                  <w:noWrap w:val="0"/>
                  <w:vAlign w:val="center"/>
                </w:tcPr>
                <w:p w14:paraId="68A8552C">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eastAsia="宋体"/>
                      <w:sz w:val="21"/>
                      <w:szCs w:val="21"/>
                      <w:highlight w:val="none"/>
                      <w:lang w:val="en-US" w:eastAsia="zh-CN"/>
                    </w:rPr>
                  </w:pPr>
                  <w:r>
                    <w:rPr>
                      <w:rFonts w:hint="eastAsia"/>
                      <w:color w:val="1F497D" w:themeColor="text2"/>
                      <w:sz w:val="21"/>
                      <w:szCs w:val="21"/>
                      <w:highlight w:val="none"/>
                      <w:lang w:val="en-US" w:eastAsia="zh-CN"/>
                      <w14:textFill>
                        <w14:solidFill>
                          <w14:schemeClr w14:val="tx2"/>
                        </w14:solidFill>
                      </w14:textFill>
                    </w:rPr>
                    <w:t>560.606m</w:t>
                  </w:r>
                  <w:r>
                    <w:rPr>
                      <w:rFonts w:hint="eastAsia"/>
                      <w:color w:val="1F497D" w:themeColor="text2"/>
                      <w:sz w:val="21"/>
                      <w:szCs w:val="21"/>
                      <w:highlight w:val="none"/>
                      <w:vertAlign w:val="superscript"/>
                      <w:lang w:val="en-US" w:eastAsia="zh-CN"/>
                      <w14:textFill>
                        <w14:solidFill>
                          <w14:schemeClr w14:val="tx2"/>
                        </w14:solidFill>
                      </w14:textFill>
                    </w:rPr>
                    <w:t>3</w:t>
                  </w:r>
                </w:p>
              </w:tc>
              <w:tc>
                <w:tcPr>
                  <w:tcW w:w="440" w:type="pct"/>
                  <w:tcBorders>
                    <w:tl2br w:val="nil"/>
                    <w:tr2bl w:val="nil"/>
                  </w:tcBorders>
                  <w:noWrap w:val="0"/>
                  <w:vAlign w:val="center"/>
                </w:tcPr>
                <w:p w14:paraId="5F65326C">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sz w:val="21"/>
                      <w:szCs w:val="21"/>
                      <w:highlight w:val="none"/>
                    </w:rPr>
                  </w:pPr>
                  <w:r>
                    <w:rPr>
                      <w:rFonts w:hint="eastAsia"/>
                      <w:sz w:val="21"/>
                      <w:szCs w:val="21"/>
                      <w:highlight w:val="none"/>
                    </w:rPr>
                    <w:t>/</w:t>
                  </w:r>
                </w:p>
              </w:tc>
              <w:tc>
                <w:tcPr>
                  <w:tcW w:w="2784" w:type="pct"/>
                  <w:gridSpan w:val="2"/>
                  <w:tcBorders>
                    <w:tl2br w:val="nil"/>
                    <w:tr2bl w:val="nil"/>
                  </w:tcBorders>
                  <w:noWrap w:val="0"/>
                  <w:vAlign w:val="center"/>
                </w:tcPr>
                <w:p w14:paraId="4F585C3D">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sz w:val="21"/>
                      <w:szCs w:val="21"/>
                      <w:highlight w:val="none"/>
                      <w:lang w:val="en-US"/>
                    </w:rPr>
                  </w:pPr>
                  <w:r>
                    <w:rPr>
                      <w:rFonts w:hint="eastAsia"/>
                      <w:sz w:val="21"/>
                      <w:szCs w:val="21"/>
                      <w:highlight w:val="none"/>
                    </w:rPr>
                    <w:t>依托</w:t>
                  </w:r>
                  <w:r>
                    <w:rPr>
                      <w:rFonts w:hint="eastAsia"/>
                      <w:sz w:val="21"/>
                      <w:szCs w:val="21"/>
                      <w:highlight w:val="none"/>
                      <w:lang w:val="en-US" w:eastAsia="zh-CN"/>
                    </w:rPr>
                    <w:t>柴桑区市政供水管网</w:t>
                  </w:r>
                </w:p>
              </w:tc>
            </w:tr>
            <w:tr w14:paraId="0DF39F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72" w:type="pct"/>
                  <w:tcBorders>
                    <w:tl2br w:val="nil"/>
                    <w:tr2bl w:val="nil"/>
                  </w:tcBorders>
                  <w:noWrap w:val="0"/>
                  <w:vAlign w:val="center"/>
                </w:tcPr>
                <w:p w14:paraId="0F4EDB21">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eastAsia="宋体"/>
                      <w:sz w:val="21"/>
                      <w:szCs w:val="21"/>
                      <w:highlight w:val="none"/>
                      <w:lang w:eastAsia="zh-CN"/>
                    </w:rPr>
                  </w:pPr>
                  <w:r>
                    <w:rPr>
                      <w:rFonts w:hint="eastAsia"/>
                      <w:sz w:val="21"/>
                      <w:szCs w:val="21"/>
                      <w:highlight w:val="none"/>
                      <w:lang w:val="en-US" w:eastAsia="zh-CN"/>
                    </w:rPr>
                    <w:t>6</w:t>
                  </w:r>
                </w:p>
              </w:tc>
              <w:tc>
                <w:tcPr>
                  <w:tcW w:w="624" w:type="pct"/>
                  <w:tcBorders>
                    <w:tl2br w:val="nil"/>
                    <w:tr2bl w:val="nil"/>
                  </w:tcBorders>
                  <w:noWrap w:val="0"/>
                  <w:vAlign w:val="center"/>
                </w:tcPr>
                <w:p w14:paraId="564AB2D7">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sz w:val="21"/>
                      <w:szCs w:val="21"/>
                      <w:highlight w:val="none"/>
                    </w:rPr>
                  </w:pPr>
                  <w:r>
                    <w:rPr>
                      <w:rFonts w:hint="eastAsia"/>
                      <w:sz w:val="21"/>
                      <w:szCs w:val="21"/>
                      <w:highlight w:val="none"/>
                    </w:rPr>
                    <w:t>电</w:t>
                  </w:r>
                </w:p>
              </w:tc>
              <w:tc>
                <w:tcPr>
                  <w:tcW w:w="777" w:type="pct"/>
                  <w:tcBorders>
                    <w:tl2br w:val="nil"/>
                    <w:tr2bl w:val="nil"/>
                  </w:tcBorders>
                  <w:noWrap w:val="0"/>
                  <w:vAlign w:val="center"/>
                </w:tcPr>
                <w:p w14:paraId="2AE80D1C">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eastAsia="宋体"/>
                      <w:sz w:val="21"/>
                      <w:szCs w:val="21"/>
                      <w:highlight w:val="none"/>
                      <w:lang w:val="en-US" w:eastAsia="zh-CN"/>
                    </w:rPr>
                  </w:pPr>
                  <w:r>
                    <w:rPr>
                      <w:rFonts w:hint="eastAsia"/>
                      <w:sz w:val="21"/>
                      <w:szCs w:val="21"/>
                      <w:highlight w:val="none"/>
                      <w:lang w:val="en-US" w:eastAsia="zh-CN"/>
                    </w:rPr>
                    <w:t>300000kW</w:t>
                  </w:r>
                  <w:r>
                    <w:rPr>
                      <w:sz w:val="21"/>
                      <w:szCs w:val="21"/>
                      <w:highlight w:val="none"/>
                    </w:rPr>
                    <w:t>·</w:t>
                  </w:r>
                  <w:r>
                    <w:rPr>
                      <w:rFonts w:hint="eastAsia"/>
                      <w:sz w:val="21"/>
                      <w:szCs w:val="21"/>
                      <w:highlight w:val="none"/>
                    </w:rPr>
                    <w:t>h</w:t>
                  </w:r>
                </w:p>
              </w:tc>
              <w:tc>
                <w:tcPr>
                  <w:tcW w:w="440" w:type="pct"/>
                  <w:tcBorders>
                    <w:tl2br w:val="nil"/>
                    <w:tr2bl w:val="nil"/>
                  </w:tcBorders>
                  <w:noWrap w:val="0"/>
                  <w:vAlign w:val="center"/>
                </w:tcPr>
                <w:p w14:paraId="023BB59B">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sz w:val="21"/>
                      <w:szCs w:val="21"/>
                      <w:highlight w:val="none"/>
                    </w:rPr>
                  </w:pPr>
                  <w:r>
                    <w:rPr>
                      <w:rFonts w:hint="eastAsia"/>
                      <w:sz w:val="21"/>
                      <w:szCs w:val="21"/>
                      <w:highlight w:val="none"/>
                    </w:rPr>
                    <w:t>/</w:t>
                  </w:r>
                </w:p>
              </w:tc>
              <w:tc>
                <w:tcPr>
                  <w:tcW w:w="2784" w:type="pct"/>
                  <w:gridSpan w:val="2"/>
                  <w:tcBorders>
                    <w:tl2br w:val="nil"/>
                    <w:tr2bl w:val="nil"/>
                  </w:tcBorders>
                  <w:noWrap w:val="0"/>
                  <w:vAlign w:val="center"/>
                </w:tcPr>
                <w:p w14:paraId="771EAC48">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sz w:val="21"/>
                      <w:szCs w:val="21"/>
                      <w:highlight w:val="none"/>
                      <w:lang w:val="en-US"/>
                    </w:rPr>
                  </w:pPr>
                  <w:r>
                    <w:rPr>
                      <w:rFonts w:hint="eastAsia"/>
                      <w:sz w:val="21"/>
                      <w:szCs w:val="21"/>
                      <w:highlight w:val="none"/>
                      <w:lang w:val="en-US" w:eastAsia="zh-CN"/>
                    </w:rPr>
                    <w:t>依托柴桑区市政供电电网</w:t>
                  </w:r>
                </w:p>
              </w:tc>
            </w:tr>
          </w:tbl>
          <w:p w14:paraId="02189F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snapToGrid w:val="0"/>
                <w:kern w:val="2"/>
                <w:sz w:val="21"/>
                <w:szCs w:val="24"/>
                <w:highlight w:val="none"/>
                <w:lang w:val="en-US" w:eastAsia="zh-CN" w:bidi="ar-SA"/>
              </w:rPr>
            </w:pPr>
            <w:r>
              <w:rPr>
                <w:rFonts w:hint="eastAsia" w:ascii="Times New Roman" w:hAnsi="Times New Roman" w:eastAsia="宋体" w:cs="Times New Roman"/>
                <w:b/>
                <w:snapToGrid w:val="0"/>
                <w:kern w:val="2"/>
                <w:sz w:val="21"/>
                <w:szCs w:val="24"/>
                <w:highlight w:val="none"/>
                <w:lang w:val="en-US" w:eastAsia="zh-CN" w:bidi="ar-SA"/>
              </w:rPr>
              <w:t>表2</w:t>
            </w:r>
            <w:r>
              <w:rPr>
                <w:rFonts w:ascii="Times New Roman" w:hAnsi="Times New Roman" w:eastAsia="宋体" w:cs="Times New Roman"/>
                <w:b/>
                <w:snapToGrid w:val="0"/>
                <w:kern w:val="2"/>
                <w:sz w:val="21"/>
                <w:szCs w:val="24"/>
                <w:highlight w:val="none"/>
                <w:lang w:val="en-US" w:eastAsia="zh-CN" w:bidi="ar-SA"/>
              </w:rPr>
              <w:t>-</w:t>
            </w:r>
            <w:r>
              <w:rPr>
                <w:rFonts w:hint="eastAsia" w:cs="Times New Roman"/>
                <w:b/>
                <w:snapToGrid w:val="0"/>
                <w:kern w:val="2"/>
                <w:sz w:val="21"/>
                <w:szCs w:val="24"/>
                <w:highlight w:val="none"/>
                <w:lang w:val="en-US" w:eastAsia="zh-CN" w:bidi="ar-SA"/>
              </w:rPr>
              <w:t>4</w:t>
            </w:r>
            <w:r>
              <w:rPr>
                <w:rFonts w:ascii="Times New Roman" w:hAnsi="Times New Roman" w:eastAsia="宋体" w:cs="Times New Roman"/>
                <w:b/>
                <w:snapToGrid w:val="0"/>
                <w:kern w:val="2"/>
                <w:sz w:val="21"/>
                <w:szCs w:val="24"/>
                <w:highlight w:val="none"/>
                <w:lang w:val="en-US" w:eastAsia="zh-CN" w:bidi="ar-SA"/>
              </w:rPr>
              <w:t xml:space="preserve"> </w:t>
            </w:r>
            <w:r>
              <w:rPr>
                <w:rFonts w:hint="eastAsia" w:cs="Times New Roman"/>
                <w:b/>
                <w:snapToGrid w:val="0"/>
                <w:kern w:val="2"/>
                <w:sz w:val="21"/>
                <w:szCs w:val="24"/>
                <w:highlight w:val="none"/>
                <w:lang w:val="en-US" w:eastAsia="zh-CN" w:bidi="ar-SA"/>
              </w:rPr>
              <w:t xml:space="preserve">  </w:t>
            </w:r>
            <w:r>
              <w:rPr>
                <w:rFonts w:hint="eastAsia" w:ascii="Times New Roman" w:hAnsi="Times New Roman" w:eastAsia="宋体" w:cs="Times New Roman"/>
                <w:b/>
                <w:snapToGrid w:val="0"/>
                <w:kern w:val="2"/>
                <w:sz w:val="21"/>
                <w:szCs w:val="24"/>
                <w:highlight w:val="none"/>
                <w:lang w:val="en-US" w:eastAsia="zh-CN" w:bidi="ar-SA"/>
              </w:rPr>
              <w:t>汽油</w:t>
            </w:r>
            <w:r>
              <w:rPr>
                <w:rFonts w:ascii="Times New Roman" w:hAnsi="Times New Roman" w:eastAsia="宋体" w:cs="Times New Roman"/>
                <w:b/>
                <w:snapToGrid w:val="0"/>
                <w:kern w:val="2"/>
                <w:sz w:val="21"/>
                <w:szCs w:val="24"/>
                <w:highlight w:val="none"/>
                <w:lang w:val="en-US" w:eastAsia="zh-CN" w:bidi="ar-SA"/>
              </w:rPr>
              <w:t>理化性质</w:t>
            </w:r>
            <w:r>
              <w:rPr>
                <w:rFonts w:hint="default" w:ascii="Times New Roman" w:hAnsi="Times New Roman" w:eastAsia="宋体" w:cs="Times New Roman"/>
                <w:b/>
                <w:snapToGrid w:val="0"/>
                <w:kern w:val="2"/>
                <w:sz w:val="21"/>
                <w:szCs w:val="24"/>
                <w:highlight w:val="none"/>
                <w:lang w:val="en-US" w:eastAsia="zh-CN" w:bidi="ar-SA"/>
              </w:rPr>
              <w:t>一览表</w:t>
            </w:r>
          </w:p>
          <w:tbl>
            <w:tblPr>
              <w:tblStyle w:val="3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12" w:space="0"/>
              </w:tblBorders>
              <w:tblLayout w:type="fixed"/>
              <w:tblCellMar>
                <w:top w:w="0" w:type="dxa"/>
                <w:left w:w="108" w:type="dxa"/>
                <w:bottom w:w="0" w:type="dxa"/>
                <w:right w:w="108" w:type="dxa"/>
              </w:tblCellMar>
            </w:tblPr>
            <w:tblGrid>
              <w:gridCol w:w="1605"/>
              <w:gridCol w:w="2965"/>
              <w:gridCol w:w="2192"/>
              <w:gridCol w:w="2526"/>
            </w:tblGrid>
            <w:tr w14:paraId="74B92F80">
              <w:tblPrEx>
                <w:tblBorders>
                  <w:top w:val="single" w:color="auto" w:sz="12" w:space="0"/>
                  <w:left w:val="none" w:color="auto" w:sz="0" w:space="0"/>
                  <w:bottom w:val="single" w:color="auto" w:sz="12" w:space="0"/>
                  <w:right w:val="none" w:color="auto" w:sz="0" w:space="0"/>
                  <w:insideH w:val="single" w:color="auto" w:sz="4" w:space="0"/>
                  <w:insideV w:val="single" w:color="auto" w:sz="12" w:space="0"/>
                </w:tblBorders>
                <w:tblCellMar>
                  <w:top w:w="0" w:type="dxa"/>
                  <w:left w:w="108" w:type="dxa"/>
                  <w:bottom w:w="0" w:type="dxa"/>
                  <w:right w:w="108" w:type="dxa"/>
                </w:tblCellMar>
              </w:tblPrEx>
              <w:trPr>
                <w:jc w:val="center"/>
              </w:trPr>
              <w:tc>
                <w:tcPr>
                  <w:tcW w:w="9288" w:type="dxa"/>
                  <w:gridSpan w:val="4"/>
                  <w:tcBorders>
                    <w:bottom w:val="single" w:color="auto" w:sz="4" w:space="0"/>
                  </w:tcBorders>
                  <w:shd w:val="clear" w:color="auto" w:fill="auto"/>
                  <w:vAlign w:val="center"/>
                </w:tcPr>
                <w:p w14:paraId="1795CF28">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contextualSpacing/>
                    <w:jc w:val="center"/>
                    <w:textAlignment w:val="auto"/>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第一部分   危险性概述</w:t>
                  </w:r>
                </w:p>
              </w:tc>
            </w:tr>
            <w:tr w14:paraId="2E118049">
              <w:tblPrEx>
                <w:tblBorders>
                  <w:top w:val="single" w:color="auto" w:sz="12" w:space="0"/>
                  <w:left w:val="none" w:color="auto" w:sz="0" w:space="0"/>
                  <w:bottom w:val="single" w:color="auto" w:sz="12" w:space="0"/>
                  <w:right w:val="none" w:color="auto" w:sz="0" w:space="0"/>
                  <w:insideH w:val="single" w:color="auto" w:sz="4" w:space="0"/>
                  <w:insideV w:val="single" w:color="auto" w:sz="12" w:space="0"/>
                </w:tblBorders>
                <w:tblCellMar>
                  <w:top w:w="0" w:type="dxa"/>
                  <w:left w:w="108" w:type="dxa"/>
                  <w:bottom w:w="0" w:type="dxa"/>
                  <w:right w:w="108" w:type="dxa"/>
                </w:tblCellMar>
              </w:tblPrEx>
              <w:trPr>
                <w:jc w:val="center"/>
              </w:trPr>
              <w:tc>
                <w:tcPr>
                  <w:tcW w:w="1605" w:type="dxa"/>
                  <w:tcBorders>
                    <w:top w:val="single" w:color="auto" w:sz="4" w:space="0"/>
                    <w:bottom w:val="single" w:color="auto" w:sz="4" w:space="0"/>
                    <w:right w:val="single" w:color="auto" w:sz="4" w:space="0"/>
                  </w:tcBorders>
                  <w:shd w:val="clear" w:color="auto" w:fill="auto"/>
                  <w:vAlign w:val="center"/>
                </w:tcPr>
                <w:p w14:paraId="7550C406">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危险性类别</w:t>
                  </w:r>
                </w:p>
              </w:tc>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14:paraId="4D5299B0">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第3.1类低闪点易燃液体</w:t>
                  </w:r>
                </w:p>
              </w:tc>
              <w:tc>
                <w:tcPr>
                  <w:tcW w:w="2192" w:type="dxa"/>
                  <w:tcBorders>
                    <w:top w:val="single" w:color="auto" w:sz="4" w:space="0"/>
                    <w:left w:val="single" w:color="auto" w:sz="4" w:space="0"/>
                    <w:bottom w:val="single" w:color="auto" w:sz="4" w:space="0"/>
                    <w:right w:val="single" w:color="auto" w:sz="4" w:space="0"/>
                  </w:tcBorders>
                  <w:shd w:val="clear" w:color="auto" w:fill="auto"/>
                  <w:vAlign w:val="center"/>
                </w:tcPr>
                <w:p w14:paraId="2237E6A9">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燃爆危险：</w:t>
                  </w:r>
                </w:p>
              </w:tc>
              <w:tc>
                <w:tcPr>
                  <w:tcW w:w="1911" w:type="dxa"/>
                  <w:tcBorders>
                    <w:top w:val="single" w:color="auto" w:sz="4" w:space="0"/>
                    <w:left w:val="single" w:color="auto" w:sz="4" w:space="0"/>
                    <w:bottom w:val="single" w:color="auto" w:sz="4" w:space="0"/>
                  </w:tcBorders>
                  <w:shd w:val="clear" w:color="auto" w:fill="auto"/>
                  <w:vAlign w:val="center"/>
                </w:tcPr>
                <w:p w14:paraId="47600F4F">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易燃</w:t>
                  </w:r>
                </w:p>
              </w:tc>
            </w:tr>
            <w:tr w14:paraId="2F614AE7">
              <w:tblPrEx>
                <w:tblBorders>
                  <w:top w:val="single" w:color="auto" w:sz="12" w:space="0"/>
                  <w:left w:val="none" w:color="auto" w:sz="0" w:space="0"/>
                  <w:bottom w:val="single" w:color="auto" w:sz="12" w:space="0"/>
                  <w:right w:val="none" w:color="auto" w:sz="0" w:space="0"/>
                  <w:insideH w:val="single" w:color="auto" w:sz="4" w:space="0"/>
                  <w:insideV w:val="single" w:color="auto" w:sz="12" w:space="0"/>
                </w:tblBorders>
                <w:tblCellMar>
                  <w:top w:w="0" w:type="dxa"/>
                  <w:left w:w="108" w:type="dxa"/>
                  <w:bottom w:w="0" w:type="dxa"/>
                  <w:right w:w="108" w:type="dxa"/>
                </w:tblCellMar>
              </w:tblPrEx>
              <w:trPr>
                <w:jc w:val="center"/>
              </w:trPr>
              <w:tc>
                <w:tcPr>
                  <w:tcW w:w="1605" w:type="dxa"/>
                  <w:tcBorders>
                    <w:top w:val="single" w:color="auto" w:sz="4" w:space="0"/>
                    <w:bottom w:val="single" w:color="auto" w:sz="4" w:space="0"/>
                    <w:right w:val="single" w:color="auto" w:sz="4" w:space="0"/>
                  </w:tcBorders>
                  <w:shd w:val="clear" w:color="auto" w:fill="auto"/>
                  <w:vAlign w:val="center"/>
                </w:tcPr>
                <w:p w14:paraId="38752CC9">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侵入途径</w:t>
                  </w:r>
                </w:p>
              </w:tc>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14:paraId="073EF0C1">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吸入、食入、经皮吸收</w:t>
                  </w:r>
                </w:p>
              </w:tc>
              <w:tc>
                <w:tcPr>
                  <w:tcW w:w="2192" w:type="dxa"/>
                  <w:tcBorders>
                    <w:top w:val="single" w:color="auto" w:sz="4" w:space="0"/>
                    <w:left w:val="single" w:color="auto" w:sz="4" w:space="0"/>
                    <w:bottom w:val="single" w:color="auto" w:sz="4" w:space="0"/>
                    <w:right w:val="single" w:color="auto" w:sz="4" w:space="0"/>
                  </w:tcBorders>
                  <w:shd w:val="clear" w:color="auto" w:fill="auto"/>
                  <w:vAlign w:val="center"/>
                </w:tcPr>
                <w:p w14:paraId="252AC555">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有害燃烧产物：</w:t>
                  </w:r>
                </w:p>
              </w:tc>
              <w:tc>
                <w:tcPr>
                  <w:tcW w:w="1911" w:type="dxa"/>
                  <w:tcBorders>
                    <w:top w:val="single" w:color="auto" w:sz="4" w:space="0"/>
                    <w:left w:val="single" w:color="auto" w:sz="4" w:space="0"/>
                    <w:bottom w:val="single" w:color="auto" w:sz="4" w:space="0"/>
                  </w:tcBorders>
                  <w:shd w:val="clear" w:color="auto" w:fill="auto"/>
                  <w:vAlign w:val="center"/>
                </w:tcPr>
                <w:p w14:paraId="52AB066B">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一氧化碳、二氧化碳</w:t>
                  </w:r>
                </w:p>
              </w:tc>
            </w:tr>
            <w:tr w14:paraId="7BBA8937">
              <w:tblPrEx>
                <w:tblBorders>
                  <w:top w:val="single" w:color="auto" w:sz="12" w:space="0"/>
                  <w:left w:val="none" w:color="auto" w:sz="0" w:space="0"/>
                  <w:bottom w:val="single" w:color="auto" w:sz="12" w:space="0"/>
                  <w:right w:val="none" w:color="auto" w:sz="0" w:space="0"/>
                  <w:insideH w:val="single" w:color="auto" w:sz="4" w:space="0"/>
                  <w:insideV w:val="single" w:color="auto" w:sz="12" w:space="0"/>
                </w:tblBorders>
                <w:tblCellMar>
                  <w:top w:w="0" w:type="dxa"/>
                  <w:left w:w="108" w:type="dxa"/>
                  <w:bottom w:w="0" w:type="dxa"/>
                  <w:right w:w="108" w:type="dxa"/>
                </w:tblCellMar>
              </w:tblPrEx>
              <w:trPr>
                <w:jc w:val="center"/>
              </w:trPr>
              <w:tc>
                <w:tcPr>
                  <w:tcW w:w="1605" w:type="dxa"/>
                  <w:tcBorders>
                    <w:top w:val="single" w:color="auto" w:sz="4" w:space="0"/>
                    <w:bottom w:val="single" w:color="auto" w:sz="4" w:space="0"/>
                    <w:right w:val="single" w:color="auto" w:sz="4" w:space="0"/>
                  </w:tcBorders>
                  <w:shd w:val="clear" w:color="auto" w:fill="auto"/>
                  <w:vAlign w:val="center"/>
                </w:tcPr>
                <w:p w14:paraId="7B4F164B">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健康危害</w:t>
                  </w:r>
                </w:p>
              </w:tc>
              <w:tc>
                <w:tcPr>
                  <w:tcW w:w="7571" w:type="dxa"/>
                  <w:gridSpan w:val="3"/>
                  <w:tcBorders>
                    <w:top w:val="single" w:color="auto" w:sz="4" w:space="0"/>
                    <w:left w:val="single" w:color="auto" w:sz="4" w:space="0"/>
                  </w:tcBorders>
                  <w:shd w:val="clear" w:color="auto" w:fill="auto"/>
                  <w:vAlign w:val="center"/>
                </w:tcPr>
                <w:p w14:paraId="0017467D">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主要作用于中枢神经系统，急性中毒症状有头晕、头痛、恶心、呕吐、步态不稳、共济失调。高浓度吸入出现中毒性脑病。极高浓度吸入引起意识突然丧失，反射性呼吸停止及化学性肺炎。可致角膜溃疡、穿孔</w:t>
                  </w:r>
                  <w:r>
                    <w:rPr>
                      <w:rFonts w:hint="eastAsia" w:cs="Times New Roman"/>
                      <w:color w:val="000000" w:themeColor="text1"/>
                      <w:kern w:val="0"/>
                      <w:sz w:val="21"/>
                      <w:szCs w:val="21"/>
                      <w:highlight w:val="none"/>
                      <w:lang w:eastAsia="zh-CN"/>
                      <w14:textFill>
                        <w14:solidFill>
                          <w14:schemeClr w14:val="tx1"/>
                        </w14:solidFill>
                      </w14:textFill>
                    </w:rPr>
                    <w:t>，甚至</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失明。皮肤接触致急性接触性皮炎或过敏性皮炎。急性经口中毒引起急性胃肠炎，重者出现类似急性吸入中毒症状。慢性中毒：神经衰弱综合症，周围神经病，皮肤损害。</w:t>
                  </w:r>
                </w:p>
              </w:tc>
            </w:tr>
            <w:tr w14:paraId="20A7AF08">
              <w:tblPrEx>
                <w:tblBorders>
                  <w:top w:val="single" w:color="auto" w:sz="12" w:space="0"/>
                  <w:left w:val="none" w:color="auto" w:sz="0" w:space="0"/>
                  <w:bottom w:val="single" w:color="auto" w:sz="12" w:space="0"/>
                  <w:right w:val="none" w:color="auto" w:sz="0" w:space="0"/>
                  <w:insideH w:val="single" w:color="auto" w:sz="4" w:space="0"/>
                  <w:insideV w:val="single" w:color="auto" w:sz="12" w:space="0"/>
                </w:tblBorders>
                <w:tblCellMar>
                  <w:top w:w="0" w:type="dxa"/>
                  <w:left w:w="108" w:type="dxa"/>
                  <w:bottom w:w="0" w:type="dxa"/>
                  <w:right w:w="108" w:type="dxa"/>
                </w:tblCellMar>
              </w:tblPrEx>
              <w:trPr>
                <w:jc w:val="center"/>
              </w:trPr>
              <w:tc>
                <w:tcPr>
                  <w:tcW w:w="1605" w:type="dxa"/>
                  <w:tcBorders>
                    <w:top w:val="single" w:color="auto" w:sz="4" w:space="0"/>
                    <w:bottom w:val="single" w:color="auto" w:sz="4" w:space="0"/>
                    <w:right w:val="single" w:color="auto" w:sz="4" w:space="0"/>
                  </w:tcBorders>
                  <w:shd w:val="clear" w:color="auto" w:fill="auto"/>
                  <w:vAlign w:val="center"/>
                </w:tcPr>
                <w:p w14:paraId="6BCE56CC">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环境危害</w:t>
                  </w:r>
                </w:p>
              </w:tc>
              <w:tc>
                <w:tcPr>
                  <w:tcW w:w="7571" w:type="dxa"/>
                  <w:gridSpan w:val="3"/>
                  <w:tcBorders>
                    <w:left w:val="single" w:color="auto" w:sz="4" w:space="0"/>
                  </w:tcBorders>
                  <w:shd w:val="clear" w:color="auto" w:fill="auto"/>
                  <w:vAlign w:val="center"/>
                </w:tcPr>
                <w:p w14:paraId="0060CB9B">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该物质对环境有危害，应特别注意对地表水、土壤、大气和饮用水的污染。</w:t>
                  </w:r>
                </w:p>
              </w:tc>
            </w:tr>
            <w:tr w14:paraId="6D9F6263">
              <w:tblPrEx>
                <w:tblBorders>
                  <w:top w:val="single" w:color="auto" w:sz="12" w:space="0"/>
                  <w:left w:val="none" w:color="auto" w:sz="0" w:space="0"/>
                  <w:bottom w:val="single" w:color="auto" w:sz="12" w:space="0"/>
                  <w:right w:val="none" w:color="auto" w:sz="0" w:space="0"/>
                  <w:insideH w:val="single" w:color="auto" w:sz="4" w:space="0"/>
                  <w:insideV w:val="single" w:color="auto" w:sz="12" w:space="0"/>
                </w:tblBorders>
                <w:tblCellMar>
                  <w:top w:w="0" w:type="dxa"/>
                  <w:left w:w="108" w:type="dxa"/>
                  <w:bottom w:w="0" w:type="dxa"/>
                  <w:right w:w="108" w:type="dxa"/>
                </w:tblCellMar>
              </w:tblPrEx>
              <w:trPr>
                <w:jc w:val="center"/>
              </w:trPr>
              <w:tc>
                <w:tcPr>
                  <w:tcW w:w="9288" w:type="dxa"/>
                  <w:gridSpan w:val="4"/>
                  <w:tcBorders>
                    <w:bottom w:val="single" w:color="auto" w:sz="4" w:space="0"/>
                  </w:tcBorders>
                  <w:shd w:val="clear" w:color="auto" w:fill="auto"/>
                  <w:vAlign w:val="center"/>
                </w:tcPr>
                <w:p w14:paraId="3D495B4A">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第二部分   理化特性</w:t>
                  </w:r>
                </w:p>
              </w:tc>
            </w:tr>
            <w:tr w14:paraId="01FA4CB4">
              <w:tblPrEx>
                <w:tblBorders>
                  <w:top w:val="single" w:color="auto" w:sz="12" w:space="0"/>
                  <w:left w:val="none" w:color="auto" w:sz="0" w:space="0"/>
                  <w:bottom w:val="single" w:color="auto" w:sz="12" w:space="0"/>
                  <w:right w:val="none" w:color="auto" w:sz="0" w:space="0"/>
                  <w:insideH w:val="single" w:color="auto" w:sz="4" w:space="0"/>
                  <w:insideV w:val="single" w:color="auto" w:sz="12" w:space="0"/>
                </w:tblBorders>
                <w:tblCellMar>
                  <w:top w:w="0" w:type="dxa"/>
                  <w:left w:w="108" w:type="dxa"/>
                  <w:bottom w:w="0" w:type="dxa"/>
                  <w:right w:w="108" w:type="dxa"/>
                </w:tblCellMar>
              </w:tblPrEx>
              <w:trPr>
                <w:jc w:val="center"/>
              </w:trPr>
              <w:tc>
                <w:tcPr>
                  <w:tcW w:w="1605" w:type="dxa"/>
                  <w:tcBorders>
                    <w:top w:val="single" w:color="auto" w:sz="4" w:space="0"/>
                    <w:bottom w:val="single" w:color="auto" w:sz="4" w:space="0"/>
                    <w:right w:val="single" w:color="auto" w:sz="4" w:space="0"/>
                  </w:tcBorders>
                  <w:shd w:val="clear" w:color="auto" w:fill="auto"/>
                  <w:vAlign w:val="center"/>
                </w:tcPr>
                <w:p w14:paraId="1E2DAEAD">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外观及性状</w:t>
                  </w:r>
                </w:p>
              </w:tc>
              <w:tc>
                <w:tcPr>
                  <w:tcW w:w="7571" w:type="dxa"/>
                  <w:gridSpan w:val="3"/>
                  <w:tcBorders>
                    <w:top w:val="single" w:color="auto" w:sz="4" w:space="0"/>
                    <w:left w:val="single" w:color="auto" w:sz="4" w:space="0"/>
                    <w:bottom w:val="single" w:color="auto" w:sz="4" w:space="0"/>
                  </w:tcBorders>
                  <w:shd w:val="clear" w:color="auto" w:fill="auto"/>
                  <w:vAlign w:val="center"/>
                </w:tcPr>
                <w:p w14:paraId="27302723">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无色或淡黄色易挥发液体，具有特殊臭味。</w:t>
                  </w:r>
                </w:p>
              </w:tc>
            </w:tr>
            <w:tr w14:paraId="24830641">
              <w:tblPrEx>
                <w:tblBorders>
                  <w:top w:val="single" w:color="auto" w:sz="12" w:space="0"/>
                  <w:left w:val="none" w:color="auto" w:sz="0" w:space="0"/>
                  <w:bottom w:val="single" w:color="auto" w:sz="12" w:space="0"/>
                  <w:right w:val="none" w:color="auto" w:sz="0" w:space="0"/>
                  <w:insideH w:val="single" w:color="auto" w:sz="4" w:space="0"/>
                  <w:insideV w:val="single" w:color="auto" w:sz="12" w:space="0"/>
                </w:tblBorders>
                <w:tblCellMar>
                  <w:top w:w="0" w:type="dxa"/>
                  <w:left w:w="108" w:type="dxa"/>
                  <w:bottom w:w="0" w:type="dxa"/>
                  <w:right w:w="108" w:type="dxa"/>
                </w:tblCellMar>
              </w:tblPrEx>
              <w:trPr>
                <w:jc w:val="center"/>
              </w:trPr>
              <w:tc>
                <w:tcPr>
                  <w:tcW w:w="1605" w:type="dxa"/>
                  <w:tcBorders>
                    <w:top w:val="single" w:color="auto" w:sz="4" w:space="0"/>
                    <w:bottom w:val="single" w:color="auto" w:sz="4" w:space="0"/>
                    <w:right w:val="single" w:color="auto" w:sz="4" w:space="0"/>
                  </w:tcBorders>
                  <w:shd w:val="clear" w:color="auto" w:fill="auto"/>
                  <w:vAlign w:val="center"/>
                </w:tcPr>
                <w:p w14:paraId="256FF723">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熔点（℃）：</w:t>
                  </w:r>
                </w:p>
              </w:tc>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14:paraId="3D5D6A8F">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&lt;-60</w:t>
                  </w:r>
                </w:p>
              </w:tc>
              <w:tc>
                <w:tcPr>
                  <w:tcW w:w="2192" w:type="dxa"/>
                  <w:tcBorders>
                    <w:top w:val="single" w:color="auto" w:sz="4" w:space="0"/>
                    <w:left w:val="single" w:color="auto" w:sz="4" w:space="0"/>
                    <w:bottom w:val="single" w:color="auto" w:sz="4" w:space="0"/>
                    <w:right w:val="single" w:color="auto" w:sz="4" w:space="0"/>
                  </w:tcBorders>
                  <w:shd w:val="clear" w:color="auto" w:fill="auto"/>
                  <w:vAlign w:val="center"/>
                </w:tcPr>
                <w:p w14:paraId="7A2089CE">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相对密度（水＝1）</w:t>
                  </w:r>
                </w:p>
              </w:tc>
              <w:tc>
                <w:tcPr>
                  <w:tcW w:w="1911" w:type="dxa"/>
                  <w:tcBorders>
                    <w:top w:val="single" w:color="auto" w:sz="4" w:space="0"/>
                    <w:left w:val="single" w:color="auto" w:sz="4" w:space="0"/>
                    <w:bottom w:val="single" w:color="auto" w:sz="4" w:space="0"/>
                  </w:tcBorders>
                  <w:shd w:val="clear" w:color="auto" w:fill="auto"/>
                  <w:vAlign w:val="center"/>
                </w:tcPr>
                <w:p w14:paraId="119FAC83">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0.7</w:t>
                  </w:r>
                  <w:r>
                    <w:rPr>
                      <w:rFonts w:hint="eastAsia" w:ascii="Times New Roman" w:hAnsi="Times New Roman" w:cs="Times New Roman"/>
                      <w:color w:val="000000" w:themeColor="text1"/>
                      <w:kern w:val="0"/>
                      <w:sz w:val="21"/>
                      <w:szCs w:val="21"/>
                      <w:highlight w:val="none"/>
                      <w:lang w:val="en-US" w:eastAsia="zh-CN"/>
                      <w14:textFill>
                        <w14:solidFill>
                          <w14:schemeClr w14:val="tx1"/>
                        </w14:solidFill>
                      </w14:textFill>
                    </w:rPr>
                    <w:t>2~0.78</w:t>
                  </w:r>
                </w:p>
              </w:tc>
            </w:tr>
            <w:tr w14:paraId="34BE13DF">
              <w:tblPrEx>
                <w:tblBorders>
                  <w:top w:val="single" w:color="auto" w:sz="12" w:space="0"/>
                  <w:left w:val="none" w:color="auto" w:sz="0" w:space="0"/>
                  <w:bottom w:val="single" w:color="auto" w:sz="12" w:space="0"/>
                  <w:right w:val="none" w:color="auto" w:sz="0" w:space="0"/>
                  <w:insideH w:val="single" w:color="auto" w:sz="4" w:space="0"/>
                  <w:insideV w:val="single" w:color="auto" w:sz="12" w:space="0"/>
                </w:tblBorders>
                <w:tblCellMar>
                  <w:top w:w="0" w:type="dxa"/>
                  <w:left w:w="108" w:type="dxa"/>
                  <w:bottom w:w="0" w:type="dxa"/>
                  <w:right w:w="108" w:type="dxa"/>
                </w:tblCellMar>
              </w:tblPrEx>
              <w:trPr>
                <w:jc w:val="center"/>
              </w:trPr>
              <w:tc>
                <w:tcPr>
                  <w:tcW w:w="1605" w:type="dxa"/>
                  <w:tcBorders>
                    <w:top w:val="single" w:color="auto" w:sz="4" w:space="0"/>
                    <w:bottom w:val="single" w:color="auto" w:sz="4" w:space="0"/>
                    <w:right w:val="single" w:color="auto" w:sz="4" w:space="0"/>
                  </w:tcBorders>
                  <w:shd w:val="clear" w:color="auto" w:fill="auto"/>
                  <w:vAlign w:val="center"/>
                </w:tcPr>
                <w:p w14:paraId="4B37B26C">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闪点（℃）：</w:t>
                  </w:r>
                </w:p>
              </w:tc>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14:paraId="57066938">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-50~-20</w:t>
                  </w:r>
                </w:p>
              </w:tc>
              <w:tc>
                <w:tcPr>
                  <w:tcW w:w="2192" w:type="dxa"/>
                  <w:tcBorders>
                    <w:top w:val="single" w:color="auto" w:sz="4" w:space="0"/>
                    <w:left w:val="single" w:color="auto" w:sz="4" w:space="0"/>
                    <w:bottom w:val="single" w:color="auto" w:sz="4" w:space="0"/>
                    <w:right w:val="single" w:color="auto" w:sz="4" w:space="0"/>
                  </w:tcBorders>
                  <w:shd w:val="clear" w:color="auto" w:fill="auto"/>
                  <w:vAlign w:val="center"/>
                </w:tcPr>
                <w:p w14:paraId="609ABB11">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相对密度（空气=1）</w:t>
                  </w:r>
                </w:p>
              </w:tc>
              <w:tc>
                <w:tcPr>
                  <w:tcW w:w="1911" w:type="dxa"/>
                  <w:tcBorders>
                    <w:top w:val="single" w:color="auto" w:sz="4" w:space="0"/>
                    <w:left w:val="single" w:color="auto" w:sz="4" w:space="0"/>
                    <w:bottom w:val="single" w:color="auto" w:sz="4" w:space="0"/>
                  </w:tcBorders>
                  <w:shd w:val="clear" w:color="auto" w:fill="auto"/>
                  <w:vAlign w:val="center"/>
                </w:tcPr>
                <w:p w14:paraId="1C15AE6D">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3.5</w:t>
                  </w:r>
                </w:p>
              </w:tc>
            </w:tr>
            <w:tr w14:paraId="363CA206">
              <w:tblPrEx>
                <w:tblBorders>
                  <w:top w:val="single" w:color="auto" w:sz="12" w:space="0"/>
                  <w:left w:val="none" w:color="auto" w:sz="0" w:space="0"/>
                  <w:bottom w:val="single" w:color="auto" w:sz="12" w:space="0"/>
                  <w:right w:val="none" w:color="auto" w:sz="0" w:space="0"/>
                  <w:insideH w:val="single" w:color="auto" w:sz="4" w:space="0"/>
                  <w:insideV w:val="single" w:color="auto" w:sz="12" w:space="0"/>
                </w:tblBorders>
                <w:tblCellMar>
                  <w:top w:w="0" w:type="dxa"/>
                  <w:left w:w="108" w:type="dxa"/>
                  <w:bottom w:w="0" w:type="dxa"/>
                  <w:right w:w="108" w:type="dxa"/>
                </w:tblCellMar>
              </w:tblPrEx>
              <w:trPr>
                <w:jc w:val="center"/>
              </w:trPr>
              <w:tc>
                <w:tcPr>
                  <w:tcW w:w="1605" w:type="dxa"/>
                  <w:tcBorders>
                    <w:top w:val="single" w:color="auto" w:sz="4" w:space="0"/>
                    <w:bottom w:val="single" w:color="auto" w:sz="4" w:space="0"/>
                    <w:right w:val="single" w:color="auto" w:sz="4" w:space="0"/>
                  </w:tcBorders>
                  <w:shd w:val="clear" w:color="auto" w:fill="auto"/>
                  <w:vAlign w:val="center"/>
                </w:tcPr>
                <w:p w14:paraId="5E430268">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引燃温度（℃）：</w:t>
                  </w:r>
                </w:p>
              </w:tc>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14:paraId="0047825E">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415~530</w:t>
                  </w:r>
                </w:p>
              </w:tc>
              <w:tc>
                <w:tcPr>
                  <w:tcW w:w="2192" w:type="dxa"/>
                  <w:tcBorders>
                    <w:top w:val="single" w:color="auto" w:sz="4" w:space="0"/>
                    <w:left w:val="single" w:color="auto" w:sz="4" w:space="0"/>
                    <w:bottom w:val="single" w:color="auto" w:sz="4" w:space="0"/>
                    <w:right w:val="single" w:color="auto" w:sz="4" w:space="0"/>
                  </w:tcBorders>
                  <w:shd w:val="clear" w:color="auto" w:fill="auto"/>
                  <w:vAlign w:val="center"/>
                </w:tcPr>
                <w:p w14:paraId="09FD61B3">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爆炸上限%（V/V）：</w:t>
                  </w:r>
                </w:p>
              </w:tc>
              <w:tc>
                <w:tcPr>
                  <w:tcW w:w="1911" w:type="dxa"/>
                  <w:tcBorders>
                    <w:top w:val="single" w:color="auto" w:sz="4" w:space="0"/>
                    <w:left w:val="single" w:color="auto" w:sz="4" w:space="0"/>
                    <w:bottom w:val="single" w:color="auto" w:sz="4" w:space="0"/>
                  </w:tcBorders>
                  <w:shd w:val="clear" w:color="auto" w:fill="auto"/>
                  <w:vAlign w:val="center"/>
                </w:tcPr>
                <w:p w14:paraId="2E8EA946">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6</w:t>
                  </w:r>
                </w:p>
              </w:tc>
            </w:tr>
            <w:tr w14:paraId="1F42397C">
              <w:tblPrEx>
                <w:tblBorders>
                  <w:top w:val="single" w:color="auto" w:sz="12" w:space="0"/>
                  <w:left w:val="none" w:color="auto" w:sz="0" w:space="0"/>
                  <w:bottom w:val="single" w:color="auto" w:sz="12" w:space="0"/>
                  <w:right w:val="none" w:color="auto" w:sz="0" w:space="0"/>
                  <w:insideH w:val="single" w:color="auto" w:sz="4" w:space="0"/>
                  <w:insideV w:val="single" w:color="auto" w:sz="12" w:space="0"/>
                </w:tblBorders>
                <w:tblCellMar>
                  <w:top w:w="0" w:type="dxa"/>
                  <w:left w:w="108" w:type="dxa"/>
                  <w:bottom w:w="0" w:type="dxa"/>
                  <w:right w:w="108" w:type="dxa"/>
                </w:tblCellMar>
              </w:tblPrEx>
              <w:trPr>
                <w:jc w:val="center"/>
              </w:trPr>
              <w:tc>
                <w:tcPr>
                  <w:tcW w:w="1605" w:type="dxa"/>
                  <w:tcBorders>
                    <w:top w:val="single" w:color="auto" w:sz="4" w:space="0"/>
                    <w:bottom w:val="single" w:color="auto" w:sz="4" w:space="0"/>
                    <w:right w:val="single" w:color="auto" w:sz="4" w:space="0"/>
                  </w:tcBorders>
                  <w:shd w:val="clear" w:color="auto" w:fill="auto"/>
                  <w:vAlign w:val="center"/>
                </w:tcPr>
                <w:p w14:paraId="45844CD7">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沸点（℃）：</w:t>
                  </w:r>
                </w:p>
              </w:tc>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14:paraId="750DD2F1">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40~200</w:t>
                  </w:r>
                </w:p>
              </w:tc>
              <w:tc>
                <w:tcPr>
                  <w:tcW w:w="2192" w:type="dxa"/>
                  <w:tcBorders>
                    <w:top w:val="single" w:color="auto" w:sz="4" w:space="0"/>
                    <w:left w:val="single" w:color="auto" w:sz="4" w:space="0"/>
                    <w:bottom w:val="single" w:color="auto" w:sz="4" w:space="0"/>
                    <w:right w:val="single" w:color="auto" w:sz="4" w:space="0"/>
                  </w:tcBorders>
                  <w:shd w:val="clear" w:color="auto" w:fill="auto"/>
                  <w:vAlign w:val="center"/>
                </w:tcPr>
                <w:p w14:paraId="0A66AE8D">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爆炸下限%（V/V）：</w:t>
                  </w:r>
                </w:p>
              </w:tc>
              <w:tc>
                <w:tcPr>
                  <w:tcW w:w="1911" w:type="dxa"/>
                  <w:tcBorders>
                    <w:top w:val="single" w:color="auto" w:sz="4" w:space="0"/>
                    <w:left w:val="single" w:color="auto" w:sz="4" w:space="0"/>
                    <w:bottom w:val="single" w:color="auto" w:sz="4" w:space="0"/>
                  </w:tcBorders>
                  <w:shd w:val="clear" w:color="auto" w:fill="auto"/>
                  <w:vAlign w:val="center"/>
                </w:tcPr>
                <w:p w14:paraId="30F54667">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1.3</w:t>
                  </w:r>
                </w:p>
              </w:tc>
            </w:tr>
            <w:tr w14:paraId="2F49D7FB">
              <w:tblPrEx>
                <w:tblBorders>
                  <w:top w:val="single" w:color="auto" w:sz="12" w:space="0"/>
                  <w:left w:val="none" w:color="auto" w:sz="0" w:space="0"/>
                  <w:bottom w:val="single" w:color="auto" w:sz="12" w:space="0"/>
                  <w:right w:val="none" w:color="auto" w:sz="0" w:space="0"/>
                  <w:insideH w:val="single" w:color="auto" w:sz="4" w:space="0"/>
                  <w:insideV w:val="single" w:color="auto" w:sz="12" w:space="0"/>
                </w:tblBorders>
                <w:tblCellMar>
                  <w:top w:w="0" w:type="dxa"/>
                  <w:left w:w="108" w:type="dxa"/>
                  <w:bottom w:w="0" w:type="dxa"/>
                  <w:right w:w="108" w:type="dxa"/>
                </w:tblCellMar>
              </w:tblPrEx>
              <w:trPr>
                <w:jc w:val="center"/>
              </w:trPr>
              <w:tc>
                <w:tcPr>
                  <w:tcW w:w="1605" w:type="dxa"/>
                  <w:tcBorders>
                    <w:top w:val="single" w:color="auto" w:sz="4" w:space="0"/>
                    <w:bottom w:val="single" w:color="auto" w:sz="4" w:space="0"/>
                    <w:right w:val="single" w:color="auto" w:sz="4" w:space="0"/>
                  </w:tcBorders>
                  <w:shd w:val="clear" w:color="auto" w:fill="auto"/>
                  <w:vAlign w:val="center"/>
                </w:tcPr>
                <w:p w14:paraId="33360A40">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溶解性：</w:t>
                  </w:r>
                </w:p>
              </w:tc>
              <w:tc>
                <w:tcPr>
                  <w:tcW w:w="7571" w:type="dxa"/>
                  <w:gridSpan w:val="3"/>
                  <w:tcBorders>
                    <w:top w:val="single" w:color="auto" w:sz="4" w:space="0"/>
                    <w:left w:val="single" w:color="auto" w:sz="4" w:space="0"/>
                    <w:bottom w:val="single" w:color="auto" w:sz="4" w:space="0"/>
                  </w:tcBorders>
                  <w:shd w:val="clear" w:color="auto" w:fill="auto"/>
                  <w:vAlign w:val="center"/>
                </w:tcPr>
                <w:p w14:paraId="074CBCC9">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不溶于水、易溶于苯、二硫化碳、醇、易溶于脂肪。</w:t>
                  </w:r>
                </w:p>
              </w:tc>
            </w:tr>
            <w:tr w14:paraId="5F2C6183">
              <w:tblPrEx>
                <w:tblBorders>
                  <w:top w:val="single" w:color="auto" w:sz="12" w:space="0"/>
                  <w:left w:val="none" w:color="auto" w:sz="0" w:space="0"/>
                  <w:bottom w:val="single" w:color="auto" w:sz="12" w:space="0"/>
                  <w:right w:val="none" w:color="auto" w:sz="0" w:space="0"/>
                  <w:insideH w:val="single" w:color="auto" w:sz="4" w:space="0"/>
                  <w:insideV w:val="single" w:color="auto" w:sz="12" w:space="0"/>
                </w:tblBorders>
                <w:tblCellMar>
                  <w:top w:w="0" w:type="dxa"/>
                  <w:left w:w="108" w:type="dxa"/>
                  <w:bottom w:w="0" w:type="dxa"/>
                  <w:right w:w="108" w:type="dxa"/>
                </w:tblCellMar>
              </w:tblPrEx>
              <w:trPr>
                <w:jc w:val="center"/>
              </w:trPr>
              <w:tc>
                <w:tcPr>
                  <w:tcW w:w="1605" w:type="dxa"/>
                  <w:tcBorders>
                    <w:top w:val="single" w:color="auto" w:sz="4" w:space="0"/>
                    <w:bottom w:val="single" w:color="auto" w:sz="4" w:space="0"/>
                    <w:right w:val="single" w:color="auto" w:sz="4" w:space="0"/>
                  </w:tcBorders>
                  <w:shd w:val="clear" w:color="auto" w:fill="auto"/>
                  <w:vAlign w:val="center"/>
                </w:tcPr>
                <w:p w14:paraId="1A821D21">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主要用途：</w:t>
                  </w:r>
                </w:p>
              </w:tc>
              <w:tc>
                <w:tcPr>
                  <w:tcW w:w="7571" w:type="dxa"/>
                  <w:gridSpan w:val="3"/>
                  <w:tcBorders>
                    <w:top w:val="single" w:color="auto" w:sz="4" w:space="0"/>
                    <w:left w:val="single" w:color="auto" w:sz="4" w:space="0"/>
                    <w:bottom w:val="single" w:color="auto" w:sz="4" w:space="0"/>
                  </w:tcBorders>
                  <w:shd w:val="clear" w:color="auto" w:fill="auto"/>
                  <w:vAlign w:val="center"/>
                </w:tcPr>
                <w:p w14:paraId="393B265E">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主要用作汽油机的燃料，用于橡胶、制鞋、印刷、制革、等行业，也可用作机械零件的去污剂。</w:t>
                  </w:r>
                </w:p>
              </w:tc>
            </w:tr>
            <w:tr w14:paraId="3B4F78D2">
              <w:tblPrEx>
                <w:tblBorders>
                  <w:top w:val="single" w:color="auto" w:sz="12" w:space="0"/>
                  <w:left w:val="none" w:color="auto" w:sz="0" w:space="0"/>
                  <w:bottom w:val="single" w:color="auto" w:sz="12" w:space="0"/>
                  <w:right w:val="none" w:color="auto" w:sz="0" w:space="0"/>
                  <w:insideH w:val="single" w:color="auto" w:sz="4" w:space="0"/>
                  <w:insideV w:val="single" w:color="auto" w:sz="12" w:space="0"/>
                </w:tblBorders>
                <w:tblCellMar>
                  <w:top w:w="0" w:type="dxa"/>
                  <w:left w:w="108" w:type="dxa"/>
                  <w:bottom w:w="0" w:type="dxa"/>
                  <w:right w:w="108" w:type="dxa"/>
                </w:tblCellMar>
              </w:tblPrEx>
              <w:trPr>
                <w:jc w:val="center"/>
              </w:trPr>
              <w:tc>
                <w:tcPr>
                  <w:tcW w:w="9288" w:type="dxa"/>
                  <w:gridSpan w:val="4"/>
                  <w:tcBorders>
                    <w:top w:val="single" w:color="auto" w:sz="4" w:space="0"/>
                    <w:bottom w:val="single" w:color="auto" w:sz="4" w:space="0"/>
                  </w:tcBorders>
                  <w:shd w:val="clear" w:color="auto" w:fill="auto"/>
                  <w:vAlign w:val="center"/>
                </w:tcPr>
                <w:p w14:paraId="51D3E3D9">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第三部分   稳定性及化学活性</w:t>
                  </w:r>
                </w:p>
              </w:tc>
            </w:tr>
            <w:tr w14:paraId="00E71F4F">
              <w:tblPrEx>
                <w:tblBorders>
                  <w:top w:val="single" w:color="auto" w:sz="12" w:space="0"/>
                  <w:left w:val="none" w:color="auto" w:sz="0" w:space="0"/>
                  <w:bottom w:val="single" w:color="auto" w:sz="12" w:space="0"/>
                  <w:right w:val="none" w:color="auto" w:sz="0" w:space="0"/>
                  <w:insideH w:val="single" w:color="auto" w:sz="4" w:space="0"/>
                  <w:insideV w:val="single" w:color="auto" w:sz="12" w:space="0"/>
                </w:tblBorders>
                <w:tblCellMar>
                  <w:top w:w="0" w:type="dxa"/>
                  <w:left w:w="108" w:type="dxa"/>
                  <w:bottom w:w="0" w:type="dxa"/>
                  <w:right w:w="108" w:type="dxa"/>
                </w:tblCellMar>
              </w:tblPrEx>
              <w:trPr>
                <w:jc w:val="center"/>
              </w:trPr>
              <w:tc>
                <w:tcPr>
                  <w:tcW w:w="1605" w:type="dxa"/>
                  <w:tcBorders>
                    <w:top w:val="single" w:color="auto" w:sz="4" w:space="0"/>
                    <w:bottom w:val="single" w:color="auto" w:sz="4" w:space="0"/>
                    <w:right w:val="single" w:color="auto" w:sz="4" w:space="0"/>
                  </w:tcBorders>
                  <w:shd w:val="clear" w:color="auto" w:fill="auto"/>
                  <w:vAlign w:val="center"/>
                </w:tcPr>
                <w:p w14:paraId="3F505419">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稳定性：</w:t>
                  </w:r>
                </w:p>
              </w:tc>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14:paraId="62DBFD6B">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稳定</w:t>
                  </w:r>
                </w:p>
              </w:tc>
              <w:tc>
                <w:tcPr>
                  <w:tcW w:w="2192" w:type="dxa"/>
                  <w:tcBorders>
                    <w:top w:val="single" w:color="auto" w:sz="4" w:space="0"/>
                    <w:left w:val="single" w:color="auto" w:sz="4" w:space="0"/>
                    <w:bottom w:val="single" w:color="auto" w:sz="4" w:space="0"/>
                    <w:right w:val="single" w:color="auto" w:sz="4" w:space="0"/>
                  </w:tcBorders>
                  <w:shd w:val="clear" w:color="auto" w:fill="auto"/>
                  <w:vAlign w:val="center"/>
                </w:tcPr>
                <w:p w14:paraId="2A0E40A0">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避免接触的条件：</w:t>
                  </w:r>
                </w:p>
              </w:tc>
              <w:tc>
                <w:tcPr>
                  <w:tcW w:w="1911" w:type="dxa"/>
                  <w:tcBorders>
                    <w:top w:val="single" w:color="auto" w:sz="4" w:space="0"/>
                    <w:left w:val="single" w:color="auto" w:sz="4" w:space="0"/>
                    <w:bottom w:val="single" w:color="auto" w:sz="4" w:space="0"/>
                  </w:tcBorders>
                  <w:shd w:val="clear" w:color="auto" w:fill="auto"/>
                  <w:vAlign w:val="center"/>
                </w:tcPr>
                <w:p w14:paraId="3ECDBC9E">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明火、高热。</w:t>
                  </w:r>
                </w:p>
              </w:tc>
            </w:tr>
            <w:tr w14:paraId="6E2D33E2">
              <w:tblPrEx>
                <w:tblBorders>
                  <w:top w:val="single" w:color="auto" w:sz="12" w:space="0"/>
                  <w:left w:val="none" w:color="auto" w:sz="0" w:space="0"/>
                  <w:bottom w:val="single" w:color="auto" w:sz="12" w:space="0"/>
                  <w:right w:val="none" w:color="auto" w:sz="0" w:space="0"/>
                  <w:insideH w:val="single" w:color="auto" w:sz="4" w:space="0"/>
                  <w:insideV w:val="single" w:color="auto" w:sz="12" w:space="0"/>
                </w:tblBorders>
                <w:tblCellMar>
                  <w:top w:w="0" w:type="dxa"/>
                  <w:left w:w="108" w:type="dxa"/>
                  <w:bottom w:w="0" w:type="dxa"/>
                  <w:right w:w="108" w:type="dxa"/>
                </w:tblCellMar>
              </w:tblPrEx>
              <w:trPr>
                <w:jc w:val="center"/>
              </w:trPr>
              <w:tc>
                <w:tcPr>
                  <w:tcW w:w="1605" w:type="dxa"/>
                  <w:tcBorders>
                    <w:top w:val="single" w:color="auto" w:sz="4" w:space="0"/>
                    <w:bottom w:val="single" w:color="auto" w:sz="4" w:space="0"/>
                    <w:right w:val="single" w:color="auto" w:sz="4" w:space="0"/>
                  </w:tcBorders>
                  <w:shd w:val="clear" w:color="auto" w:fill="auto"/>
                  <w:vAlign w:val="center"/>
                </w:tcPr>
                <w:p w14:paraId="7B8DBFC2">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禁配物：</w:t>
                  </w:r>
                </w:p>
              </w:tc>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14:paraId="7C351457">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强氧化剂</w:t>
                  </w:r>
                </w:p>
              </w:tc>
              <w:tc>
                <w:tcPr>
                  <w:tcW w:w="2192" w:type="dxa"/>
                  <w:tcBorders>
                    <w:top w:val="single" w:color="auto" w:sz="4" w:space="0"/>
                    <w:left w:val="single" w:color="auto" w:sz="4" w:space="0"/>
                    <w:bottom w:val="single" w:color="auto" w:sz="4" w:space="0"/>
                    <w:right w:val="single" w:color="auto" w:sz="4" w:space="0"/>
                  </w:tcBorders>
                  <w:shd w:val="clear" w:color="auto" w:fill="auto"/>
                  <w:vAlign w:val="center"/>
                </w:tcPr>
                <w:p w14:paraId="692F4837">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聚合危害：</w:t>
                  </w:r>
                </w:p>
              </w:tc>
              <w:tc>
                <w:tcPr>
                  <w:tcW w:w="1911" w:type="dxa"/>
                  <w:tcBorders>
                    <w:top w:val="single" w:color="auto" w:sz="4" w:space="0"/>
                    <w:left w:val="single" w:color="auto" w:sz="4" w:space="0"/>
                    <w:bottom w:val="single" w:color="auto" w:sz="4" w:space="0"/>
                  </w:tcBorders>
                  <w:shd w:val="clear" w:color="auto" w:fill="auto"/>
                  <w:vAlign w:val="center"/>
                </w:tcPr>
                <w:p w14:paraId="4C4CD5F6">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不聚合</w:t>
                  </w:r>
                </w:p>
              </w:tc>
            </w:tr>
            <w:tr w14:paraId="27885F15">
              <w:tblPrEx>
                <w:tblBorders>
                  <w:top w:val="single" w:color="auto" w:sz="12" w:space="0"/>
                  <w:left w:val="none" w:color="auto" w:sz="0" w:space="0"/>
                  <w:bottom w:val="single" w:color="auto" w:sz="12" w:space="0"/>
                  <w:right w:val="none" w:color="auto" w:sz="0" w:space="0"/>
                  <w:insideH w:val="single" w:color="auto" w:sz="4" w:space="0"/>
                  <w:insideV w:val="single" w:color="auto" w:sz="12" w:space="0"/>
                </w:tblBorders>
                <w:tblCellMar>
                  <w:top w:w="0" w:type="dxa"/>
                  <w:left w:w="108" w:type="dxa"/>
                  <w:bottom w:w="0" w:type="dxa"/>
                  <w:right w:w="108" w:type="dxa"/>
                </w:tblCellMar>
              </w:tblPrEx>
              <w:trPr>
                <w:jc w:val="center"/>
              </w:trPr>
              <w:tc>
                <w:tcPr>
                  <w:tcW w:w="1605" w:type="dxa"/>
                  <w:tcBorders>
                    <w:top w:val="single" w:color="auto" w:sz="4" w:space="0"/>
                    <w:bottom w:val="single" w:color="auto" w:sz="4" w:space="0"/>
                    <w:right w:val="single" w:color="auto" w:sz="4" w:space="0"/>
                  </w:tcBorders>
                  <w:shd w:val="clear" w:color="auto" w:fill="auto"/>
                  <w:vAlign w:val="center"/>
                </w:tcPr>
                <w:p w14:paraId="2B10509F">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分解产物：</w:t>
                  </w:r>
                </w:p>
              </w:tc>
              <w:tc>
                <w:tcPr>
                  <w:tcW w:w="7571" w:type="dxa"/>
                  <w:gridSpan w:val="3"/>
                  <w:tcBorders>
                    <w:top w:val="single" w:color="auto" w:sz="4" w:space="0"/>
                    <w:left w:val="single" w:color="auto" w:sz="4" w:space="0"/>
                    <w:bottom w:val="single" w:color="auto" w:sz="4" w:space="0"/>
                  </w:tcBorders>
                  <w:shd w:val="clear" w:color="auto" w:fill="auto"/>
                  <w:vAlign w:val="center"/>
                </w:tcPr>
                <w:p w14:paraId="1621EC01">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一氧化碳、二氧化碳。</w:t>
                  </w:r>
                </w:p>
              </w:tc>
            </w:tr>
            <w:tr w14:paraId="05A46480">
              <w:tblPrEx>
                <w:tblBorders>
                  <w:top w:val="single" w:color="auto" w:sz="12" w:space="0"/>
                  <w:left w:val="none" w:color="auto" w:sz="0" w:space="0"/>
                  <w:bottom w:val="single" w:color="auto" w:sz="12" w:space="0"/>
                  <w:right w:val="none" w:color="auto" w:sz="0" w:space="0"/>
                  <w:insideH w:val="single" w:color="auto" w:sz="4" w:space="0"/>
                  <w:insideV w:val="single" w:color="auto" w:sz="12" w:space="0"/>
                </w:tblBorders>
                <w:tblCellMar>
                  <w:top w:w="0" w:type="dxa"/>
                  <w:left w:w="108" w:type="dxa"/>
                  <w:bottom w:w="0" w:type="dxa"/>
                  <w:right w:w="108" w:type="dxa"/>
                </w:tblCellMar>
              </w:tblPrEx>
              <w:trPr>
                <w:jc w:val="center"/>
              </w:trPr>
              <w:tc>
                <w:tcPr>
                  <w:tcW w:w="9288" w:type="dxa"/>
                  <w:gridSpan w:val="4"/>
                  <w:tcBorders>
                    <w:top w:val="single" w:color="auto" w:sz="4" w:space="0"/>
                    <w:bottom w:val="single" w:color="auto" w:sz="4" w:space="0"/>
                  </w:tcBorders>
                  <w:shd w:val="clear" w:color="auto" w:fill="auto"/>
                  <w:vAlign w:val="center"/>
                </w:tcPr>
                <w:p w14:paraId="5E8AED01">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第四部分   毒理学资料</w:t>
                  </w:r>
                </w:p>
              </w:tc>
            </w:tr>
            <w:tr w14:paraId="73605740">
              <w:tblPrEx>
                <w:tblBorders>
                  <w:top w:val="single" w:color="auto" w:sz="12" w:space="0"/>
                  <w:left w:val="none" w:color="auto" w:sz="0" w:space="0"/>
                  <w:bottom w:val="single" w:color="auto" w:sz="12" w:space="0"/>
                  <w:right w:val="none" w:color="auto" w:sz="0" w:space="0"/>
                  <w:insideH w:val="single" w:color="auto" w:sz="4" w:space="0"/>
                  <w:insideV w:val="single" w:color="auto" w:sz="12" w:space="0"/>
                </w:tblBorders>
                <w:tblCellMar>
                  <w:top w:w="0" w:type="dxa"/>
                  <w:left w:w="108" w:type="dxa"/>
                  <w:bottom w:w="0" w:type="dxa"/>
                  <w:right w:w="108" w:type="dxa"/>
                </w:tblCellMar>
              </w:tblPrEx>
              <w:trPr>
                <w:jc w:val="center"/>
              </w:trPr>
              <w:tc>
                <w:tcPr>
                  <w:tcW w:w="1605" w:type="dxa"/>
                  <w:vMerge w:val="restart"/>
                  <w:tcBorders>
                    <w:top w:val="single" w:color="auto" w:sz="4" w:space="0"/>
                    <w:bottom w:val="single" w:color="auto" w:sz="4" w:space="0"/>
                    <w:right w:val="single" w:color="auto" w:sz="4" w:space="0"/>
                  </w:tcBorders>
                  <w:shd w:val="clear" w:color="auto" w:fill="auto"/>
                  <w:vAlign w:val="center"/>
                </w:tcPr>
                <w:p w14:paraId="19F0A048">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急性毒性：</w:t>
                  </w:r>
                </w:p>
              </w:tc>
              <w:tc>
                <w:tcPr>
                  <w:tcW w:w="7571" w:type="dxa"/>
                  <w:gridSpan w:val="3"/>
                  <w:tcBorders>
                    <w:top w:val="single" w:color="auto" w:sz="4" w:space="0"/>
                    <w:left w:val="single" w:color="auto" w:sz="4" w:space="0"/>
                    <w:bottom w:val="single" w:color="auto" w:sz="4" w:space="0"/>
                  </w:tcBorders>
                  <w:shd w:val="clear" w:color="auto" w:fill="auto"/>
                  <w:vAlign w:val="center"/>
                </w:tcPr>
                <w:p w14:paraId="1558195F">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LD50 67000mg/kg（小鼠经口），（120号溶剂汽油）</w:t>
                  </w:r>
                </w:p>
              </w:tc>
            </w:tr>
            <w:tr w14:paraId="2FAAFF87">
              <w:tblPrEx>
                <w:tblBorders>
                  <w:top w:val="single" w:color="auto" w:sz="12" w:space="0"/>
                  <w:left w:val="none" w:color="auto" w:sz="0" w:space="0"/>
                  <w:bottom w:val="single" w:color="auto" w:sz="12" w:space="0"/>
                  <w:right w:val="none" w:color="auto" w:sz="0" w:space="0"/>
                  <w:insideH w:val="single" w:color="auto" w:sz="4" w:space="0"/>
                  <w:insideV w:val="single" w:color="auto" w:sz="12" w:space="0"/>
                </w:tblBorders>
                <w:tblCellMar>
                  <w:top w:w="0" w:type="dxa"/>
                  <w:left w:w="108" w:type="dxa"/>
                  <w:bottom w:w="0" w:type="dxa"/>
                  <w:right w:w="108" w:type="dxa"/>
                </w:tblCellMar>
              </w:tblPrEx>
              <w:trPr>
                <w:jc w:val="center"/>
              </w:trPr>
              <w:tc>
                <w:tcPr>
                  <w:tcW w:w="1605" w:type="dxa"/>
                  <w:vMerge w:val="continue"/>
                  <w:tcBorders>
                    <w:top w:val="single" w:color="auto" w:sz="4" w:space="0"/>
                    <w:bottom w:val="single" w:color="auto" w:sz="4" w:space="0"/>
                    <w:right w:val="single" w:color="auto" w:sz="4" w:space="0"/>
                  </w:tcBorders>
                  <w:vAlign w:val="center"/>
                </w:tcPr>
                <w:p w14:paraId="19EA8425">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7571" w:type="dxa"/>
                  <w:gridSpan w:val="3"/>
                  <w:tcBorders>
                    <w:top w:val="single" w:color="auto" w:sz="4" w:space="0"/>
                    <w:left w:val="single" w:color="auto" w:sz="4" w:space="0"/>
                    <w:bottom w:val="single" w:color="auto" w:sz="4" w:space="0"/>
                  </w:tcBorders>
                  <w:shd w:val="clear" w:color="auto" w:fill="auto"/>
                  <w:vAlign w:val="center"/>
                </w:tcPr>
                <w:p w14:paraId="6AF929C8">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LC50 103000mg/m</w:t>
                  </w:r>
                  <w:r>
                    <w:rPr>
                      <w:rFonts w:hint="default" w:ascii="Times New Roman" w:hAnsi="Times New Roman" w:eastAsia="宋体" w:cs="Times New Roman"/>
                      <w:color w:val="000000" w:themeColor="text1"/>
                      <w:kern w:val="0"/>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小鼠，2小时（120号溶剂汽油）</w:t>
                  </w:r>
                </w:p>
              </w:tc>
            </w:tr>
            <w:tr w14:paraId="52A0FE2F">
              <w:tblPrEx>
                <w:tblBorders>
                  <w:top w:val="single" w:color="auto" w:sz="12" w:space="0"/>
                  <w:left w:val="none" w:color="auto" w:sz="0" w:space="0"/>
                  <w:bottom w:val="single" w:color="auto" w:sz="12" w:space="0"/>
                  <w:right w:val="none" w:color="auto" w:sz="0" w:space="0"/>
                  <w:insideH w:val="single" w:color="auto" w:sz="4" w:space="0"/>
                  <w:insideV w:val="single" w:color="auto" w:sz="12" w:space="0"/>
                </w:tblBorders>
                <w:tblCellMar>
                  <w:top w:w="0" w:type="dxa"/>
                  <w:left w:w="108" w:type="dxa"/>
                  <w:bottom w:w="0" w:type="dxa"/>
                  <w:right w:w="108" w:type="dxa"/>
                </w:tblCellMar>
              </w:tblPrEx>
              <w:trPr>
                <w:jc w:val="center"/>
              </w:trPr>
              <w:tc>
                <w:tcPr>
                  <w:tcW w:w="1605" w:type="dxa"/>
                  <w:tcBorders>
                    <w:top w:val="single" w:color="auto" w:sz="4" w:space="0"/>
                    <w:bottom w:val="single" w:color="auto" w:sz="4" w:space="0"/>
                    <w:right w:val="single" w:color="auto" w:sz="4" w:space="0"/>
                  </w:tcBorders>
                  <w:shd w:val="clear" w:color="auto" w:fill="auto"/>
                  <w:vAlign w:val="center"/>
                </w:tcPr>
                <w:p w14:paraId="666C4C46">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急性中毒：</w:t>
                  </w:r>
                </w:p>
              </w:tc>
              <w:tc>
                <w:tcPr>
                  <w:tcW w:w="7571" w:type="dxa"/>
                  <w:gridSpan w:val="3"/>
                  <w:tcBorders>
                    <w:top w:val="single" w:color="auto" w:sz="4" w:space="0"/>
                    <w:left w:val="single" w:color="auto" w:sz="4" w:space="0"/>
                    <w:bottom w:val="single" w:color="auto" w:sz="4" w:space="0"/>
                  </w:tcBorders>
                  <w:shd w:val="clear" w:color="auto" w:fill="auto"/>
                  <w:vAlign w:val="center"/>
                </w:tcPr>
                <w:p w14:paraId="396721D5">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高浓度吸入出现中毒性脑病。极高浓度吸入引起意识突然丧失、反射性呼吸停止和化学性肺炎。可致角膜溃疡、穿孔，甚至失明。皮肤接触致急性接触性皮炎或过敏性皮炎。急性经口中毒引起急性胃肠炎；重者出现类似急性吸入中毒症状。</w:t>
                  </w:r>
                </w:p>
              </w:tc>
            </w:tr>
            <w:tr w14:paraId="707B7043">
              <w:tblPrEx>
                <w:tblBorders>
                  <w:top w:val="single" w:color="auto" w:sz="12" w:space="0"/>
                  <w:left w:val="none" w:color="auto" w:sz="0" w:space="0"/>
                  <w:bottom w:val="single" w:color="auto" w:sz="12" w:space="0"/>
                  <w:right w:val="none" w:color="auto" w:sz="0" w:space="0"/>
                  <w:insideH w:val="single" w:color="auto" w:sz="4" w:space="0"/>
                  <w:insideV w:val="single" w:color="auto" w:sz="12" w:space="0"/>
                </w:tblBorders>
                <w:tblCellMar>
                  <w:top w:w="0" w:type="dxa"/>
                  <w:left w:w="108" w:type="dxa"/>
                  <w:bottom w:w="0" w:type="dxa"/>
                  <w:right w:w="108" w:type="dxa"/>
                </w:tblCellMar>
              </w:tblPrEx>
              <w:trPr>
                <w:jc w:val="center"/>
              </w:trPr>
              <w:tc>
                <w:tcPr>
                  <w:tcW w:w="1605" w:type="dxa"/>
                  <w:tcBorders>
                    <w:top w:val="single" w:color="auto" w:sz="4" w:space="0"/>
                    <w:bottom w:val="single" w:color="auto" w:sz="4" w:space="0"/>
                    <w:right w:val="single" w:color="auto" w:sz="4" w:space="0"/>
                  </w:tcBorders>
                  <w:shd w:val="clear" w:color="auto" w:fill="auto"/>
                  <w:vAlign w:val="center"/>
                </w:tcPr>
                <w:p w14:paraId="17DC5D8D">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慢性中毒：</w:t>
                  </w:r>
                </w:p>
              </w:tc>
              <w:tc>
                <w:tcPr>
                  <w:tcW w:w="7571" w:type="dxa"/>
                  <w:gridSpan w:val="3"/>
                  <w:tcBorders>
                    <w:top w:val="single" w:color="auto" w:sz="4" w:space="0"/>
                    <w:left w:val="single" w:color="auto" w:sz="4" w:space="0"/>
                    <w:bottom w:val="single" w:color="auto" w:sz="4" w:space="0"/>
                  </w:tcBorders>
                  <w:shd w:val="clear" w:color="auto" w:fill="auto"/>
                  <w:vAlign w:val="center"/>
                </w:tcPr>
                <w:p w14:paraId="5449C90F">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神经衰弱综合症，周围神经病，皮肤损害。</w:t>
                  </w:r>
                </w:p>
              </w:tc>
            </w:tr>
            <w:tr w14:paraId="42C1E658">
              <w:tblPrEx>
                <w:tblBorders>
                  <w:top w:val="single" w:color="auto" w:sz="12" w:space="0"/>
                  <w:left w:val="none" w:color="auto" w:sz="0" w:space="0"/>
                  <w:bottom w:val="single" w:color="auto" w:sz="12" w:space="0"/>
                  <w:right w:val="none" w:color="auto" w:sz="0" w:space="0"/>
                  <w:insideH w:val="single" w:color="auto" w:sz="4" w:space="0"/>
                  <w:insideV w:val="single" w:color="auto" w:sz="12" w:space="0"/>
                </w:tblBorders>
                <w:tblCellMar>
                  <w:top w:w="0" w:type="dxa"/>
                  <w:left w:w="108" w:type="dxa"/>
                  <w:bottom w:w="0" w:type="dxa"/>
                  <w:right w:w="108" w:type="dxa"/>
                </w:tblCellMar>
              </w:tblPrEx>
              <w:trPr>
                <w:jc w:val="center"/>
              </w:trPr>
              <w:tc>
                <w:tcPr>
                  <w:tcW w:w="1605" w:type="dxa"/>
                  <w:tcBorders>
                    <w:top w:val="single" w:color="auto" w:sz="4" w:space="0"/>
                    <w:bottom w:val="single" w:color="auto" w:sz="4" w:space="0"/>
                    <w:right w:val="single" w:color="auto" w:sz="4" w:space="0"/>
                  </w:tcBorders>
                  <w:shd w:val="clear" w:color="auto" w:fill="auto"/>
                  <w:vAlign w:val="center"/>
                </w:tcPr>
                <w:p w14:paraId="3FD4CA70">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刺激性：</w:t>
                  </w:r>
                </w:p>
              </w:tc>
              <w:tc>
                <w:tcPr>
                  <w:tcW w:w="7571" w:type="dxa"/>
                  <w:gridSpan w:val="3"/>
                  <w:tcBorders>
                    <w:top w:val="single" w:color="auto" w:sz="4" w:space="0"/>
                    <w:left w:val="single" w:color="auto" w:sz="4" w:space="0"/>
                    <w:bottom w:val="single" w:color="auto" w:sz="4" w:space="0"/>
                  </w:tcBorders>
                  <w:shd w:val="clear" w:color="auto" w:fill="auto"/>
                  <w:vAlign w:val="center"/>
                </w:tcPr>
                <w:p w14:paraId="46A86267">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人经眼：140ppm（8小时），轻度刺激。</w:t>
                  </w:r>
                </w:p>
              </w:tc>
            </w:tr>
            <w:tr w14:paraId="4DB44D0F">
              <w:tblPrEx>
                <w:tblBorders>
                  <w:top w:val="single" w:color="auto" w:sz="12" w:space="0"/>
                  <w:left w:val="none" w:color="auto" w:sz="0" w:space="0"/>
                  <w:bottom w:val="single" w:color="auto" w:sz="12" w:space="0"/>
                  <w:right w:val="none" w:color="auto" w:sz="0" w:space="0"/>
                  <w:insideH w:val="single" w:color="auto" w:sz="4" w:space="0"/>
                  <w:insideV w:val="single" w:color="auto" w:sz="12" w:space="0"/>
                </w:tblBorders>
                <w:tblCellMar>
                  <w:top w:w="0" w:type="dxa"/>
                  <w:left w:w="108" w:type="dxa"/>
                  <w:bottom w:w="0" w:type="dxa"/>
                  <w:right w:w="108" w:type="dxa"/>
                </w:tblCellMar>
              </w:tblPrEx>
              <w:trPr>
                <w:jc w:val="center"/>
              </w:trPr>
              <w:tc>
                <w:tcPr>
                  <w:tcW w:w="1605" w:type="dxa"/>
                  <w:tcBorders>
                    <w:top w:val="single" w:color="auto" w:sz="4" w:space="0"/>
                    <w:bottom w:val="single" w:color="auto" w:sz="12" w:space="0"/>
                    <w:right w:val="single" w:color="auto" w:sz="4" w:space="0"/>
                  </w:tcBorders>
                  <w:shd w:val="clear" w:color="auto" w:fill="auto"/>
                  <w:vAlign w:val="center"/>
                </w:tcPr>
                <w:p w14:paraId="19D0FBCD">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最高容许浓度</w:t>
                  </w:r>
                </w:p>
              </w:tc>
              <w:tc>
                <w:tcPr>
                  <w:tcW w:w="7571" w:type="dxa"/>
                  <w:gridSpan w:val="3"/>
                  <w:tcBorders>
                    <w:top w:val="single" w:color="auto" w:sz="4" w:space="0"/>
                    <w:left w:val="single" w:color="auto" w:sz="4" w:space="0"/>
                    <w:bottom w:val="single" w:color="auto" w:sz="12" w:space="0"/>
                  </w:tcBorders>
                  <w:shd w:val="clear" w:color="auto" w:fill="auto"/>
                  <w:vAlign w:val="center"/>
                </w:tcPr>
                <w:p w14:paraId="4FE0E0FA">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300mg/m</w:t>
                  </w:r>
                  <w:r>
                    <w:rPr>
                      <w:rFonts w:hint="default" w:ascii="Times New Roman" w:hAnsi="Times New Roman" w:eastAsia="宋体" w:cs="Times New Roman"/>
                      <w:color w:val="000000" w:themeColor="text1"/>
                      <w:kern w:val="0"/>
                      <w:sz w:val="21"/>
                      <w:szCs w:val="21"/>
                      <w:highlight w:val="none"/>
                      <w:vertAlign w:val="superscript"/>
                      <w14:textFill>
                        <w14:solidFill>
                          <w14:schemeClr w14:val="tx1"/>
                        </w14:solidFill>
                      </w14:textFill>
                    </w:rPr>
                    <w:t>3</w:t>
                  </w:r>
                </w:p>
              </w:tc>
            </w:tr>
          </w:tbl>
          <w:p w14:paraId="1E4652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snapToGrid w:val="0"/>
                <w:kern w:val="2"/>
                <w:sz w:val="21"/>
                <w:szCs w:val="24"/>
                <w:highlight w:val="none"/>
                <w:lang w:val="en-US" w:eastAsia="zh-CN" w:bidi="ar-SA"/>
              </w:rPr>
            </w:pPr>
            <w:r>
              <w:rPr>
                <w:rFonts w:hint="eastAsia" w:ascii="Times New Roman" w:hAnsi="Times New Roman" w:eastAsia="宋体" w:cs="Times New Roman"/>
                <w:b/>
                <w:snapToGrid w:val="0"/>
                <w:kern w:val="2"/>
                <w:sz w:val="21"/>
                <w:szCs w:val="24"/>
                <w:highlight w:val="none"/>
                <w:lang w:val="en-US" w:eastAsia="zh-CN" w:bidi="ar-SA"/>
              </w:rPr>
              <w:t>表2</w:t>
            </w:r>
            <w:r>
              <w:rPr>
                <w:rFonts w:ascii="Times New Roman" w:hAnsi="Times New Roman" w:eastAsia="宋体" w:cs="Times New Roman"/>
                <w:b/>
                <w:snapToGrid w:val="0"/>
                <w:kern w:val="2"/>
                <w:sz w:val="21"/>
                <w:szCs w:val="24"/>
                <w:highlight w:val="none"/>
                <w:lang w:val="en-US" w:eastAsia="zh-CN" w:bidi="ar-SA"/>
              </w:rPr>
              <w:t>-</w:t>
            </w:r>
            <w:r>
              <w:rPr>
                <w:rFonts w:hint="eastAsia" w:cs="Times New Roman"/>
                <w:b/>
                <w:snapToGrid w:val="0"/>
                <w:kern w:val="2"/>
                <w:sz w:val="21"/>
                <w:szCs w:val="24"/>
                <w:highlight w:val="none"/>
                <w:lang w:val="en-US" w:eastAsia="zh-CN" w:bidi="ar-SA"/>
              </w:rPr>
              <w:t>5</w:t>
            </w:r>
            <w:r>
              <w:rPr>
                <w:rFonts w:ascii="Times New Roman" w:hAnsi="Times New Roman" w:eastAsia="宋体" w:cs="Times New Roman"/>
                <w:b/>
                <w:snapToGrid w:val="0"/>
                <w:kern w:val="2"/>
                <w:sz w:val="21"/>
                <w:szCs w:val="24"/>
                <w:highlight w:val="none"/>
                <w:lang w:val="en-US" w:eastAsia="zh-CN" w:bidi="ar-SA"/>
              </w:rPr>
              <w:t xml:space="preserve"> </w:t>
            </w:r>
            <w:r>
              <w:rPr>
                <w:rFonts w:hint="eastAsia" w:cs="Times New Roman"/>
                <w:b/>
                <w:snapToGrid w:val="0"/>
                <w:kern w:val="2"/>
                <w:sz w:val="21"/>
                <w:szCs w:val="24"/>
                <w:highlight w:val="none"/>
                <w:lang w:val="en-US" w:eastAsia="zh-CN" w:bidi="ar-SA"/>
              </w:rPr>
              <w:t xml:space="preserve">  </w:t>
            </w:r>
            <w:r>
              <w:rPr>
                <w:rFonts w:hint="eastAsia" w:ascii="Times New Roman" w:hAnsi="Times New Roman" w:eastAsia="宋体" w:cs="Times New Roman"/>
                <w:b/>
                <w:snapToGrid w:val="0"/>
                <w:kern w:val="2"/>
                <w:sz w:val="21"/>
                <w:szCs w:val="24"/>
                <w:highlight w:val="none"/>
                <w:lang w:val="en-US" w:eastAsia="zh-CN" w:bidi="ar-SA"/>
              </w:rPr>
              <w:t>柴油</w:t>
            </w:r>
            <w:r>
              <w:rPr>
                <w:rFonts w:ascii="Times New Roman" w:hAnsi="Times New Roman" w:eastAsia="宋体" w:cs="Times New Roman"/>
                <w:b/>
                <w:snapToGrid w:val="0"/>
                <w:kern w:val="2"/>
                <w:sz w:val="21"/>
                <w:szCs w:val="24"/>
                <w:highlight w:val="none"/>
                <w:lang w:val="en-US" w:eastAsia="zh-CN" w:bidi="ar-SA"/>
              </w:rPr>
              <w:t>理化性质</w:t>
            </w:r>
            <w:r>
              <w:rPr>
                <w:rFonts w:hint="default" w:ascii="Times New Roman" w:hAnsi="Times New Roman" w:eastAsia="宋体" w:cs="Times New Roman"/>
                <w:b/>
                <w:snapToGrid w:val="0"/>
                <w:kern w:val="2"/>
                <w:sz w:val="21"/>
                <w:szCs w:val="24"/>
                <w:highlight w:val="none"/>
                <w:lang w:val="en-US" w:eastAsia="zh-CN" w:bidi="ar-SA"/>
              </w:rPr>
              <w:t>一览表</w:t>
            </w:r>
          </w:p>
          <w:tbl>
            <w:tblPr>
              <w:tblStyle w:val="35"/>
              <w:tblW w:w="5000" w:type="pct"/>
              <w:jc w:val="center"/>
              <w:tblLayout w:type="fixed"/>
              <w:tblCellMar>
                <w:top w:w="0" w:type="dxa"/>
                <w:left w:w="108" w:type="dxa"/>
                <w:bottom w:w="0" w:type="dxa"/>
                <w:right w:w="108" w:type="dxa"/>
              </w:tblCellMar>
            </w:tblPr>
            <w:tblGrid>
              <w:gridCol w:w="1607"/>
              <w:gridCol w:w="2744"/>
              <w:gridCol w:w="2534"/>
              <w:gridCol w:w="2403"/>
            </w:tblGrid>
            <w:tr w14:paraId="7968A198">
              <w:tblPrEx>
                <w:tblCellMar>
                  <w:top w:w="0" w:type="dxa"/>
                  <w:left w:w="108" w:type="dxa"/>
                  <w:bottom w:w="0" w:type="dxa"/>
                  <w:right w:w="108" w:type="dxa"/>
                </w:tblCellMar>
              </w:tblPrEx>
              <w:trPr>
                <w:jc w:val="center"/>
              </w:trPr>
              <w:tc>
                <w:tcPr>
                  <w:tcW w:w="9288" w:type="dxa"/>
                  <w:gridSpan w:val="4"/>
                  <w:tcBorders>
                    <w:top w:val="single" w:color="auto" w:sz="12" w:space="0"/>
                    <w:left w:val="nil"/>
                    <w:bottom w:val="single" w:color="auto" w:sz="4" w:space="0"/>
                    <w:right w:val="nil"/>
                  </w:tcBorders>
                  <w:shd w:val="clear" w:color="auto" w:fill="auto"/>
                  <w:vAlign w:val="center"/>
                </w:tcPr>
                <w:p w14:paraId="0AD3C63C">
                  <w:pPr>
                    <w:widowControl/>
                    <w:snapToGrid w:val="0"/>
                    <w:spacing w:line="240" w:lineRule="auto"/>
                    <w:ind w:left="0" w:leftChars="0" w:firstLine="0" w:firstLineChars="0"/>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第一部分   危险性概述</w:t>
                  </w:r>
                </w:p>
              </w:tc>
            </w:tr>
            <w:tr w14:paraId="67713B1C">
              <w:tblPrEx>
                <w:tblCellMar>
                  <w:top w:w="0" w:type="dxa"/>
                  <w:left w:w="108" w:type="dxa"/>
                  <w:bottom w:w="0" w:type="dxa"/>
                  <w:right w:w="108" w:type="dxa"/>
                </w:tblCellMar>
              </w:tblPrEx>
              <w:trPr>
                <w:jc w:val="center"/>
              </w:trPr>
              <w:tc>
                <w:tcPr>
                  <w:tcW w:w="865" w:type="pct"/>
                  <w:tcBorders>
                    <w:top w:val="single" w:color="auto" w:sz="4" w:space="0"/>
                    <w:left w:val="nil"/>
                    <w:bottom w:val="single" w:color="auto" w:sz="4" w:space="0"/>
                    <w:right w:val="single" w:color="auto" w:sz="4" w:space="0"/>
                  </w:tcBorders>
                  <w:shd w:val="clear" w:color="auto" w:fill="auto"/>
                  <w:vAlign w:val="center"/>
                </w:tcPr>
                <w:p w14:paraId="3E0C2E18">
                  <w:pPr>
                    <w:widowControl/>
                    <w:snapToGrid w:val="0"/>
                    <w:spacing w:line="240" w:lineRule="auto"/>
                    <w:ind w:left="0" w:leftChars="0" w:firstLine="0" w:firstLineChars="0"/>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危险性类别：</w:t>
                  </w:r>
                </w:p>
              </w:tc>
              <w:tc>
                <w:tcPr>
                  <w:tcW w:w="1477" w:type="pct"/>
                  <w:tcBorders>
                    <w:top w:val="single" w:color="auto" w:sz="4" w:space="0"/>
                    <w:left w:val="single" w:color="auto" w:sz="4" w:space="0"/>
                    <w:bottom w:val="single" w:color="auto" w:sz="4" w:space="0"/>
                    <w:right w:val="single" w:color="auto" w:sz="4" w:space="0"/>
                  </w:tcBorders>
                  <w:shd w:val="clear" w:color="auto" w:fill="auto"/>
                  <w:vAlign w:val="center"/>
                </w:tcPr>
                <w:p w14:paraId="74511B84">
                  <w:pPr>
                    <w:widowControl/>
                    <w:snapToGrid w:val="0"/>
                    <w:spacing w:line="240" w:lineRule="auto"/>
                    <w:ind w:left="0" w:leftChars="0" w:firstLine="0" w:firstLineChars="0"/>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第3.3类高闪点易燃液体</w:t>
                  </w:r>
                </w:p>
              </w:tc>
              <w:tc>
                <w:tcPr>
                  <w:tcW w:w="2534" w:type="dxa"/>
                  <w:tcBorders>
                    <w:top w:val="single" w:color="auto" w:sz="4" w:space="0"/>
                    <w:left w:val="single" w:color="auto" w:sz="4" w:space="0"/>
                    <w:bottom w:val="single" w:color="auto" w:sz="4" w:space="0"/>
                    <w:right w:val="single" w:color="auto" w:sz="4" w:space="0"/>
                  </w:tcBorders>
                  <w:shd w:val="clear" w:color="auto" w:fill="auto"/>
                  <w:vAlign w:val="center"/>
                </w:tcPr>
                <w:p w14:paraId="66999E1F">
                  <w:pPr>
                    <w:widowControl/>
                    <w:snapToGrid w:val="0"/>
                    <w:spacing w:line="240" w:lineRule="auto"/>
                    <w:ind w:left="0" w:leftChars="0" w:firstLine="0" w:firstLineChars="0"/>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燃爆危险：</w:t>
                  </w:r>
                </w:p>
              </w:tc>
              <w:tc>
                <w:tcPr>
                  <w:tcW w:w="2403" w:type="dxa"/>
                  <w:tcBorders>
                    <w:top w:val="single" w:color="auto" w:sz="4" w:space="0"/>
                    <w:left w:val="single" w:color="auto" w:sz="4" w:space="0"/>
                    <w:bottom w:val="single" w:color="auto" w:sz="4" w:space="0"/>
                    <w:right w:val="nil"/>
                  </w:tcBorders>
                  <w:shd w:val="clear" w:color="auto" w:fill="auto"/>
                  <w:vAlign w:val="center"/>
                </w:tcPr>
                <w:p w14:paraId="2E53FF2D">
                  <w:pPr>
                    <w:widowControl/>
                    <w:snapToGrid w:val="0"/>
                    <w:spacing w:line="240" w:lineRule="auto"/>
                    <w:ind w:left="0" w:leftChars="0" w:firstLine="0" w:firstLineChars="0"/>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易燃</w:t>
                  </w:r>
                </w:p>
              </w:tc>
            </w:tr>
            <w:tr w14:paraId="6AE0BD89">
              <w:tblPrEx>
                <w:tblCellMar>
                  <w:top w:w="0" w:type="dxa"/>
                  <w:left w:w="108" w:type="dxa"/>
                  <w:bottom w:w="0" w:type="dxa"/>
                  <w:right w:w="108" w:type="dxa"/>
                </w:tblCellMar>
              </w:tblPrEx>
              <w:trPr>
                <w:jc w:val="center"/>
              </w:trPr>
              <w:tc>
                <w:tcPr>
                  <w:tcW w:w="865" w:type="pct"/>
                  <w:tcBorders>
                    <w:top w:val="single" w:color="auto" w:sz="4" w:space="0"/>
                    <w:left w:val="nil"/>
                    <w:bottom w:val="single" w:color="auto" w:sz="4" w:space="0"/>
                    <w:right w:val="single" w:color="auto" w:sz="4" w:space="0"/>
                  </w:tcBorders>
                  <w:shd w:val="clear" w:color="auto" w:fill="auto"/>
                  <w:vAlign w:val="center"/>
                </w:tcPr>
                <w:p w14:paraId="7DF5923C">
                  <w:pPr>
                    <w:widowControl/>
                    <w:snapToGrid w:val="0"/>
                    <w:spacing w:line="240" w:lineRule="auto"/>
                    <w:ind w:left="0" w:leftChars="0" w:firstLine="0" w:firstLineChars="0"/>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侵入途径：</w:t>
                  </w:r>
                </w:p>
              </w:tc>
              <w:tc>
                <w:tcPr>
                  <w:tcW w:w="1477" w:type="pct"/>
                  <w:tcBorders>
                    <w:top w:val="single" w:color="auto" w:sz="4" w:space="0"/>
                    <w:left w:val="single" w:color="auto" w:sz="4" w:space="0"/>
                    <w:bottom w:val="single" w:color="auto" w:sz="4" w:space="0"/>
                    <w:right w:val="single" w:color="auto" w:sz="4" w:space="0"/>
                  </w:tcBorders>
                  <w:shd w:val="clear" w:color="auto" w:fill="auto"/>
                  <w:vAlign w:val="center"/>
                </w:tcPr>
                <w:p w14:paraId="50F80BAC">
                  <w:pPr>
                    <w:widowControl/>
                    <w:snapToGrid w:val="0"/>
                    <w:spacing w:line="240" w:lineRule="auto"/>
                    <w:ind w:left="0" w:leftChars="0" w:firstLine="0" w:firstLineChars="0"/>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吸入、食入、经皮吸收</w:t>
                  </w:r>
                </w:p>
              </w:tc>
              <w:tc>
                <w:tcPr>
                  <w:tcW w:w="2534" w:type="dxa"/>
                  <w:tcBorders>
                    <w:top w:val="single" w:color="auto" w:sz="4" w:space="0"/>
                    <w:left w:val="single" w:color="auto" w:sz="4" w:space="0"/>
                    <w:bottom w:val="single" w:color="auto" w:sz="4" w:space="0"/>
                    <w:right w:val="single" w:color="auto" w:sz="4" w:space="0"/>
                  </w:tcBorders>
                  <w:shd w:val="clear" w:color="auto" w:fill="auto"/>
                  <w:vAlign w:val="center"/>
                </w:tcPr>
                <w:p w14:paraId="56E49355">
                  <w:pPr>
                    <w:widowControl/>
                    <w:snapToGrid w:val="0"/>
                    <w:spacing w:line="240" w:lineRule="auto"/>
                    <w:ind w:left="0" w:leftChars="0" w:firstLine="0" w:firstLineChars="0"/>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有害燃烧产物：</w:t>
                  </w:r>
                </w:p>
              </w:tc>
              <w:tc>
                <w:tcPr>
                  <w:tcW w:w="2403" w:type="dxa"/>
                  <w:tcBorders>
                    <w:top w:val="single" w:color="auto" w:sz="4" w:space="0"/>
                    <w:left w:val="single" w:color="auto" w:sz="4" w:space="0"/>
                    <w:bottom w:val="single" w:color="auto" w:sz="4" w:space="0"/>
                    <w:right w:val="nil"/>
                  </w:tcBorders>
                  <w:shd w:val="clear" w:color="auto" w:fill="auto"/>
                  <w:vAlign w:val="center"/>
                </w:tcPr>
                <w:p w14:paraId="19F51985">
                  <w:pPr>
                    <w:widowControl/>
                    <w:snapToGrid w:val="0"/>
                    <w:spacing w:line="240" w:lineRule="auto"/>
                    <w:ind w:left="0" w:leftChars="0" w:firstLine="0" w:firstLineChars="0"/>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一氧化碳、二氧化碳</w:t>
                  </w:r>
                </w:p>
              </w:tc>
            </w:tr>
            <w:tr w14:paraId="518497D0">
              <w:tblPrEx>
                <w:tblCellMar>
                  <w:top w:w="0" w:type="dxa"/>
                  <w:left w:w="108" w:type="dxa"/>
                  <w:bottom w:w="0" w:type="dxa"/>
                  <w:right w:w="108" w:type="dxa"/>
                </w:tblCellMar>
              </w:tblPrEx>
              <w:trPr>
                <w:jc w:val="center"/>
              </w:trPr>
              <w:tc>
                <w:tcPr>
                  <w:tcW w:w="865" w:type="pct"/>
                  <w:tcBorders>
                    <w:top w:val="single" w:color="auto" w:sz="4" w:space="0"/>
                    <w:left w:val="nil"/>
                    <w:bottom w:val="single" w:color="auto" w:sz="4" w:space="0"/>
                    <w:right w:val="single" w:color="auto" w:sz="4" w:space="0"/>
                  </w:tcBorders>
                  <w:shd w:val="clear" w:color="auto" w:fill="auto"/>
                  <w:vAlign w:val="center"/>
                </w:tcPr>
                <w:p w14:paraId="4AD40FC7">
                  <w:pPr>
                    <w:widowControl/>
                    <w:snapToGrid w:val="0"/>
                    <w:spacing w:line="240" w:lineRule="auto"/>
                    <w:ind w:left="0" w:leftChars="0" w:firstLine="0" w:firstLineChars="0"/>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环境危害：</w:t>
                  </w:r>
                </w:p>
              </w:tc>
              <w:tc>
                <w:tcPr>
                  <w:tcW w:w="4134" w:type="pct"/>
                  <w:gridSpan w:val="3"/>
                  <w:tcBorders>
                    <w:top w:val="single" w:color="auto" w:sz="4" w:space="0"/>
                    <w:left w:val="single" w:color="auto" w:sz="4" w:space="0"/>
                    <w:bottom w:val="single" w:color="auto" w:sz="4" w:space="0"/>
                    <w:right w:val="nil"/>
                  </w:tcBorders>
                  <w:shd w:val="clear" w:color="auto" w:fill="auto"/>
                  <w:vAlign w:val="center"/>
                </w:tcPr>
                <w:p w14:paraId="446E2B6C">
                  <w:pPr>
                    <w:widowControl/>
                    <w:snapToGrid w:val="0"/>
                    <w:spacing w:line="240" w:lineRule="auto"/>
                    <w:ind w:left="0" w:leftChars="0" w:firstLine="0" w:firstLineChars="0"/>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该物质对环境有危害，应特别注意对地表水、土壤、大气和饮用水的污染。</w:t>
                  </w:r>
                </w:p>
              </w:tc>
            </w:tr>
            <w:tr w14:paraId="128FC885">
              <w:tblPrEx>
                <w:tblCellMar>
                  <w:top w:w="0" w:type="dxa"/>
                  <w:left w:w="108" w:type="dxa"/>
                  <w:bottom w:w="0" w:type="dxa"/>
                  <w:right w:w="108" w:type="dxa"/>
                </w:tblCellMar>
              </w:tblPrEx>
              <w:trPr>
                <w:jc w:val="center"/>
              </w:trPr>
              <w:tc>
                <w:tcPr>
                  <w:tcW w:w="9288" w:type="dxa"/>
                  <w:gridSpan w:val="4"/>
                  <w:tcBorders>
                    <w:top w:val="single" w:color="auto" w:sz="4" w:space="0"/>
                    <w:left w:val="nil"/>
                    <w:bottom w:val="single" w:color="auto" w:sz="4" w:space="0"/>
                    <w:right w:val="nil"/>
                  </w:tcBorders>
                  <w:shd w:val="clear" w:color="auto" w:fill="auto"/>
                  <w:vAlign w:val="center"/>
                </w:tcPr>
                <w:p w14:paraId="66C0EEA3">
                  <w:pPr>
                    <w:widowControl/>
                    <w:snapToGrid w:val="0"/>
                    <w:spacing w:line="240" w:lineRule="auto"/>
                    <w:ind w:left="0" w:leftChars="0" w:firstLine="0" w:firstLineChars="0"/>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第二部分   理化特性</w:t>
                  </w:r>
                </w:p>
              </w:tc>
            </w:tr>
            <w:tr w14:paraId="6DE63FA6">
              <w:tblPrEx>
                <w:tblCellMar>
                  <w:top w:w="0" w:type="dxa"/>
                  <w:left w:w="108" w:type="dxa"/>
                  <w:bottom w:w="0" w:type="dxa"/>
                  <w:right w:w="108" w:type="dxa"/>
                </w:tblCellMar>
              </w:tblPrEx>
              <w:trPr>
                <w:jc w:val="center"/>
              </w:trPr>
              <w:tc>
                <w:tcPr>
                  <w:tcW w:w="865" w:type="pct"/>
                  <w:tcBorders>
                    <w:top w:val="single" w:color="auto" w:sz="4" w:space="0"/>
                    <w:left w:val="nil"/>
                    <w:bottom w:val="single" w:color="auto" w:sz="4" w:space="0"/>
                    <w:right w:val="single" w:color="auto" w:sz="4" w:space="0"/>
                  </w:tcBorders>
                  <w:shd w:val="clear" w:color="auto" w:fill="auto"/>
                  <w:vAlign w:val="center"/>
                </w:tcPr>
                <w:p w14:paraId="310C5FF9">
                  <w:pPr>
                    <w:widowControl/>
                    <w:snapToGrid w:val="0"/>
                    <w:spacing w:line="240" w:lineRule="auto"/>
                    <w:ind w:left="0" w:leftChars="0" w:firstLine="0" w:firstLineChars="0"/>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外观及性状：</w:t>
                  </w:r>
                </w:p>
              </w:tc>
              <w:tc>
                <w:tcPr>
                  <w:tcW w:w="1477" w:type="pct"/>
                  <w:tcBorders>
                    <w:top w:val="single" w:color="auto" w:sz="4" w:space="0"/>
                    <w:left w:val="single" w:color="auto" w:sz="4" w:space="0"/>
                    <w:bottom w:val="single" w:color="auto" w:sz="4" w:space="0"/>
                    <w:right w:val="single" w:color="auto" w:sz="4" w:space="0"/>
                  </w:tcBorders>
                  <w:shd w:val="clear" w:color="auto" w:fill="auto"/>
                  <w:vAlign w:val="center"/>
                </w:tcPr>
                <w:p w14:paraId="42CA9C23">
                  <w:pPr>
                    <w:widowControl/>
                    <w:snapToGrid w:val="0"/>
                    <w:spacing w:line="240" w:lineRule="auto"/>
                    <w:ind w:left="0" w:leftChars="0" w:firstLine="0" w:firstLineChars="0"/>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稍有粘性的棕色液体</w:t>
                  </w:r>
                </w:p>
              </w:tc>
              <w:tc>
                <w:tcPr>
                  <w:tcW w:w="2534" w:type="dxa"/>
                  <w:tcBorders>
                    <w:top w:val="single" w:color="auto" w:sz="4" w:space="0"/>
                    <w:left w:val="single" w:color="auto" w:sz="4" w:space="0"/>
                    <w:bottom w:val="single" w:color="auto" w:sz="4" w:space="0"/>
                    <w:right w:val="single" w:color="auto" w:sz="4" w:space="0"/>
                  </w:tcBorders>
                  <w:shd w:val="clear" w:color="auto" w:fill="auto"/>
                  <w:vAlign w:val="center"/>
                </w:tcPr>
                <w:p w14:paraId="71D4CBE5">
                  <w:pPr>
                    <w:widowControl/>
                    <w:snapToGrid w:val="0"/>
                    <w:spacing w:line="240" w:lineRule="auto"/>
                    <w:ind w:left="0" w:leftChars="0" w:firstLine="0" w:firstLineChars="0"/>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主要用途：</w:t>
                  </w:r>
                </w:p>
              </w:tc>
              <w:tc>
                <w:tcPr>
                  <w:tcW w:w="2403" w:type="dxa"/>
                  <w:tcBorders>
                    <w:top w:val="single" w:color="auto" w:sz="4" w:space="0"/>
                    <w:left w:val="single" w:color="auto" w:sz="4" w:space="0"/>
                    <w:bottom w:val="single" w:color="auto" w:sz="4" w:space="0"/>
                    <w:right w:val="nil"/>
                  </w:tcBorders>
                  <w:shd w:val="clear" w:color="auto" w:fill="auto"/>
                  <w:vAlign w:val="center"/>
                </w:tcPr>
                <w:p w14:paraId="0B9F0096">
                  <w:pPr>
                    <w:widowControl/>
                    <w:snapToGrid w:val="0"/>
                    <w:spacing w:line="240" w:lineRule="auto"/>
                    <w:ind w:left="0" w:leftChars="0" w:firstLine="0" w:firstLineChars="0"/>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用作柴油机的燃料等</w:t>
                  </w:r>
                </w:p>
              </w:tc>
            </w:tr>
            <w:tr w14:paraId="20A4F1ED">
              <w:tblPrEx>
                <w:tblCellMar>
                  <w:top w:w="0" w:type="dxa"/>
                  <w:left w:w="108" w:type="dxa"/>
                  <w:bottom w:w="0" w:type="dxa"/>
                  <w:right w:w="108" w:type="dxa"/>
                </w:tblCellMar>
              </w:tblPrEx>
              <w:trPr>
                <w:jc w:val="center"/>
              </w:trPr>
              <w:tc>
                <w:tcPr>
                  <w:tcW w:w="865" w:type="pct"/>
                  <w:tcBorders>
                    <w:top w:val="single" w:color="auto" w:sz="4" w:space="0"/>
                    <w:left w:val="nil"/>
                    <w:bottom w:val="single" w:color="auto" w:sz="4" w:space="0"/>
                    <w:right w:val="single" w:color="auto" w:sz="4" w:space="0"/>
                  </w:tcBorders>
                  <w:shd w:val="clear" w:color="auto" w:fill="auto"/>
                  <w:vAlign w:val="center"/>
                </w:tcPr>
                <w:p w14:paraId="3524B63F">
                  <w:pPr>
                    <w:widowControl/>
                    <w:snapToGrid w:val="0"/>
                    <w:spacing w:line="240" w:lineRule="auto"/>
                    <w:ind w:left="0" w:leftChars="0" w:firstLine="0" w:firstLineChars="0"/>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闪点（℃）：</w:t>
                  </w:r>
                </w:p>
              </w:tc>
              <w:tc>
                <w:tcPr>
                  <w:tcW w:w="1477" w:type="pct"/>
                  <w:tcBorders>
                    <w:top w:val="single" w:color="auto" w:sz="4" w:space="0"/>
                    <w:left w:val="single" w:color="auto" w:sz="4" w:space="0"/>
                    <w:bottom w:val="single" w:color="auto" w:sz="4" w:space="0"/>
                    <w:right w:val="single" w:color="auto" w:sz="4" w:space="0"/>
                  </w:tcBorders>
                  <w:shd w:val="clear" w:color="auto" w:fill="auto"/>
                  <w:vAlign w:val="center"/>
                </w:tcPr>
                <w:p w14:paraId="5C705AF0">
                  <w:pPr>
                    <w:widowControl/>
                    <w:snapToGrid w:val="0"/>
                    <w:spacing w:line="240" w:lineRule="auto"/>
                    <w:ind w:left="0" w:leftChars="0" w:firstLine="0" w:firstLineChars="0"/>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45~55℃</w:t>
                  </w:r>
                </w:p>
              </w:tc>
              <w:tc>
                <w:tcPr>
                  <w:tcW w:w="2534" w:type="dxa"/>
                  <w:tcBorders>
                    <w:top w:val="single" w:color="auto" w:sz="4" w:space="0"/>
                    <w:left w:val="single" w:color="auto" w:sz="4" w:space="0"/>
                    <w:bottom w:val="single" w:color="auto" w:sz="4" w:space="0"/>
                    <w:right w:val="single" w:color="auto" w:sz="4" w:space="0"/>
                  </w:tcBorders>
                  <w:shd w:val="clear" w:color="auto" w:fill="auto"/>
                  <w:vAlign w:val="center"/>
                </w:tcPr>
                <w:p w14:paraId="5D5D9109">
                  <w:pPr>
                    <w:widowControl/>
                    <w:snapToGrid w:val="0"/>
                    <w:spacing w:line="240" w:lineRule="auto"/>
                    <w:ind w:left="0" w:leftChars="0" w:firstLine="0" w:firstLineChars="0"/>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相对密度（水＝1）：</w:t>
                  </w:r>
                </w:p>
              </w:tc>
              <w:tc>
                <w:tcPr>
                  <w:tcW w:w="2403" w:type="dxa"/>
                  <w:tcBorders>
                    <w:top w:val="single" w:color="auto" w:sz="4" w:space="0"/>
                    <w:left w:val="single" w:color="auto" w:sz="4" w:space="0"/>
                    <w:bottom w:val="single" w:color="auto" w:sz="4" w:space="0"/>
                    <w:right w:val="nil"/>
                  </w:tcBorders>
                  <w:shd w:val="clear" w:color="auto" w:fill="auto"/>
                  <w:vAlign w:val="center"/>
                </w:tcPr>
                <w:p w14:paraId="6991FD07">
                  <w:pPr>
                    <w:widowControl/>
                    <w:snapToGrid w:val="0"/>
                    <w:spacing w:line="240" w:lineRule="auto"/>
                    <w:ind w:left="0" w:leftChars="0" w:firstLine="0" w:firstLineChars="0"/>
                    <w:contextualSpacing/>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0.8</w:t>
                  </w: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2~0.86</w:t>
                  </w:r>
                </w:p>
              </w:tc>
            </w:tr>
            <w:tr w14:paraId="318B3A62">
              <w:tblPrEx>
                <w:tblCellMar>
                  <w:top w:w="0" w:type="dxa"/>
                  <w:left w:w="108" w:type="dxa"/>
                  <w:bottom w:w="0" w:type="dxa"/>
                  <w:right w:w="108" w:type="dxa"/>
                </w:tblCellMar>
              </w:tblPrEx>
              <w:trPr>
                <w:jc w:val="center"/>
              </w:trPr>
              <w:tc>
                <w:tcPr>
                  <w:tcW w:w="865" w:type="pct"/>
                  <w:tcBorders>
                    <w:top w:val="single" w:color="auto" w:sz="4" w:space="0"/>
                    <w:left w:val="nil"/>
                    <w:bottom w:val="single" w:color="auto" w:sz="4" w:space="0"/>
                    <w:right w:val="single" w:color="auto" w:sz="4" w:space="0"/>
                  </w:tcBorders>
                  <w:shd w:val="clear" w:color="auto" w:fill="auto"/>
                  <w:vAlign w:val="center"/>
                </w:tcPr>
                <w:p w14:paraId="72E1D8A7">
                  <w:pPr>
                    <w:widowControl/>
                    <w:snapToGrid w:val="0"/>
                    <w:spacing w:line="240" w:lineRule="auto"/>
                    <w:ind w:left="0" w:leftChars="0" w:firstLine="0" w:firstLineChars="0"/>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沸点（℃）：</w:t>
                  </w:r>
                </w:p>
              </w:tc>
              <w:tc>
                <w:tcPr>
                  <w:tcW w:w="1477" w:type="pct"/>
                  <w:tcBorders>
                    <w:top w:val="single" w:color="auto" w:sz="4" w:space="0"/>
                    <w:left w:val="single" w:color="auto" w:sz="4" w:space="0"/>
                    <w:bottom w:val="single" w:color="auto" w:sz="4" w:space="0"/>
                    <w:right w:val="single" w:color="auto" w:sz="4" w:space="0"/>
                  </w:tcBorders>
                  <w:shd w:val="clear" w:color="auto" w:fill="auto"/>
                  <w:vAlign w:val="center"/>
                </w:tcPr>
                <w:p w14:paraId="5D416A6A">
                  <w:pPr>
                    <w:widowControl/>
                    <w:snapToGrid w:val="0"/>
                    <w:spacing w:line="240" w:lineRule="auto"/>
                    <w:ind w:left="0" w:leftChars="0" w:firstLine="0" w:firstLineChars="0"/>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200~350℃</w:t>
                  </w:r>
                </w:p>
              </w:tc>
              <w:tc>
                <w:tcPr>
                  <w:tcW w:w="2534" w:type="dxa"/>
                  <w:tcBorders>
                    <w:top w:val="single" w:color="auto" w:sz="4" w:space="0"/>
                    <w:left w:val="single" w:color="auto" w:sz="4" w:space="0"/>
                    <w:bottom w:val="single" w:color="auto" w:sz="4" w:space="0"/>
                    <w:right w:val="single" w:color="auto" w:sz="4" w:space="0"/>
                  </w:tcBorders>
                  <w:shd w:val="clear" w:color="auto" w:fill="auto"/>
                  <w:vAlign w:val="center"/>
                </w:tcPr>
                <w:p w14:paraId="319C4624">
                  <w:pPr>
                    <w:widowControl/>
                    <w:snapToGrid w:val="0"/>
                    <w:spacing w:line="240" w:lineRule="auto"/>
                    <w:ind w:left="0" w:leftChars="0" w:firstLine="0" w:firstLineChars="0"/>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爆炸上限%（V/V）：</w:t>
                  </w:r>
                </w:p>
              </w:tc>
              <w:tc>
                <w:tcPr>
                  <w:tcW w:w="2403" w:type="dxa"/>
                  <w:tcBorders>
                    <w:top w:val="single" w:color="auto" w:sz="4" w:space="0"/>
                    <w:left w:val="single" w:color="auto" w:sz="4" w:space="0"/>
                    <w:bottom w:val="single" w:color="auto" w:sz="4" w:space="0"/>
                    <w:right w:val="nil"/>
                  </w:tcBorders>
                  <w:shd w:val="clear" w:color="auto" w:fill="auto"/>
                  <w:vAlign w:val="center"/>
                </w:tcPr>
                <w:p w14:paraId="533BA08E">
                  <w:pPr>
                    <w:widowControl/>
                    <w:snapToGrid w:val="0"/>
                    <w:spacing w:line="240" w:lineRule="auto"/>
                    <w:ind w:left="0" w:leftChars="0" w:firstLine="0" w:firstLineChars="0"/>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4.5</w:t>
                  </w:r>
                </w:p>
              </w:tc>
            </w:tr>
            <w:tr w14:paraId="0EE2C187">
              <w:tblPrEx>
                <w:tblCellMar>
                  <w:top w:w="0" w:type="dxa"/>
                  <w:left w:w="108" w:type="dxa"/>
                  <w:bottom w:w="0" w:type="dxa"/>
                  <w:right w:w="108" w:type="dxa"/>
                </w:tblCellMar>
              </w:tblPrEx>
              <w:trPr>
                <w:jc w:val="center"/>
              </w:trPr>
              <w:tc>
                <w:tcPr>
                  <w:tcW w:w="865" w:type="pct"/>
                  <w:tcBorders>
                    <w:top w:val="single" w:color="auto" w:sz="4" w:space="0"/>
                    <w:left w:val="nil"/>
                    <w:bottom w:val="single" w:color="auto" w:sz="4" w:space="0"/>
                    <w:right w:val="single" w:color="auto" w:sz="4" w:space="0"/>
                  </w:tcBorders>
                  <w:shd w:val="clear" w:color="auto" w:fill="auto"/>
                  <w:vAlign w:val="center"/>
                </w:tcPr>
                <w:p w14:paraId="454B906D">
                  <w:pPr>
                    <w:widowControl/>
                    <w:snapToGrid w:val="0"/>
                    <w:spacing w:line="240" w:lineRule="auto"/>
                    <w:ind w:left="0" w:leftChars="0" w:firstLine="0" w:firstLineChars="0"/>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自燃点（℃）：</w:t>
                  </w:r>
                </w:p>
              </w:tc>
              <w:tc>
                <w:tcPr>
                  <w:tcW w:w="1477" w:type="pct"/>
                  <w:tcBorders>
                    <w:top w:val="single" w:color="auto" w:sz="4" w:space="0"/>
                    <w:left w:val="single" w:color="auto" w:sz="4" w:space="0"/>
                    <w:bottom w:val="single" w:color="auto" w:sz="4" w:space="0"/>
                    <w:right w:val="single" w:color="auto" w:sz="4" w:space="0"/>
                  </w:tcBorders>
                  <w:shd w:val="clear" w:color="auto" w:fill="auto"/>
                  <w:vAlign w:val="center"/>
                </w:tcPr>
                <w:p w14:paraId="7EF082BB">
                  <w:pPr>
                    <w:widowControl/>
                    <w:snapToGrid w:val="0"/>
                    <w:spacing w:line="240" w:lineRule="auto"/>
                    <w:ind w:left="0" w:leftChars="0" w:firstLine="0" w:firstLineChars="0"/>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257</w:t>
                  </w:r>
                </w:p>
              </w:tc>
              <w:tc>
                <w:tcPr>
                  <w:tcW w:w="2534" w:type="dxa"/>
                  <w:tcBorders>
                    <w:top w:val="single" w:color="auto" w:sz="4" w:space="0"/>
                    <w:left w:val="single" w:color="auto" w:sz="4" w:space="0"/>
                    <w:bottom w:val="single" w:color="auto" w:sz="4" w:space="0"/>
                    <w:right w:val="single" w:color="auto" w:sz="4" w:space="0"/>
                  </w:tcBorders>
                  <w:shd w:val="clear" w:color="auto" w:fill="auto"/>
                  <w:vAlign w:val="center"/>
                </w:tcPr>
                <w:p w14:paraId="6BD437AB">
                  <w:pPr>
                    <w:widowControl/>
                    <w:snapToGrid w:val="0"/>
                    <w:spacing w:line="240" w:lineRule="auto"/>
                    <w:ind w:left="0" w:leftChars="0" w:firstLine="0" w:firstLineChars="0"/>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爆炸下限%（V/V）：</w:t>
                  </w:r>
                </w:p>
              </w:tc>
              <w:tc>
                <w:tcPr>
                  <w:tcW w:w="2403" w:type="dxa"/>
                  <w:tcBorders>
                    <w:top w:val="single" w:color="auto" w:sz="4" w:space="0"/>
                    <w:left w:val="single" w:color="auto" w:sz="4" w:space="0"/>
                    <w:bottom w:val="single" w:color="auto" w:sz="4" w:space="0"/>
                    <w:right w:val="nil"/>
                  </w:tcBorders>
                  <w:shd w:val="clear" w:color="auto" w:fill="auto"/>
                  <w:vAlign w:val="center"/>
                </w:tcPr>
                <w:p w14:paraId="47687F26">
                  <w:pPr>
                    <w:widowControl/>
                    <w:snapToGrid w:val="0"/>
                    <w:spacing w:line="240" w:lineRule="auto"/>
                    <w:ind w:left="0" w:leftChars="0" w:firstLine="0" w:firstLineChars="0"/>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1.5</w:t>
                  </w:r>
                </w:p>
              </w:tc>
            </w:tr>
            <w:tr w14:paraId="26297FEC">
              <w:tblPrEx>
                <w:tblCellMar>
                  <w:top w:w="0" w:type="dxa"/>
                  <w:left w:w="108" w:type="dxa"/>
                  <w:bottom w:w="0" w:type="dxa"/>
                  <w:right w:w="108" w:type="dxa"/>
                </w:tblCellMar>
              </w:tblPrEx>
              <w:trPr>
                <w:jc w:val="center"/>
              </w:trPr>
              <w:tc>
                <w:tcPr>
                  <w:tcW w:w="865" w:type="pct"/>
                  <w:tcBorders>
                    <w:top w:val="single" w:color="auto" w:sz="4" w:space="0"/>
                    <w:left w:val="nil"/>
                    <w:bottom w:val="single" w:color="auto" w:sz="4" w:space="0"/>
                    <w:right w:val="single" w:color="auto" w:sz="4" w:space="0"/>
                  </w:tcBorders>
                  <w:shd w:val="clear" w:color="auto" w:fill="auto"/>
                  <w:vAlign w:val="center"/>
                </w:tcPr>
                <w:p w14:paraId="2C272106">
                  <w:pPr>
                    <w:widowControl/>
                    <w:snapToGrid w:val="0"/>
                    <w:spacing w:line="240" w:lineRule="auto"/>
                    <w:ind w:left="0" w:leftChars="0" w:firstLine="0" w:firstLineChars="0"/>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溶解性：</w:t>
                  </w:r>
                </w:p>
              </w:tc>
              <w:tc>
                <w:tcPr>
                  <w:tcW w:w="4134" w:type="pct"/>
                  <w:gridSpan w:val="3"/>
                  <w:tcBorders>
                    <w:top w:val="single" w:color="auto" w:sz="4" w:space="0"/>
                    <w:left w:val="single" w:color="auto" w:sz="4" w:space="0"/>
                    <w:bottom w:val="single" w:color="auto" w:sz="4" w:space="0"/>
                    <w:right w:val="nil"/>
                  </w:tcBorders>
                  <w:shd w:val="clear" w:color="auto" w:fill="auto"/>
                  <w:vAlign w:val="center"/>
                </w:tcPr>
                <w:p w14:paraId="742AB9DE">
                  <w:pPr>
                    <w:widowControl/>
                    <w:snapToGrid w:val="0"/>
                    <w:spacing w:line="240" w:lineRule="auto"/>
                    <w:ind w:left="0" w:leftChars="0" w:firstLine="0" w:firstLineChars="0"/>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不溶于水，易溶于苯、二硫化碳、醇，易溶于脂肪。</w:t>
                  </w:r>
                </w:p>
              </w:tc>
            </w:tr>
            <w:tr w14:paraId="7B48AC2E">
              <w:tblPrEx>
                <w:tblCellMar>
                  <w:top w:w="0" w:type="dxa"/>
                  <w:left w:w="108" w:type="dxa"/>
                  <w:bottom w:w="0" w:type="dxa"/>
                  <w:right w:w="108" w:type="dxa"/>
                </w:tblCellMar>
              </w:tblPrEx>
              <w:trPr>
                <w:jc w:val="center"/>
              </w:trPr>
              <w:tc>
                <w:tcPr>
                  <w:tcW w:w="9288" w:type="dxa"/>
                  <w:gridSpan w:val="4"/>
                  <w:tcBorders>
                    <w:top w:val="single" w:color="auto" w:sz="4" w:space="0"/>
                    <w:left w:val="nil"/>
                    <w:bottom w:val="single" w:color="auto" w:sz="4" w:space="0"/>
                    <w:right w:val="nil"/>
                  </w:tcBorders>
                  <w:shd w:val="clear" w:color="auto" w:fill="auto"/>
                  <w:vAlign w:val="center"/>
                </w:tcPr>
                <w:p w14:paraId="211D4765">
                  <w:pPr>
                    <w:widowControl/>
                    <w:snapToGrid w:val="0"/>
                    <w:spacing w:line="240" w:lineRule="auto"/>
                    <w:ind w:left="0" w:leftChars="0" w:firstLine="0" w:firstLineChars="0"/>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第三部分   稳定性及化学活性</w:t>
                  </w:r>
                </w:p>
              </w:tc>
            </w:tr>
            <w:tr w14:paraId="62337943">
              <w:tblPrEx>
                <w:tblCellMar>
                  <w:top w:w="0" w:type="dxa"/>
                  <w:left w:w="108" w:type="dxa"/>
                  <w:bottom w:w="0" w:type="dxa"/>
                  <w:right w:w="108" w:type="dxa"/>
                </w:tblCellMar>
              </w:tblPrEx>
              <w:trPr>
                <w:jc w:val="center"/>
              </w:trPr>
              <w:tc>
                <w:tcPr>
                  <w:tcW w:w="865" w:type="pct"/>
                  <w:tcBorders>
                    <w:top w:val="single" w:color="auto" w:sz="4" w:space="0"/>
                    <w:left w:val="nil"/>
                    <w:bottom w:val="single" w:color="auto" w:sz="4" w:space="0"/>
                    <w:right w:val="single" w:color="auto" w:sz="4" w:space="0"/>
                  </w:tcBorders>
                  <w:shd w:val="clear" w:color="auto" w:fill="auto"/>
                  <w:vAlign w:val="center"/>
                </w:tcPr>
                <w:p w14:paraId="2E024D49">
                  <w:pPr>
                    <w:widowControl/>
                    <w:snapToGrid w:val="0"/>
                    <w:spacing w:line="240" w:lineRule="auto"/>
                    <w:ind w:left="0" w:leftChars="0" w:firstLine="0" w:firstLineChars="0"/>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稳定性：</w:t>
                  </w:r>
                </w:p>
              </w:tc>
              <w:tc>
                <w:tcPr>
                  <w:tcW w:w="1477" w:type="pct"/>
                  <w:tcBorders>
                    <w:top w:val="single" w:color="auto" w:sz="4" w:space="0"/>
                    <w:left w:val="single" w:color="auto" w:sz="4" w:space="0"/>
                    <w:bottom w:val="single" w:color="auto" w:sz="4" w:space="0"/>
                    <w:right w:val="single" w:color="auto" w:sz="4" w:space="0"/>
                  </w:tcBorders>
                  <w:shd w:val="clear" w:color="auto" w:fill="auto"/>
                  <w:vAlign w:val="center"/>
                </w:tcPr>
                <w:p w14:paraId="295BA4A4">
                  <w:pPr>
                    <w:widowControl/>
                    <w:snapToGrid w:val="0"/>
                    <w:spacing w:line="240" w:lineRule="auto"/>
                    <w:ind w:left="0" w:leftChars="0" w:firstLine="0" w:firstLineChars="0"/>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稳定</w:t>
                  </w:r>
                </w:p>
              </w:tc>
              <w:tc>
                <w:tcPr>
                  <w:tcW w:w="2534" w:type="dxa"/>
                  <w:tcBorders>
                    <w:top w:val="single" w:color="auto" w:sz="4" w:space="0"/>
                    <w:left w:val="single" w:color="auto" w:sz="4" w:space="0"/>
                    <w:bottom w:val="single" w:color="auto" w:sz="4" w:space="0"/>
                    <w:right w:val="single" w:color="auto" w:sz="4" w:space="0"/>
                  </w:tcBorders>
                  <w:shd w:val="clear" w:color="auto" w:fill="auto"/>
                  <w:vAlign w:val="center"/>
                </w:tcPr>
                <w:p w14:paraId="3BC7E71E">
                  <w:pPr>
                    <w:widowControl/>
                    <w:snapToGrid w:val="0"/>
                    <w:spacing w:line="240" w:lineRule="auto"/>
                    <w:ind w:left="0" w:leftChars="0" w:firstLine="0" w:firstLineChars="0"/>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避免接触的条件：</w:t>
                  </w:r>
                </w:p>
              </w:tc>
              <w:tc>
                <w:tcPr>
                  <w:tcW w:w="2403" w:type="dxa"/>
                  <w:tcBorders>
                    <w:top w:val="single" w:color="auto" w:sz="4" w:space="0"/>
                    <w:left w:val="single" w:color="auto" w:sz="4" w:space="0"/>
                    <w:bottom w:val="single" w:color="auto" w:sz="4" w:space="0"/>
                    <w:right w:val="nil"/>
                  </w:tcBorders>
                  <w:shd w:val="clear" w:color="auto" w:fill="auto"/>
                  <w:vAlign w:val="center"/>
                </w:tcPr>
                <w:p w14:paraId="7EFA44EF">
                  <w:pPr>
                    <w:widowControl/>
                    <w:snapToGrid w:val="0"/>
                    <w:spacing w:line="240" w:lineRule="auto"/>
                    <w:ind w:left="0" w:leftChars="0" w:firstLine="0" w:firstLineChars="0"/>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明火、高热</w:t>
                  </w:r>
                </w:p>
              </w:tc>
            </w:tr>
            <w:tr w14:paraId="5198BAB1">
              <w:tblPrEx>
                <w:tblCellMar>
                  <w:top w:w="0" w:type="dxa"/>
                  <w:left w:w="108" w:type="dxa"/>
                  <w:bottom w:w="0" w:type="dxa"/>
                  <w:right w:w="108" w:type="dxa"/>
                </w:tblCellMar>
              </w:tblPrEx>
              <w:trPr>
                <w:jc w:val="center"/>
              </w:trPr>
              <w:tc>
                <w:tcPr>
                  <w:tcW w:w="865" w:type="pct"/>
                  <w:tcBorders>
                    <w:top w:val="single" w:color="auto" w:sz="4" w:space="0"/>
                    <w:left w:val="nil"/>
                    <w:bottom w:val="single" w:color="auto" w:sz="4" w:space="0"/>
                    <w:right w:val="single" w:color="auto" w:sz="4" w:space="0"/>
                  </w:tcBorders>
                  <w:shd w:val="clear" w:color="auto" w:fill="auto"/>
                  <w:vAlign w:val="center"/>
                </w:tcPr>
                <w:p w14:paraId="6BBFE3AB">
                  <w:pPr>
                    <w:widowControl/>
                    <w:snapToGrid w:val="0"/>
                    <w:spacing w:line="240" w:lineRule="auto"/>
                    <w:ind w:left="0" w:leftChars="0" w:firstLine="0" w:firstLineChars="0"/>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禁配物：</w:t>
                  </w:r>
                </w:p>
              </w:tc>
              <w:tc>
                <w:tcPr>
                  <w:tcW w:w="1477" w:type="pct"/>
                  <w:tcBorders>
                    <w:top w:val="single" w:color="auto" w:sz="4" w:space="0"/>
                    <w:left w:val="single" w:color="auto" w:sz="4" w:space="0"/>
                    <w:bottom w:val="single" w:color="auto" w:sz="4" w:space="0"/>
                    <w:right w:val="single" w:color="auto" w:sz="4" w:space="0"/>
                  </w:tcBorders>
                  <w:shd w:val="clear" w:color="auto" w:fill="auto"/>
                  <w:vAlign w:val="center"/>
                </w:tcPr>
                <w:p w14:paraId="3B8DF947">
                  <w:pPr>
                    <w:widowControl/>
                    <w:snapToGrid w:val="0"/>
                    <w:spacing w:line="240" w:lineRule="auto"/>
                    <w:ind w:left="0" w:leftChars="0" w:firstLine="0" w:firstLineChars="0"/>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强氧化剂、卤素</w:t>
                  </w:r>
                </w:p>
              </w:tc>
              <w:tc>
                <w:tcPr>
                  <w:tcW w:w="2534" w:type="dxa"/>
                  <w:tcBorders>
                    <w:top w:val="single" w:color="auto" w:sz="4" w:space="0"/>
                    <w:left w:val="single" w:color="auto" w:sz="4" w:space="0"/>
                    <w:bottom w:val="single" w:color="auto" w:sz="4" w:space="0"/>
                    <w:right w:val="single" w:color="auto" w:sz="4" w:space="0"/>
                  </w:tcBorders>
                  <w:shd w:val="clear" w:color="auto" w:fill="auto"/>
                  <w:vAlign w:val="center"/>
                </w:tcPr>
                <w:p w14:paraId="50A0F0D5">
                  <w:pPr>
                    <w:widowControl/>
                    <w:snapToGrid w:val="0"/>
                    <w:spacing w:line="240" w:lineRule="auto"/>
                    <w:ind w:left="0" w:leftChars="0" w:firstLine="0" w:firstLineChars="0"/>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聚合危害：</w:t>
                  </w:r>
                </w:p>
              </w:tc>
              <w:tc>
                <w:tcPr>
                  <w:tcW w:w="2403" w:type="dxa"/>
                  <w:tcBorders>
                    <w:top w:val="single" w:color="auto" w:sz="4" w:space="0"/>
                    <w:left w:val="single" w:color="auto" w:sz="4" w:space="0"/>
                    <w:bottom w:val="single" w:color="auto" w:sz="4" w:space="0"/>
                    <w:right w:val="nil"/>
                  </w:tcBorders>
                  <w:shd w:val="clear" w:color="auto" w:fill="auto"/>
                  <w:vAlign w:val="center"/>
                </w:tcPr>
                <w:p w14:paraId="494405A1">
                  <w:pPr>
                    <w:widowControl/>
                    <w:snapToGrid w:val="0"/>
                    <w:spacing w:line="240" w:lineRule="auto"/>
                    <w:ind w:left="0" w:leftChars="0" w:firstLine="0" w:firstLineChars="0"/>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不聚合</w:t>
                  </w:r>
                </w:p>
              </w:tc>
            </w:tr>
            <w:tr w14:paraId="7711474C">
              <w:tblPrEx>
                <w:tblCellMar>
                  <w:top w:w="0" w:type="dxa"/>
                  <w:left w:w="108" w:type="dxa"/>
                  <w:bottom w:w="0" w:type="dxa"/>
                  <w:right w:w="108" w:type="dxa"/>
                </w:tblCellMar>
              </w:tblPrEx>
              <w:trPr>
                <w:jc w:val="center"/>
              </w:trPr>
              <w:tc>
                <w:tcPr>
                  <w:tcW w:w="865" w:type="pct"/>
                  <w:tcBorders>
                    <w:top w:val="single" w:color="auto" w:sz="4" w:space="0"/>
                    <w:left w:val="nil"/>
                    <w:bottom w:val="single" w:color="auto" w:sz="4" w:space="0"/>
                    <w:right w:val="single" w:color="auto" w:sz="4" w:space="0"/>
                  </w:tcBorders>
                  <w:shd w:val="clear" w:color="auto" w:fill="auto"/>
                  <w:vAlign w:val="center"/>
                </w:tcPr>
                <w:p w14:paraId="6B3F03E5">
                  <w:pPr>
                    <w:widowControl/>
                    <w:snapToGrid w:val="0"/>
                    <w:spacing w:line="240" w:lineRule="auto"/>
                    <w:ind w:left="0" w:leftChars="0" w:firstLine="0" w:firstLineChars="0"/>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分解产物：</w:t>
                  </w:r>
                </w:p>
              </w:tc>
              <w:tc>
                <w:tcPr>
                  <w:tcW w:w="4134" w:type="pct"/>
                  <w:gridSpan w:val="3"/>
                  <w:tcBorders>
                    <w:top w:val="single" w:color="auto" w:sz="4" w:space="0"/>
                    <w:left w:val="single" w:color="auto" w:sz="4" w:space="0"/>
                    <w:bottom w:val="single" w:color="auto" w:sz="4" w:space="0"/>
                    <w:right w:val="nil"/>
                  </w:tcBorders>
                  <w:shd w:val="clear" w:color="auto" w:fill="auto"/>
                  <w:vAlign w:val="center"/>
                </w:tcPr>
                <w:p w14:paraId="6B856219">
                  <w:pPr>
                    <w:widowControl/>
                    <w:snapToGrid w:val="0"/>
                    <w:spacing w:line="240" w:lineRule="auto"/>
                    <w:ind w:left="0" w:leftChars="0" w:firstLine="0" w:firstLineChars="0"/>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一氧化碳、二氧化碳</w:t>
                  </w:r>
                </w:p>
              </w:tc>
            </w:tr>
            <w:tr w14:paraId="49D52660">
              <w:tblPrEx>
                <w:tblCellMar>
                  <w:top w:w="0" w:type="dxa"/>
                  <w:left w:w="108" w:type="dxa"/>
                  <w:bottom w:w="0" w:type="dxa"/>
                  <w:right w:w="108" w:type="dxa"/>
                </w:tblCellMar>
              </w:tblPrEx>
              <w:trPr>
                <w:jc w:val="center"/>
              </w:trPr>
              <w:tc>
                <w:tcPr>
                  <w:tcW w:w="9288" w:type="dxa"/>
                  <w:gridSpan w:val="4"/>
                  <w:tcBorders>
                    <w:top w:val="single" w:color="auto" w:sz="4" w:space="0"/>
                    <w:left w:val="nil"/>
                    <w:bottom w:val="single" w:color="auto" w:sz="4" w:space="0"/>
                    <w:right w:val="nil"/>
                  </w:tcBorders>
                  <w:shd w:val="clear" w:color="auto" w:fill="auto"/>
                  <w:vAlign w:val="center"/>
                </w:tcPr>
                <w:p w14:paraId="6CE9364D">
                  <w:pPr>
                    <w:widowControl/>
                    <w:snapToGrid w:val="0"/>
                    <w:spacing w:line="240" w:lineRule="auto"/>
                    <w:ind w:left="0" w:leftChars="0" w:firstLine="0" w:firstLineChars="0"/>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第四部分   毒理学资料</w:t>
                  </w:r>
                </w:p>
              </w:tc>
            </w:tr>
            <w:tr w14:paraId="26F01181">
              <w:tblPrEx>
                <w:tblCellMar>
                  <w:top w:w="0" w:type="dxa"/>
                  <w:left w:w="108" w:type="dxa"/>
                  <w:bottom w:w="0" w:type="dxa"/>
                  <w:right w:w="108" w:type="dxa"/>
                </w:tblCellMar>
              </w:tblPrEx>
              <w:trPr>
                <w:jc w:val="center"/>
              </w:trPr>
              <w:tc>
                <w:tcPr>
                  <w:tcW w:w="865" w:type="pct"/>
                  <w:tcBorders>
                    <w:top w:val="single" w:color="auto" w:sz="4" w:space="0"/>
                    <w:left w:val="nil"/>
                    <w:bottom w:val="single" w:color="auto" w:sz="4" w:space="0"/>
                    <w:right w:val="single" w:color="auto" w:sz="4" w:space="0"/>
                  </w:tcBorders>
                  <w:shd w:val="clear" w:color="auto" w:fill="auto"/>
                  <w:vAlign w:val="center"/>
                </w:tcPr>
                <w:p w14:paraId="112E1B34">
                  <w:pPr>
                    <w:widowControl/>
                    <w:snapToGrid w:val="0"/>
                    <w:spacing w:line="240" w:lineRule="auto"/>
                    <w:ind w:left="0" w:leftChars="0" w:firstLine="0" w:firstLineChars="0"/>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急性中毒：</w:t>
                  </w:r>
                </w:p>
              </w:tc>
              <w:tc>
                <w:tcPr>
                  <w:tcW w:w="4134" w:type="pct"/>
                  <w:gridSpan w:val="3"/>
                  <w:tcBorders>
                    <w:top w:val="single" w:color="auto" w:sz="4" w:space="0"/>
                    <w:left w:val="single" w:color="auto" w:sz="4" w:space="0"/>
                    <w:bottom w:val="single" w:color="auto" w:sz="4" w:space="0"/>
                    <w:right w:val="nil"/>
                  </w:tcBorders>
                  <w:shd w:val="clear" w:color="auto" w:fill="auto"/>
                  <w:vAlign w:val="center"/>
                </w:tcPr>
                <w:p w14:paraId="30D643B4">
                  <w:pPr>
                    <w:widowControl/>
                    <w:snapToGrid w:val="0"/>
                    <w:spacing w:line="240" w:lineRule="auto"/>
                    <w:ind w:left="0" w:leftChars="0" w:firstLine="0" w:firstLineChars="0"/>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皮肤接触柴油可引起接触性皮炎、油性痤疮，吸入可引起吸入性肺炎，能经胎盘进入胎儿血中。</w:t>
                  </w:r>
                </w:p>
              </w:tc>
            </w:tr>
            <w:tr w14:paraId="0C1DC3D8">
              <w:tblPrEx>
                <w:tblCellMar>
                  <w:top w:w="0" w:type="dxa"/>
                  <w:left w:w="108" w:type="dxa"/>
                  <w:bottom w:w="0" w:type="dxa"/>
                  <w:right w:w="108" w:type="dxa"/>
                </w:tblCellMar>
              </w:tblPrEx>
              <w:trPr>
                <w:jc w:val="center"/>
              </w:trPr>
              <w:tc>
                <w:tcPr>
                  <w:tcW w:w="865" w:type="pct"/>
                  <w:tcBorders>
                    <w:top w:val="single" w:color="auto" w:sz="4" w:space="0"/>
                    <w:left w:val="nil"/>
                    <w:bottom w:val="single" w:color="auto" w:sz="4" w:space="0"/>
                    <w:right w:val="single" w:color="auto" w:sz="4" w:space="0"/>
                  </w:tcBorders>
                  <w:shd w:val="clear" w:color="auto" w:fill="auto"/>
                  <w:vAlign w:val="center"/>
                </w:tcPr>
                <w:p w14:paraId="62DC55C8">
                  <w:pPr>
                    <w:widowControl/>
                    <w:snapToGrid w:val="0"/>
                    <w:spacing w:line="240" w:lineRule="auto"/>
                    <w:ind w:left="0" w:leftChars="0" w:firstLine="0" w:firstLineChars="0"/>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慢性中毒：</w:t>
                  </w:r>
                </w:p>
              </w:tc>
              <w:tc>
                <w:tcPr>
                  <w:tcW w:w="4134" w:type="pct"/>
                  <w:gridSpan w:val="3"/>
                  <w:tcBorders>
                    <w:top w:val="single" w:color="auto" w:sz="4" w:space="0"/>
                    <w:left w:val="single" w:color="auto" w:sz="4" w:space="0"/>
                    <w:bottom w:val="single" w:color="auto" w:sz="4" w:space="0"/>
                    <w:right w:val="nil"/>
                  </w:tcBorders>
                  <w:shd w:val="clear" w:color="auto" w:fill="auto"/>
                  <w:vAlign w:val="center"/>
                </w:tcPr>
                <w:p w14:paraId="39D3C448">
                  <w:pPr>
                    <w:widowControl/>
                    <w:snapToGrid w:val="0"/>
                    <w:spacing w:line="240" w:lineRule="auto"/>
                    <w:ind w:left="0" w:leftChars="0" w:firstLine="0" w:firstLineChars="0"/>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柴油废气可引起眼、鼻刺激症状，头痛。</w:t>
                  </w:r>
                </w:p>
              </w:tc>
            </w:tr>
            <w:tr w14:paraId="677E6509">
              <w:tblPrEx>
                <w:tblCellMar>
                  <w:top w:w="0" w:type="dxa"/>
                  <w:left w:w="108" w:type="dxa"/>
                  <w:bottom w:w="0" w:type="dxa"/>
                  <w:right w:w="108" w:type="dxa"/>
                </w:tblCellMar>
              </w:tblPrEx>
              <w:trPr>
                <w:jc w:val="center"/>
              </w:trPr>
              <w:tc>
                <w:tcPr>
                  <w:tcW w:w="865" w:type="pct"/>
                  <w:tcBorders>
                    <w:top w:val="single" w:color="auto" w:sz="4" w:space="0"/>
                    <w:left w:val="nil"/>
                    <w:bottom w:val="single" w:color="auto" w:sz="4" w:space="0"/>
                    <w:right w:val="single" w:color="auto" w:sz="4" w:space="0"/>
                  </w:tcBorders>
                  <w:shd w:val="clear" w:color="auto" w:fill="auto"/>
                  <w:vAlign w:val="center"/>
                </w:tcPr>
                <w:p w14:paraId="6CEEE618">
                  <w:pPr>
                    <w:widowControl/>
                    <w:snapToGrid w:val="0"/>
                    <w:spacing w:line="240" w:lineRule="auto"/>
                    <w:ind w:left="0" w:leftChars="0" w:firstLine="0" w:firstLineChars="0"/>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刺激性：</w:t>
                  </w:r>
                </w:p>
              </w:tc>
              <w:tc>
                <w:tcPr>
                  <w:tcW w:w="4134" w:type="pct"/>
                  <w:gridSpan w:val="3"/>
                  <w:tcBorders>
                    <w:top w:val="single" w:color="auto" w:sz="4" w:space="0"/>
                    <w:left w:val="single" w:color="auto" w:sz="4" w:space="0"/>
                    <w:bottom w:val="single" w:color="auto" w:sz="4" w:space="0"/>
                    <w:right w:val="nil"/>
                  </w:tcBorders>
                  <w:shd w:val="clear" w:color="auto" w:fill="auto"/>
                  <w:vAlign w:val="center"/>
                </w:tcPr>
                <w:p w14:paraId="23FE2281">
                  <w:pPr>
                    <w:widowControl/>
                    <w:snapToGrid w:val="0"/>
                    <w:spacing w:line="240" w:lineRule="auto"/>
                    <w:ind w:left="0" w:leftChars="0" w:firstLine="0" w:firstLineChars="0"/>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具有刺激作用</w:t>
                  </w:r>
                </w:p>
              </w:tc>
            </w:tr>
            <w:tr w14:paraId="30E966AD">
              <w:tblPrEx>
                <w:tblCellMar>
                  <w:top w:w="0" w:type="dxa"/>
                  <w:left w:w="108" w:type="dxa"/>
                  <w:bottom w:w="0" w:type="dxa"/>
                  <w:right w:w="108" w:type="dxa"/>
                </w:tblCellMar>
              </w:tblPrEx>
              <w:trPr>
                <w:jc w:val="center"/>
              </w:trPr>
              <w:tc>
                <w:tcPr>
                  <w:tcW w:w="865" w:type="pct"/>
                  <w:tcBorders>
                    <w:top w:val="single" w:color="auto" w:sz="4" w:space="0"/>
                    <w:left w:val="nil"/>
                    <w:bottom w:val="single" w:color="auto" w:sz="12" w:space="0"/>
                    <w:right w:val="single" w:color="auto" w:sz="4" w:space="0"/>
                  </w:tcBorders>
                  <w:shd w:val="clear" w:color="auto" w:fill="auto"/>
                  <w:vAlign w:val="center"/>
                </w:tcPr>
                <w:p w14:paraId="76F6F09E">
                  <w:pPr>
                    <w:widowControl/>
                    <w:snapToGrid w:val="0"/>
                    <w:spacing w:line="240" w:lineRule="auto"/>
                    <w:ind w:left="0" w:leftChars="0" w:firstLine="0" w:firstLineChars="0"/>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最高容许浓度</w:t>
                  </w:r>
                </w:p>
              </w:tc>
              <w:tc>
                <w:tcPr>
                  <w:tcW w:w="4134" w:type="pct"/>
                  <w:gridSpan w:val="3"/>
                  <w:tcBorders>
                    <w:top w:val="single" w:color="auto" w:sz="4" w:space="0"/>
                    <w:left w:val="single" w:color="auto" w:sz="4" w:space="0"/>
                    <w:bottom w:val="single" w:color="auto" w:sz="12" w:space="0"/>
                    <w:right w:val="nil"/>
                  </w:tcBorders>
                  <w:shd w:val="clear" w:color="auto" w:fill="auto"/>
                  <w:vAlign w:val="center"/>
                </w:tcPr>
                <w:p w14:paraId="7A79E23E">
                  <w:pPr>
                    <w:widowControl/>
                    <w:snapToGrid w:val="0"/>
                    <w:spacing w:line="240" w:lineRule="auto"/>
                    <w:ind w:left="0" w:leftChars="0" w:firstLine="0" w:firstLineChars="0"/>
                    <w:contextualSpacing/>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目前无标准</w:t>
                  </w:r>
                </w:p>
              </w:tc>
            </w:tr>
          </w:tbl>
          <w:p w14:paraId="42DF03CA">
            <w:pPr>
              <w:pStyle w:val="54"/>
              <w:numPr>
                <w:ilvl w:val="0"/>
                <w:numId w:val="0"/>
              </w:numPr>
              <w:ind w:leftChars="0" w:firstLine="480" w:firstLineChars="200"/>
              <w:rPr>
                <w:rFonts w:hint="eastAsia"/>
                <w:b/>
                <w:highlight w:val="none"/>
                <w:lang w:val="en-US" w:eastAsia="zh-CN"/>
              </w:rPr>
            </w:pPr>
            <w:r>
              <w:rPr>
                <w:rFonts w:hint="eastAsia"/>
                <w:bCs/>
                <w:color w:val="FF0000"/>
                <w:sz w:val="24"/>
              </w:rPr>
              <w:t>清洗剂</w:t>
            </w:r>
            <w:r>
              <w:rPr>
                <w:rFonts w:hint="eastAsia"/>
                <w:bCs/>
                <w:color w:val="FF0000"/>
                <w:sz w:val="24"/>
                <w:lang w:val="en-US" w:eastAsia="zh-CN"/>
              </w:rPr>
              <w:t>理化性质</w:t>
            </w:r>
            <w:r>
              <w:rPr>
                <w:rFonts w:hint="eastAsia"/>
                <w:bCs/>
                <w:color w:val="FF0000"/>
                <w:sz w:val="24"/>
              </w:rPr>
              <w:t>：由表面活性剂、各种助剂、辅助剂配制成的，在洗涤物体表面上的污垢时，能降低水溶液的表面张力，提高去污效果。主要成分：磷酸三钠6~8%、十二烷基苯磺酸钠3~3.5%、精制松节油1~1.3%、壬基酚聚氧乙烯醚2.2~3%、碳酸氢钠23~25%、烷基苄氧化胺水8~11%、硅烷酮乳化液8~13%等。</w:t>
            </w:r>
          </w:p>
          <w:p w14:paraId="2F0CF3F8">
            <w:pPr>
              <w:pStyle w:val="54"/>
              <w:numPr>
                <w:ilvl w:val="0"/>
                <w:numId w:val="0"/>
              </w:numPr>
              <w:ind w:leftChars="0" w:firstLine="482" w:firstLineChars="200"/>
              <w:rPr>
                <w:b/>
                <w:highlight w:val="none"/>
              </w:rPr>
            </w:pPr>
            <w:r>
              <w:rPr>
                <w:rFonts w:hint="eastAsia"/>
                <w:b/>
                <w:highlight w:val="none"/>
                <w:lang w:val="en-US" w:eastAsia="zh-CN"/>
              </w:rPr>
              <w:t>6、</w:t>
            </w:r>
            <w:r>
              <w:rPr>
                <w:b/>
                <w:highlight w:val="none"/>
              </w:rPr>
              <w:t>主要生产设备</w:t>
            </w:r>
          </w:p>
          <w:p w14:paraId="6F6B4F42">
            <w:pPr>
              <w:ind w:firstLine="480"/>
              <w:rPr>
                <w:highlight w:val="none"/>
              </w:rPr>
            </w:pPr>
            <w:r>
              <w:rPr>
                <w:rFonts w:hint="eastAsia"/>
                <w:highlight w:val="none"/>
                <w:lang w:val="en-US" w:eastAsia="zh-CN"/>
              </w:rPr>
              <w:t>本</w:t>
            </w:r>
            <w:r>
              <w:rPr>
                <w:rFonts w:hint="eastAsia"/>
                <w:highlight w:val="none"/>
              </w:rPr>
              <w:t>项目主要生产设备</w:t>
            </w:r>
            <w:r>
              <w:rPr>
                <w:rFonts w:hint="eastAsia"/>
                <w:highlight w:val="none"/>
                <w:lang w:val="en-US" w:eastAsia="zh-CN"/>
              </w:rPr>
              <w:t>清单</w:t>
            </w:r>
            <w:r>
              <w:rPr>
                <w:rFonts w:hint="eastAsia"/>
                <w:highlight w:val="none"/>
              </w:rPr>
              <w:t>详见表</w:t>
            </w:r>
            <w:r>
              <w:rPr>
                <w:rFonts w:hint="eastAsia"/>
                <w:highlight w:val="none"/>
                <w:lang w:val="en-US" w:eastAsia="zh-CN"/>
              </w:rPr>
              <w:t>2-6</w:t>
            </w:r>
            <w:r>
              <w:rPr>
                <w:rFonts w:hint="eastAsia"/>
                <w:highlight w:val="none"/>
              </w:rPr>
              <w:t>。</w:t>
            </w:r>
          </w:p>
          <w:p w14:paraId="0739F593">
            <w:pPr>
              <w:pStyle w:val="49"/>
              <w:keepNext w:val="0"/>
              <w:keepLines w:val="0"/>
              <w:pageBreakBefore w:val="0"/>
              <w:widowControl w:val="0"/>
              <w:kinsoku/>
              <w:wordWrap/>
              <w:overflowPunct/>
              <w:topLinePunct w:val="0"/>
              <w:autoSpaceDE/>
              <w:autoSpaceDN/>
              <w:bidi w:val="0"/>
              <w:adjustRightInd/>
              <w:snapToGrid/>
              <w:textAlignment w:val="auto"/>
              <w:rPr>
                <w:b/>
                <w:highlight w:val="none"/>
              </w:rPr>
            </w:pPr>
            <w:r>
              <w:rPr>
                <w:b/>
                <w:highlight w:val="none"/>
              </w:rPr>
              <w:t>表</w:t>
            </w:r>
            <w:r>
              <w:rPr>
                <w:rFonts w:hint="eastAsia"/>
                <w:b/>
                <w:highlight w:val="none"/>
              </w:rPr>
              <w:t>2-</w:t>
            </w:r>
            <w:r>
              <w:rPr>
                <w:rFonts w:hint="eastAsia"/>
                <w:b/>
                <w:highlight w:val="none"/>
                <w:lang w:val="en-US" w:eastAsia="zh-CN"/>
              </w:rPr>
              <w:t>6   项目</w:t>
            </w:r>
            <w:r>
              <w:rPr>
                <w:b/>
                <w:highlight w:val="none"/>
              </w:rPr>
              <w:t>主要生产设备一览表</w:t>
            </w:r>
          </w:p>
          <w:tbl>
            <w:tblPr>
              <w:tblStyle w:val="3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9"/>
              <w:gridCol w:w="2441"/>
              <w:gridCol w:w="2822"/>
              <w:gridCol w:w="1282"/>
              <w:gridCol w:w="2064"/>
            </w:tblGrid>
            <w:tr w14:paraId="2D31C6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5" w:type="pct"/>
                  <w:vAlign w:val="center"/>
                </w:tcPr>
                <w:p w14:paraId="5AB18C17">
                  <w:pPr>
                    <w:pStyle w:val="49"/>
                    <w:keepNext w:val="0"/>
                    <w:keepLines w:val="0"/>
                    <w:pageBreakBefore w:val="0"/>
                    <w:widowControl w:val="0"/>
                    <w:kinsoku/>
                    <w:wordWrap/>
                    <w:overflowPunct/>
                    <w:topLinePunct w:val="0"/>
                    <w:autoSpaceDE/>
                    <w:autoSpaceDN/>
                    <w:bidi w:val="0"/>
                    <w:adjustRightInd/>
                    <w:snapToGrid w:val="0"/>
                    <w:textAlignment w:val="auto"/>
                    <w:rPr>
                      <w:b/>
                      <w:highlight w:val="none"/>
                    </w:rPr>
                  </w:pPr>
                  <w:r>
                    <w:rPr>
                      <w:b/>
                      <w:highlight w:val="none"/>
                    </w:rPr>
                    <w:t>序号</w:t>
                  </w:r>
                </w:p>
              </w:tc>
              <w:tc>
                <w:tcPr>
                  <w:tcW w:w="1314" w:type="pct"/>
                  <w:vAlign w:val="center"/>
                </w:tcPr>
                <w:p w14:paraId="65561322">
                  <w:pPr>
                    <w:pStyle w:val="49"/>
                    <w:keepNext w:val="0"/>
                    <w:keepLines w:val="0"/>
                    <w:pageBreakBefore w:val="0"/>
                    <w:widowControl w:val="0"/>
                    <w:kinsoku/>
                    <w:wordWrap/>
                    <w:overflowPunct/>
                    <w:topLinePunct w:val="0"/>
                    <w:autoSpaceDE/>
                    <w:autoSpaceDN/>
                    <w:bidi w:val="0"/>
                    <w:adjustRightInd/>
                    <w:snapToGrid w:val="0"/>
                    <w:textAlignment w:val="auto"/>
                    <w:rPr>
                      <w:b/>
                      <w:highlight w:val="none"/>
                    </w:rPr>
                  </w:pPr>
                  <w:r>
                    <w:rPr>
                      <w:b/>
                      <w:highlight w:val="none"/>
                    </w:rPr>
                    <w:t>设备名称</w:t>
                  </w:r>
                </w:p>
              </w:tc>
              <w:tc>
                <w:tcPr>
                  <w:tcW w:w="1519" w:type="pct"/>
                  <w:vAlign w:val="center"/>
                </w:tcPr>
                <w:p w14:paraId="6438C50F">
                  <w:pPr>
                    <w:pStyle w:val="49"/>
                    <w:keepNext w:val="0"/>
                    <w:keepLines w:val="0"/>
                    <w:pageBreakBefore w:val="0"/>
                    <w:widowControl w:val="0"/>
                    <w:kinsoku/>
                    <w:wordWrap/>
                    <w:overflowPunct/>
                    <w:topLinePunct w:val="0"/>
                    <w:autoSpaceDE/>
                    <w:autoSpaceDN/>
                    <w:bidi w:val="0"/>
                    <w:adjustRightInd/>
                    <w:snapToGrid w:val="0"/>
                    <w:textAlignment w:val="auto"/>
                    <w:rPr>
                      <w:b/>
                      <w:highlight w:val="none"/>
                    </w:rPr>
                  </w:pPr>
                  <w:r>
                    <w:rPr>
                      <w:rFonts w:hint="eastAsia"/>
                      <w:b/>
                      <w:highlight w:val="none"/>
                      <w:lang w:val="en-US" w:eastAsia="zh-CN"/>
                    </w:rPr>
                    <w:t>规格</w:t>
                  </w:r>
                  <w:r>
                    <w:rPr>
                      <w:b/>
                      <w:highlight w:val="none"/>
                    </w:rPr>
                    <w:t>型号</w:t>
                  </w:r>
                </w:p>
              </w:tc>
              <w:tc>
                <w:tcPr>
                  <w:tcW w:w="690" w:type="pct"/>
                  <w:vAlign w:val="center"/>
                </w:tcPr>
                <w:p w14:paraId="7E137202">
                  <w:pPr>
                    <w:pStyle w:val="49"/>
                    <w:keepNext w:val="0"/>
                    <w:keepLines w:val="0"/>
                    <w:pageBreakBefore w:val="0"/>
                    <w:widowControl w:val="0"/>
                    <w:kinsoku/>
                    <w:wordWrap/>
                    <w:overflowPunct/>
                    <w:topLinePunct w:val="0"/>
                    <w:autoSpaceDE/>
                    <w:autoSpaceDN/>
                    <w:bidi w:val="0"/>
                    <w:adjustRightInd/>
                    <w:snapToGrid w:val="0"/>
                    <w:textAlignment w:val="auto"/>
                    <w:rPr>
                      <w:b/>
                      <w:highlight w:val="none"/>
                    </w:rPr>
                  </w:pPr>
                  <w:r>
                    <w:rPr>
                      <w:b/>
                      <w:highlight w:val="none"/>
                    </w:rPr>
                    <w:t>数量</w:t>
                  </w:r>
                </w:p>
              </w:tc>
              <w:tc>
                <w:tcPr>
                  <w:tcW w:w="1111" w:type="pct"/>
                  <w:vAlign w:val="center"/>
                </w:tcPr>
                <w:p w14:paraId="0C2C754A">
                  <w:pPr>
                    <w:pStyle w:val="49"/>
                    <w:keepNext w:val="0"/>
                    <w:keepLines w:val="0"/>
                    <w:pageBreakBefore w:val="0"/>
                    <w:widowControl w:val="0"/>
                    <w:kinsoku/>
                    <w:wordWrap/>
                    <w:overflowPunct/>
                    <w:topLinePunct w:val="0"/>
                    <w:autoSpaceDE/>
                    <w:autoSpaceDN/>
                    <w:bidi w:val="0"/>
                    <w:adjustRightInd/>
                    <w:snapToGrid w:val="0"/>
                    <w:textAlignment w:val="auto"/>
                    <w:rPr>
                      <w:b/>
                      <w:highlight w:val="none"/>
                    </w:rPr>
                  </w:pPr>
                  <w:r>
                    <w:rPr>
                      <w:rFonts w:hint="eastAsia"/>
                      <w:b/>
                      <w:highlight w:val="none"/>
                    </w:rPr>
                    <w:t>备注</w:t>
                  </w:r>
                </w:p>
              </w:tc>
            </w:tr>
            <w:tr w14:paraId="74DE29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5" w:type="pct"/>
                  <w:vAlign w:val="center"/>
                </w:tcPr>
                <w:p w14:paraId="66DD665E">
                  <w:pPr>
                    <w:pStyle w:val="49"/>
                    <w:keepNext w:val="0"/>
                    <w:keepLines w:val="0"/>
                    <w:pageBreakBefore w:val="0"/>
                    <w:widowControl w:val="0"/>
                    <w:kinsoku/>
                    <w:wordWrap/>
                    <w:overflowPunct/>
                    <w:topLinePunct w:val="0"/>
                    <w:autoSpaceDE/>
                    <w:autoSpaceDN/>
                    <w:bidi w:val="0"/>
                    <w:adjustRightInd/>
                    <w:snapToGrid w:val="0"/>
                    <w:textAlignment w:val="auto"/>
                    <w:rPr>
                      <w:rFonts w:hint="eastAsia" w:eastAsia="宋体"/>
                      <w:color w:val="000000"/>
                      <w:szCs w:val="21"/>
                      <w:highlight w:val="none"/>
                      <w:lang w:val="en-US" w:eastAsia="zh-CN"/>
                    </w:rPr>
                  </w:pPr>
                  <w:r>
                    <w:rPr>
                      <w:rFonts w:hint="eastAsia"/>
                      <w:color w:val="000000"/>
                      <w:szCs w:val="21"/>
                      <w:highlight w:val="none"/>
                      <w:lang w:val="en-US" w:eastAsia="zh-CN"/>
                    </w:rPr>
                    <w:t>1</w:t>
                  </w:r>
                </w:p>
              </w:tc>
              <w:tc>
                <w:tcPr>
                  <w:tcW w:w="1314" w:type="pct"/>
                  <w:vAlign w:val="center"/>
                </w:tcPr>
                <w:p w14:paraId="66EF0308">
                  <w:pPr>
                    <w:pStyle w:val="49"/>
                    <w:keepNext w:val="0"/>
                    <w:keepLines w:val="0"/>
                    <w:pageBreakBefore w:val="0"/>
                    <w:widowControl w:val="0"/>
                    <w:kinsoku/>
                    <w:wordWrap/>
                    <w:overflowPunct/>
                    <w:topLinePunct w:val="0"/>
                    <w:autoSpaceDE/>
                    <w:autoSpaceDN/>
                    <w:bidi w:val="0"/>
                    <w:adjustRightInd/>
                    <w:snapToGrid w:val="0"/>
                    <w:textAlignment w:val="auto"/>
                    <w:rPr>
                      <w:rFonts w:hint="default" w:eastAsia="宋体"/>
                      <w:color w:val="000000"/>
                      <w:szCs w:val="21"/>
                      <w:highlight w:val="none"/>
                      <w:lang w:val="en-US" w:eastAsia="zh-CN"/>
                    </w:rPr>
                  </w:pPr>
                  <w:r>
                    <w:rPr>
                      <w:rFonts w:hint="eastAsia"/>
                      <w:color w:val="000000"/>
                      <w:szCs w:val="21"/>
                      <w:highlight w:val="none"/>
                      <w:lang w:val="en-US" w:eastAsia="zh-CN"/>
                    </w:rPr>
                    <w:t>92#汽油罐</w:t>
                  </w:r>
                </w:p>
              </w:tc>
              <w:tc>
                <w:tcPr>
                  <w:tcW w:w="1519" w:type="pct"/>
                  <w:vAlign w:val="center"/>
                </w:tcPr>
                <w:p w14:paraId="229115FC">
                  <w:pPr>
                    <w:pStyle w:val="49"/>
                    <w:keepNext w:val="0"/>
                    <w:keepLines w:val="0"/>
                    <w:pageBreakBefore w:val="0"/>
                    <w:widowControl w:val="0"/>
                    <w:kinsoku/>
                    <w:wordWrap/>
                    <w:overflowPunct/>
                    <w:topLinePunct w:val="0"/>
                    <w:autoSpaceDE/>
                    <w:autoSpaceDN/>
                    <w:bidi w:val="0"/>
                    <w:adjustRightInd/>
                    <w:snapToGrid w:val="0"/>
                    <w:textAlignment w:val="auto"/>
                    <w:rPr>
                      <w:color w:val="000000"/>
                      <w:szCs w:val="21"/>
                      <w:highlight w:val="none"/>
                    </w:rPr>
                  </w:pPr>
                  <w:r>
                    <w:rPr>
                      <w:rFonts w:hint="eastAsia" w:ascii="Times New Roman" w:hAnsi="Times New Roman" w:eastAsia="宋体"/>
                      <w:color w:val="auto"/>
                    </w:rPr>
                    <w:t>地埋</w:t>
                  </w:r>
                  <w:r>
                    <w:rPr>
                      <w:rFonts w:hint="eastAsia"/>
                      <w:color w:val="auto"/>
                      <w:lang w:val="en-US" w:eastAsia="zh-CN"/>
                    </w:rPr>
                    <w:t>卧</w:t>
                  </w:r>
                  <w:r>
                    <w:rPr>
                      <w:rFonts w:hint="eastAsia" w:ascii="Times New Roman" w:hAnsi="Times New Roman" w:eastAsia="宋体"/>
                      <w:color w:val="auto"/>
                    </w:rPr>
                    <w:t>式</w:t>
                  </w:r>
                  <w:r>
                    <w:rPr>
                      <w:rFonts w:hint="eastAsia"/>
                      <w:highlight w:val="none"/>
                    </w:rPr>
                    <w:t>SF双层</w:t>
                  </w:r>
                  <w:r>
                    <w:rPr>
                      <w:rFonts w:hint="eastAsia"/>
                      <w:highlight w:val="none"/>
                      <w:lang w:val="en-US" w:eastAsia="zh-CN"/>
                    </w:rPr>
                    <w:t>罐</w:t>
                  </w:r>
                  <w:r>
                    <w:rPr>
                      <w:rFonts w:hint="eastAsia"/>
                      <w:highlight w:val="none"/>
                    </w:rPr>
                    <w:t>、</w:t>
                  </w:r>
                  <w:r>
                    <w:rPr>
                      <w:rFonts w:hint="eastAsia"/>
                      <w:highlight w:val="none"/>
                      <w:lang w:val="en-US" w:eastAsia="zh-CN"/>
                    </w:rPr>
                    <w:t>3</w:t>
                  </w:r>
                  <w:r>
                    <w:rPr>
                      <w:rFonts w:hint="eastAsia"/>
                      <w:highlight w:val="none"/>
                    </w:rPr>
                    <w:t>0m</w:t>
                  </w:r>
                  <w:r>
                    <w:rPr>
                      <w:rFonts w:hint="eastAsia"/>
                      <w:highlight w:val="none"/>
                      <w:vertAlign w:val="superscript"/>
                    </w:rPr>
                    <w:t>3</w:t>
                  </w:r>
                </w:p>
              </w:tc>
              <w:tc>
                <w:tcPr>
                  <w:tcW w:w="690" w:type="pct"/>
                  <w:vAlign w:val="center"/>
                </w:tcPr>
                <w:p w14:paraId="56EE99A3">
                  <w:pPr>
                    <w:pStyle w:val="49"/>
                    <w:keepNext w:val="0"/>
                    <w:keepLines w:val="0"/>
                    <w:pageBreakBefore w:val="0"/>
                    <w:widowControl w:val="0"/>
                    <w:kinsoku/>
                    <w:wordWrap/>
                    <w:overflowPunct/>
                    <w:topLinePunct w:val="0"/>
                    <w:autoSpaceDE/>
                    <w:autoSpaceDN/>
                    <w:bidi w:val="0"/>
                    <w:adjustRightInd/>
                    <w:snapToGrid w:val="0"/>
                    <w:textAlignment w:val="auto"/>
                    <w:rPr>
                      <w:rFonts w:hint="eastAsia" w:eastAsia="宋体"/>
                      <w:color w:val="000000"/>
                      <w:szCs w:val="21"/>
                      <w:highlight w:val="none"/>
                      <w:lang w:val="en-US" w:eastAsia="zh-CN"/>
                    </w:rPr>
                  </w:pPr>
                  <w:r>
                    <w:rPr>
                      <w:rFonts w:hint="eastAsia"/>
                      <w:color w:val="000000"/>
                      <w:szCs w:val="21"/>
                      <w:highlight w:val="none"/>
                      <w:lang w:val="en-US" w:eastAsia="zh-CN"/>
                    </w:rPr>
                    <w:t>1</w:t>
                  </w:r>
                  <w:r>
                    <w:rPr>
                      <w:rFonts w:hint="eastAsia"/>
                      <w:highlight w:val="none"/>
                      <w:lang w:val="en-US" w:eastAsia="zh-CN"/>
                    </w:rPr>
                    <w:t>座</w:t>
                  </w:r>
                </w:p>
              </w:tc>
              <w:tc>
                <w:tcPr>
                  <w:tcW w:w="1111" w:type="pct"/>
                  <w:vAlign w:val="center"/>
                </w:tcPr>
                <w:p w14:paraId="5176058F">
                  <w:pPr>
                    <w:pStyle w:val="49"/>
                    <w:keepNext w:val="0"/>
                    <w:keepLines w:val="0"/>
                    <w:pageBreakBefore w:val="0"/>
                    <w:widowControl w:val="0"/>
                    <w:kinsoku/>
                    <w:wordWrap/>
                    <w:overflowPunct/>
                    <w:topLinePunct w:val="0"/>
                    <w:autoSpaceDE/>
                    <w:autoSpaceDN/>
                    <w:bidi w:val="0"/>
                    <w:adjustRightInd/>
                    <w:snapToGrid w:val="0"/>
                    <w:textAlignment w:val="auto"/>
                    <w:rPr>
                      <w:color w:val="000000"/>
                      <w:szCs w:val="21"/>
                      <w:highlight w:val="none"/>
                    </w:rPr>
                  </w:pPr>
                  <w:r>
                    <w:rPr>
                      <w:rFonts w:hint="eastAsia"/>
                      <w:color w:val="auto"/>
                      <w:highlight w:val="none"/>
                    </w:rPr>
                    <w:t>/</w:t>
                  </w:r>
                </w:p>
              </w:tc>
            </w:tr>
            <w:tr w14:paraId="7224A6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5" w:type="pct"/>
                  <w:vAlign w:val="center"/>
                </w:tcPr>
                <w:p w14:paraId="2B1B4A2C">
                  <w:pPr>
                    <w:pStyle w:val="49"/>
                    <w:keepNext w:val="0"/>
                    <w:keepLines w:val="0"/>
                    <w:pageBreakBefore w:val="0"/>
                    <w:widowControl w:val="0"/>
                    <w:kinsoku/>
                    <w:wordWrap/>
                    <w:overflowPunct/>
                    <w:topLinePunct w:val="0"/>
                    <w:autoSpaceDE/>
                    <w:autoSpaceDN/>
                    <w:bidi w:val="0"/>
                    <w:adjustRightInd/>
                    <w:snapToGrid w:val="0"/>
                    <w:textAlignment w:val="auto"/>
                    <w:rPr>
                      <w:rFonts w:hint="eastAsia" w:eastAsia="宋体"/>
                      <w:color w:val="000000"/>
                      <w:szCs w:val="21"/>
                      <w:highlight w:val="none"/>
                      <w:lang w:val="en-US" w:eastAsia="zh-CN"/>
                    </w:rPr>
                  </w:pPr>
                  <w:r>
                    <w:rPr>
                      <w:rFonts w:hint="eastAsia"/>
                      <w:color w:val="000000"/>
                      <w:szCs w:val="21"/>
                      <w:highlight w:val="none"/>
                      <w:lang w:val="en-US" w:eastAsia="zh-CN"/>
                    </w:rPr>
                    <w:t>2</w:t>
                  </w:r>
                </w:p>
              </w:tc>
              <w:tc>
                <w:tcPr>
                  <w:tcW w:w="1314" w:type="pct"/>
                  <w:vAlign w:val="center"/>
                </w:tcPr>
                <w:p w14:paraId="19BFD6F7">
                  <w:pPr>
                    <w:pStyle w:val="49"/>
                    <w:keepNext w:val="0"/>
                    <w:keepLines w:val="0"/>
                    <w:pageBreakBefore w:val="0"/>
                    <w:widowControl w:val="0"/>
                    <w:kinsoku/>
                    <w:wordWrap/>
                    <w:overflowPunct/>
                    <w:topLinePunct w:val="0"/>
                    <w:autoSpaceDE/>
                    <w:autoSpaceDN/>
                    <w:bidi w:val="0"/>
                    <w:adjustRightInd/>
                    <w:snapToGrid w:val="0"/>
                    <w:textAlignment w:val="auto"/>
                    <w:rPr>
                      <w:rFonts w:hint="default" w:eastAsia="宋体"/>
                      <w:color w:val="000000"/>
                      <w:szCs w:val="21"/>
                      <w:highlight w:val="none"/>
                      <w:lang w:val="en-US" w:eastAsia="zh-CN"/>
                    </w:rPr>
                  </w:pPr>
                  <w:r>
                    <w:rPr>
                      <w:rFonts w:hint="eastAsia"/>
                      <w:color w:val="000000"/>
                      <w:szCs w:val="21"/>
                      <w:highlight w:val="none"/>
                      <w:lang w:val="en-US" w:eastAsia="zh-CN"/>
                    </w:rPr>
                    <w:t>95#汽油罐</w:t>
                  </w:r>
                </w:p>
              </w:tc>
              <w:tc>
                <w:tcPr>
                  <w:tcW w:w="1519" w:type="pct"/>
                  <w:vAlign w:val="center"/>
                </w:tcPr>
                <w:p w14:paraId="39DF9F2F">
                  <w:pPr>
                    <w:pStyle w:val="49"/>
                    <w:keepNext w:val="0"/>
                    <w:keepLines w:val="0"/>
                    <w:pageBreakBefore w:val="0"/>
                    <w:widowControl w:val="0"/>
                    <w:kinsoku/>
                    <w:wordWrap/>
                    <w:overflowPunct/>
                    <w:topLinePunct w:val="0"/>
                    <w:autoSpaceDE/>
                    <w:autoSpaceDN/>
                    <w:bidi w:val="0"/>
                    <w:adjustRightInd/>
                    <w:snapToGrid w:val="0"/>
                    <w:textAlignment w:val="auto"/>
                    <w:rPr>
                      <w:color w:val="000000"/>
                      <w:szCs w:val="21"/>
                      <w:highlight w:val="none"/>
                    </w:rPr>
                  </w:pPr>
                  <w:r>
                    <w:rPr>
                      <w:rFonts w:hint="eastAsia" w:ascii="Times New Roman" w:hAnsi="Times New Roman" w:eastAsia="宋体"/>
                      <w:color w:val="auto"/>
                    </w:rPr>
                    <w:t>地埋</w:t>
                  </w:r>
                  <w:r>
                    <w:rPr>
                      <w:rFonts w:hint="eastAsia"/>
                      <w:color w:val="auto"/>
                      <w:lang w:val="en-US" w:eastAsia="zh-CN"/>
                    </w:rPr>
                    <w:t>卧</w:t>
                  </w:r>
                  <w:r>
                    <w:rPr>
                      <w:rFonts w:hint="eastAsia" w:ascii="Times New Roman" w:hAnsi="Times New Roman" w:eastAsia="宋体"/>
                      <w:color w:val="auto"/>
                    </w:rPr>
                    <w:t>式</w:t>
                  </w:r>
                  <w:r>
                    <w:rPr>
                      <w:rFonts w:hint="eastAsia"/>
                      <w:highlight w:val="none"/>
                    </w:rPr>
                    <w:t>SF双层</w:t>
                  </w:r>
                  <w:r>
                    <w:rPr>
                      <w:rFonts w:hint="eastAsia"/>
                      <w:highlight w:val="none"/>
                      <w:lang w:val="en-US" w:eastAsia="zh-CN"/>
                    </w:rPr>
                    <w:t>罐</w:t>
                  </w:r>
                  <w:r>
                    <w:rPr>
                      <w:rFonts w:hint="eastAsia"/>
                      <w:highlight w:val="none"/>
                    </w:rPr>
                    <w:t>、</w:t>
                  </w:r>
                  <w:r>
                    <w:rPr>
                      <w:rFonts w:hint="eastAsia"/>
                      <w:highlight w:val="none"/>
                      <w:lang w:val="en-US" w:eastAsia="zh-CN"/>
                    </w:rPr>
                    <w:t>3</w:t>
                  </w:r>
                  <w:r>
                    <w:rPr>
                      <w:rFonts w:hint="eastAsia"/>
                      <w:highlight w:val="none"/>
                    </w:rPr>
                    <w:t>0m</w:t>
                  </w:r>
                  <w:r>
                    <w:rPr>
                      <w:rFonts w:hint="eastAsia"/>
                      <w:highlight w:val="none"/>
                      <w:vertAlign w:val="superscript"/>
                    </w:rPr>
                    <w:t>3</w:t>
                  </w:r>
                </w:p>
              </w:tc>
              <w:tc>
                <w:tcPr>
                  <w:tcW w:w="690" w:type="pct"/>
                  <w:vAlign w:val="center"/>
                </w:tcPr>
                <w:p w14:paraId="0150D081">
                  <w:pPr>
                    <w:pStyle w:val="49"/>
                    <w:keepNext w:val="0"/>
                    <w:keepLines w:val="0"/>
                    <w:pageBreakBefore w:val="0"/>
                    <w:widowControl w:val="0"/>
                    <w:kinsoku/>
                    <w:wordWrap/>
                    <w:overflowPunct/>
                    <w:topLinePunct w:val="0"/>
                    <w:autoSpaceDE/>
                    <w:autoSpaceDN/>
                    <w:bidi w:val="0"/>
                    <w:adjustRightInd/>
                    <w:snapToGrid w:val="0"/>
                    <w:textAlignment w:val="auto"/>
                    <w:rPr>
                      <w:rFonts w:hint="default" w:eastAsia="宋体"/>
                      <w:color w:val="000000"/>
                      <w:szCs w:val="21"/>
                      <w:highlight w:val="none"/>
                      <w:lang w:val="en-US" w:eastAsia="zh-CN"/>
                    </w:rPr>
                  </w:pPr>
                  <w:r>
                    <w:rPr>
                      <w:rFonts w:hint="eastAsia"/>
                      <w:color w:val="000000"/>
                      <w:szCs w:val="21"/>
                      <w:highlight w:val="none"/>
                      <w:lang w:val="en-US" w:eastAsia="zh-CN"/>
                    </w:rPr>
                    <w:t>1</w:t>
                  </w:r>
                  <w:r>
                    <w:rPr>
                      <w:rFonts w:hint="eastAsia"/>
                      <w:highlight w:val="none"/>
                      <w:lang w:val="en-US" w:eastAsia="zh-CN"/>
                    </w:rPr>
                    <w:t>座</w:t>
                  </w:r>
                </w:p>
              </w:tc>
              <w:tc>
                <w:tcPr>
                  <w:tcW w:w="1111" w:type="pct"/>
                  <w:vAlign w:val="center"/>
                </w:tcPr>
                <w:p w14:paraId="37BC6C09">
                  <w:pPr>
                    <w:pStyle w:val="49"/>
                    <w:keepNext w:val="0"/>
                    <w:keepLines w:val="0"/>
                    <w:pageBreakBefore w:val="0"/>
                    <w:widowControl w:val="0"/>
                    <w:kinsoku/>
                    <w:wordWrap/>
                    <w:overflowPunct/>
                    <w:topLinePunct w:val="0"/>
                    <w:autoSpaceDE/>
                    <w:autoSpaceDN/>
                    <w:bidi w:val="0"/>
                    <w:adjustRightInd/>
                    <w:snapToGrid w:val="0"/>
                    <w:textAlignment w:val="auto"/>
                    <w:rPr>
                      <w:color w:val="000000"/>
                      <w:szCs w:val="21"/>
                      <w:highlight w:val="none"/>
                    </w:rPr>
                  </w:pPr>
                  <w:r>
                    <w:rPr>
                      <w:rFonts w:hint="eastAsia"/>
                      <w:color w:val="auto"/>
                      <w:highlight w:val="none"/>
                    </w:rPr>
                    <w:t>/</w:t>
                  </w:r>
                </w:p>
              </w:tc>
            </w:tr>
            <w:tr w14:paraId="3265D2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5" w:type="pct"/>
                  <w:vAlign w:val="center"/>
                </w:tcPr>
                <w:p w14:paraId="5FEF96F1">
                  <w:pPr>
                    <w:pStyle w:val="49"/>
                    <w:keepNext w:val="0"/>
                    <w:keepLines w:val="0"/>
                    <w:pageBreakBefore w:val="0"/>
                    <w:widowControl w:val="0"/>
                    <w:kinsoku/>
                    <w:wordWrap/>
                    <w:overflowPunct/>
                    <w:topLinePunct w:val="0"/>
                    <w:autoSpaceDE/>
                    <w:autoSpaceDN/>
                    <w:bidi w:val="0"/>
                    <w:adjustRightInd/>
                    <w:snapToGrid w:val="0"/>
                    <w:textAlignment w:val="auto"/>
                    <w:rPr>
                      <w:rFonts w:hint="default"/>
                      <w:color w:val="000000"/>
                      <w:szCs w:val="21"/>
                      <w:highlight w:val="none"/>
                      <w:lang w:val="en-US" w:eastAsia="zh-CN"/>
                    </w:rPr>
                  </w:pPr>
                  <w:r>
                    <w:rPr>
                      <w:rFonts w:hint="eastAsia"/>
                      <w:color w:val="000000"/>
                      <w:szCs w:val="21"/>
                      <w:highlight w:val="none"/>
                      <w:lang w:val="en-US" w:eastAsia="zh-CN"/>
                    </w:rPr>
                    <w:t>3</w:t>
                  </w:r>
                </w:p>
              </w:tc>
              <w:tc>
                <w:tcPr>
                  <w:tcW w:w="1314" w:type="pct"/>
                  <w:vAlign w:val="center"/>
                </w:tcPr>
                <w:p w14:paraId="0E69E826">
                  <w:pPr>
                    <w:pStyle w:val="49"/>
                    <w:keepNext w:val="0"/>
                    <w:keepLines w:val="0"/>
                    <w:pageBreakBefore w:val="0"/>
                    <w:widowControl w:val="0"/>
                    <w:kinsoku/>
                    <w:wordWrap/>
                    <w:overflowPunct/>
                    <w:topLinePunct w:val="0"/>
                    <w:autoSpaceDE/>
                    <w:autoSpaceDN/>
                    <w:bidi w:val="0"/>
                    <w:adjustRightInd/>
                    <w:snapToGrid w:val="0"/>
                    <w:textAlignment w:val="auto"/>
                    <w:rPr>
                      <w:rFonts w:hint="eastAsia"/>
                      <w:color w:val="000000"/>
                      <w:szCs w:val="21"/>
                      <w:highlight w:val="none"/>
                      <w:lang w:val="en-US" w:eastAsia="zh-CN"/>
                    </w:rPr>
                  </w:pPr>
                  <w:r>
                    <w:rPr>
                      <w:rFonts w:hint="eastAsia"/>
                      <w:highlight w:val="none"/>
                      <w:lang w:val="en-US" w:eastAsia="zh-CN"/>
                    </w:rPr>
                    <w:t>0#柴油</w:t>
                  </w:r>
                  <w:r>
                    <w:rPr>
                      <w:rFonts w:hint="eastAsia"/>
                      <w:highlight w:val="none"/>
                    </w:rPr>
                    <w:t>罐</w:t>
                  </w:r>
                </w:p>
              </w:tc>
              <w:tc>
                <w:tcPr>
                  <w:tcW w:w="1519" w:type="pct"/>
                  <w:vAlign w:val="center"/>
                </w:tcPr>
                <w:p w14:paraId="28A40D6A">
                  <w:pPr>
                    <w:pStyle w:val="49"/>
                    <w:keepNext w:val="0"/>
                    <w:keepLines w:val="0"/>
                    <w:pageBreakBefore w:val="0"/>
                    <w:widowControl w:val="0"/>
                    <w:kinsoku/>
                    <w:wordWrap/>
                    <w:overflowPunct/>
                    <w:topLinePunct w:val="0"/>
                    <w:autoSpaceDE/>
                    <w:autoSpaceDN/>
                    <w:bidi w:val="0"/>
                    <w:adjustRightInd/>
                    <w:snapToGrid w:val="0"/>
                    <w:textAlignment w:val="auto"/>
                    <w:rPr>
                      <w:rFonts w:hint="eastAsia"/>
                      <w:color w:val="000000"/>
                      <w:szCs w:val="21"/>
                      <w:highlight w:val="none"/>
                      <w:lang w:val="en-US" w:eastAsia="zh-CN"/>
                    </w:rPr>
                  </w:pPr>
                  <w:r>
                    <w:rPr>
                      <w:rFonts w:hint="eastAsia" w:ascii="Times New Roman" w:hAnsi="Times New Roman" w:eastAsia="宋体"/>
                      <w:color w:val="auto"/>
                    </w:rPr>
                    <w:t>地埋</w:t>
                  </w:r>
                  <w:r>
                    <w:rPr>
                      <w:rFonts w:hint="eastAsia"/>
                      <w:color w:val="auto"/>
                      <w:lang w:val="en-US" w:eastAsia="zh-CN"/>
                    </w:rPr>
                    <w:t>卧</w:t>
                  </w:r>
                  <w:r>
                    <w:rPr>
                      <w:rFonts w:hint="eastAsia" w:ascii="Times New Roman" w:hAnsi="Times New Roman" w:eastAsia="宋体"/>
                      <w:color w:val="auto"/>
                    </w:rPr>
                    <w:t>式</w:t>
                  </w:r>
                  <w:r>
                    <w:rPr>
                      <w:rFonts w:hint="eastAsia"/>
                      <w:highlight w:val="none"/>
                    </w:rPr>
                    <w:t>SF双层</w:t>
                  </w:r>
                  <w:r>
                    <w:rPr>
                      <w:rFonts w:hint="eastAsia"/>
                      <w:highlight w:val="none"/>
                      <w:lang w:val="en-US" w:eastAsia="zh-CN"/>
                    </w:rPr>
                    <w:t>罐</w:t>
                  </w:r>
                  <w:r>
                    <w:rPr>
                      <w:rFonts w:hint="eastAsia"/>
                      <w:highlight w:val="none"/>
                    </w:rPr>
                    <w:t>、50m</w:t>
                  </w:r>
                  <w:r>
                    <w:rPr>
                      <w:rFonts w:hint="eastAsia"/>
                      <w:highlight w:val="none"/>
                      <w:vertAlign w:val="superscript"/>
                    </w:rPr>
                    <w:t>3</w:t>
                  </w:r>
                </w:p>
              </w:tc>
              <w:tc>
                <w:tcPr>
                  <w:tcW w:w="690" w:type="pct"/>
                  <w:vAlign w:val="center"/>
                </w:tcPr>
                <w:p w14:paraId="088991DD">
                  <w:pPr>
                    <w:pStyle w:val="49"/>
                    <w:keepNext w:val="0"/>
                    <w:keepLines w:val="0"/>
                    <w:pageBreakBefore w:val="0"/>
                    <w:widowControl w:val="0"/>
                    <w:kinsoku/>
                    <w:wordWrap/>
                    <w:overflowPunct/>
                    <w:topLinePunct w:val="0"/>
                    <w:autoSpaceDE/>
                    <w:autoSpaceDN/>
                    <w:bidi w:val="0"/>
                    <w:adjustRightInd/>
                    <w:snapToGrid w:val="0"/>
                    <w:textAlignment w:val="auto"/>
                    <w:rPr>
                      <w:rFonts w:hint="eastAsia"/>
                      <w:color w:val="000000"/>
                      <w:szCs w:val="21"/>
                      <w:highlight w:val="none"/>
                      <w:lang w:val="en-US" w:eastAsia="zh-CN"/>
                    </w:rPr>
                  </w:pPr>
                  <w:r>
                    <w:rPr>
                      <w:rFonts w:hint="eastAsia"/>
                      <w:highlight w:val="none"/>
                      <w:lang w:val="en-US" w:eastAsia="zh-CN"/>
                    </w:rPr>
                    <w:t>2座</w:t>
                  </w:r>
                </w:p>
              </w:tc>
              <w:tc>
                <w:tcPr>
                  <w:tcW w:w="1111" w:type="pct"/>
                  <w:vAlign w:val="center"/>
                </w:tcPr>
                <w:p w14:paraId="3C13D583">
                  <w:pPr>
                    <w:pStyle w:val="49"/>
                    <w:keepNext w:val="0"/>
                    <w:keepLines w:val="0"/>
                    <w:pageBreakBefore w:val="0"/>
                    <w:widowControl w:val="0"/>
                    <w:kinsoku/>
                    <w:wordWrap/>
                    <w:overflowPunct/>
                    <w:topLinePunct w:val="0"/>
                    <w:autoSpaceDE/>
                    <w:autoSpaceDN/>
                    <w:bidi w:val="0"/>
                    <w:adjustRightInd/>
                    <w:snapToGrid w:val="0"/>
                    <w:textAlignment w:val="auto"/>
                    <w:rPr>
                      <w:rFonts w:hint="eastAsia"/>
                      <w:color w:val="000000"/>
                      <w:szCs w:val="21"/>
                      <w:highlight w:val="none"/>
                      <w:lang w:val="en-US" w:eastAsia="zh-CN"/>
                    </w:rPr>
                  </w:pPr>
                  <w:r>
                    <w:rPr>
                      <w:rFonts w:hint="eastAsia"/>
                      <w:color w:val="auto"/>
                      <w:highlight w:val="none"/>
                    </w:rPr>
                    <w:t>/</w:t>
                  </w:r>
                </w:p>
              </w:tc>
            </w:tr>
            <w:tr w14:paraId="6C48B4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5" w:type="pct"/>
                  <w:vAlign w:val="center"/>
                </w:tcPr>
                <w:p w14:paraId="449FFA19">
                  <w:pPr>
                    <w:pStyle w:val="49"/>
                    <w:keepNext w:val="0"/>
                    <w:keepLines w:val="0"/>
                    <w:pageBreakBefore w:val="0"/>
                    <w:widowControl w:val="0"/>
                    <w:numPr>
                      <w:ilvl w:val="0"/>
                      <w:numId w:val="0"/>
                    </w:numPr>
                    <w:kinsoku/>
                    <w:wordWrap/>
                    <w:overflowPunct/>
                    <w:topLinePunct w:val="0"/>
                    <w:autoSpaceDE/>
                    <w:autoSpaceDN/>
                    <w:bidi w:val="0"/>
                    <w:adjustRightInd/>
                    <w:snapToGrid w:val="0"/>
                    <w:ind w:leftChars="0"/>
                    <w:jc w:val="center"/>
                    <w:textAlignment w:val="auto"/>
                    <w:rPr>
                      <w:rFonts w:hint="eastAsia" w:eastAsia="宋体"/>
                      <w:color w:val="000000"/>
                      <w:szCs w:val="21"/>
                      <w:highlight w:val="none"/>
                      <w:lang w:val="en-US" w:eastAsia="zh-CN"/>
                    </w:rPr>
                  </w:pPr>
                  <w:r>
                    <w:rPr>
                      <w:rFonts w:hint="eastAsia"/>
                      <w:color w:val="000000"/>
                      <w:szCs w:val="21"/>
                      <w:highlight w:val="none"/>
                      <w:lang w:val="en-US" w:eastAsia="zh-CN"/>
                    </w:rPr>
                    <w:t>4</w:t>
                  </w:r>
                </w:p>
              </w:tc>
              <w:tc>
                <w:tcPr>
                  <w:tcW w:w="1314" w:type="pct"/>
                  <w:vAlign w:val="center"/>
                </w:tcPr>
                <w:p w14:paraId="2890041A">
                  <w:pPr>
                    <w:pStyle w:val="49"/>
                    <w:keepNext w:val="0"/>
                    <w:keepLines w:val="0"/>
                    <w:pageBreakBefore w:val="0"/>
                    <w:widowControl w:val="0"/>
                    <w:kinsoku/>
                    <w:wordWrap/>
                    <w:overflowPunct/>
                    <w:topLinePunct w:val="0"/>
                    <w:autoSpaceDE/>
                    <w:autoSpaceDN/>
                    <w:bidi w:val="0"/>
                    <w:adjustRightInd/>
                    <w:snapToGrid w:val="0"/>
                    <w:textAlignment w:val="auto"/>
                    <w:rPr>
                      <w:highlight w:val="none"/>
                    </w:rPr>
                  </w:pPr>
                  <w:r>
                    <w:rPr>
                      <w:rFonts w:hint="eastAsia"/>
                      <w:highlight w:val="none"/>
                    </w:rPr>
                    <w:t>加油</w:t>
                  </w:r>
                  <w:r>
                    <w:rPr>
                      <w:highlight w:val="none"/>
                    </w:rPr>
                    <w:t>机</w:t>
                  </w:r>
                </w:p>
              </w:tc>
              <w:tc>
                <w:tcPr>
                  <w:tcW w:w="1519" w:type="pct"/>
                  <w:vAlign w:val="center"/>
                </w:tcPr>
                <w:p w14:paraId="1E88B9F6">
                  <w:pPr>
                    <w:pStyle w:val="49"/>
                    <w:keepNext w:val="0"/>
                    <w:keepLines w:val="0"/>
                    <w:pageBreakBefore w:val="0"/>
                    <w:widowControl w:val="0"/>
                    <w:kinsoku/>
                    <w:wordWrap/>
                    <w:overflowPunct/>
                    <w:topLinePunct w:val="0"/>
                    <w:autoSpaceDE/>
                    <w:autoSpaceDN/>
                    <w:bidi w:val="0"/>
                    <w:adjustRightInd/>
                    <w:snapToGrid w:val="0"/>
                    <w:textAlignment w:val="auto"/>
                    <w:rPr>
                      <w:highlight w:val="none"/>
                    </w:rPr>
                  </w:pPr>
                  <w:r>
                    <w:rPr>
                      <w:rFonts w:hint="eastAsia"/>
                      <w:highlight w:val="none"/>
                      <w:lang w:val="en-US" w:eastAsia="zh-CN"/>
                    </w:rPr>
                    <w:t>四</w:t>
                  </w:r>
                  <w:r>
                    <w:rPr>
                      <w:rFonts w:hint="eastAsia"/>
                      <w:highlight w:val="none"/>
                    </w:rPr>
                    <w:t>枪潜油泵加油机</w:t>
                  </w:r>
                </w:p>
              </w:tc>
              <w:tc>
                <w:tcPr>
                  <w:tcW w:w="690" w:type="pct"/>
                  <w:vAlign w:val="center"/>
                </w:tcPr>
                <w:p w14:paraId="18C06310">
                  <w:pPr>
                    <w:pStyle w:val="49"/>
                    <w:keepNext w:val="0"/>
                    <w:keepLines w:val="0"/>
                    <w:pageBreakBefore w:val="0"/>
                    <w:widowControl w:val="0"/>
                    <w:kinsoku/>
                    <w:wordWrap/>
                    <w:overflowPunct/>
                    <w:topLinePunct w:val="0"/>
                    <w:autoSpaceDE/>
                    <w:autoSpaceDN/>
                    <w:bidi w:val="0"/>
                    <w:adjustRightInd/>
                    <w:snapToGrid w:val="0"/>
                    <w:textAlignment w:val="auto"/>
                    <w:rPr>
                      <w:highlight w:val="none"/>
                    </w:rPr>
                  </w:pPr>
                  <w:r>
                    <w:rPr>
                      <w:rFonts w:hint="eastAsia"/>
                      <w:highlight w:val="none"/>
                      <w:lang w:val="en-US" w:eastAsia="zh-CN"/>
                    </w:rPr>
                    <w:t>2</w:t>
                  </w:r>
                  <w:r>
                    <w:rPr>
                      <w:rFonts w:hint="eastAsia"/>
                      <w:highlight w:val="none"/>
                    </w:rPr>
                    <w:t>台</w:t>
                  </w:r>
                </w:p>
              </w:tc>
              <w:tc>
                <w:tcPr>
                  <w:tcW w:w="1111" w:type="pct"/>
                  <w:vAlign w:val="center"/>
                </w:tcPr>
                <w:p w14:paraId="444D53CA">
                  <w:pPr>
                    <w:pStyle w:val="49"/>
                    <w:keepNext w:val="0"/>
                    <w:keepLines w:val="0"/>
                    <w:pageBreakBefore w:val="0"/>
                    <w:widowControl w:val="0"/>
                    <w:kinsoku/>
                    <w:wordWrap/>
                    <w:overflowPunct/>
                    <w:topLinePunct w:val="0"/>
                    <w:autoSpaceDE/>
                    <w:autoSpaceDN/>
                    <w:bidi w:val="0"/>
                    <w:adjustRightInd/>
                    <w:snapToGrid w:val="0"/>
                    <w:textAlignment w:val="auto"/>
                    <w:rPr>
                      <w:highlight w:val="none"/>
                    </w:rPr>
                  </w:pPr>
                  <w:r>
                    <w:rPr>
                      <w:rFonts w:hint="eastAsia"/>
                      <w:highlight w:val="none"/>
                    </w:rPr>
                    <w:t>92</w:t>
                  </w:r>
                  <w:r>
                    <w:rPr>
                      <w:highlight w:val="none"/>
                    </w:rPr>
                    <w:t>#汽油加油枪</w:t>
                  </w:r>
                  <w:r>
                    <w:rPr>
                      <w:rFonts w:hint="eastAsia"/>
                      <w:highlight w:val="none"/>
                      <w:lang w:val="en-US" w:eastAsia="zh-CN"/>
                    </w:rPr>
                    <w:t>5</w:t>
                  </w:r>
                  <w:r>
                    <w:rPr>
                      <w:rFonts w:hint="eastAsia" w:ascii="Times New Roman" w:hAnsi="Times New Roman" w:eastAsia="宋体" w:cs="Times New Roman"/>
                      <w:color w:val="auto"/>
                      <w:kern w:val="0"/>
                      <w:szCs w:val="21"/>
                      <w:highlight w:val="none"/>
                      <w:lang w:val="en-US" w:eastAsia="zh-CN"/>
                    </w:rPr>
                    <w:t>支</w:t>
                  </w:r>
                  <w:r>
                    <w:rPr>
                      <w:highlight w:val="none"/>
                    </w:rPr>
                    <w:t>，</w:t>
                  </w:r>
                  <w:r>
                    <w:rPr>
                      <w:rFonts w:hint="eastAsia"/>
                      <w:highlight w:val="none"/>
                    </w:rPr>
                    <w:t>95</w:t>
                  </w:r>
                  <w:r>
                    <w:rPr>
                      <w:highlight w:val="none"/>
                    </w:rPr>
                    <w:t>#汽油加油枪</w:t>
                  </w:r>
                  <w:r>
                    <w:rPr>
                      <w:rFonts w:hint="eastAsia"/>
                      <w:highlight w:val="none"/>
                      <w:lang w:val="en-US" w:eastAsia="zh-CN"/>
                    </w:rPr>
                    <w:t>3</w:t>
                  </w:r>
                  <w:r>
                    <w:rPr>
                      <w:rFonts w:hint="eastAsia" w:ascii="Times New Roman" w:hAnsi="Times New Roman" w:eastAsia="宋体" w:cs="Times New Roman"/>
                      <w:color w:val="auto"/>
                      <w:kern w:val="0"/>
                      <w:szCs w:val="21"/>
                      <w:highlight w:val="none"/>
                      <w:lang w:val="en-US" w:eastAsia="zh-CN"/>
                    </w:rPr>
                    <w:t>支</w:t>
                  </w:r>
                </w:p>
              </w:tc>
            </w:tr>
            <w:tr w14:paraId="60E661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365" w:type="pct"/>
                  <w:vAlign w:val="center"/>
                </w:tcPr>
                <w:p w14:paraId="733B859C">
                  <w:pPr>
                    <w:pStyle w:val="49"/>
                    <w:keepNext w:val="0"/>
                    <w:keepLines w:val="0"/>
                    <w:pageBreakBefore w:val="0"/>
                    <w:widowControl w:val="0"/>
                    <w:kinsoku/>
                    <w:wordWrap/>
                    <w:overflowPunct/>
                    <w:topLinePunct w:val="0"/>
                    <w:autoSpaceDE/>
                    <w:autoSpaceDN/>
                    <w:bidi w:val="0"/>
                    <w:adjustRightInd/>
                    <w:snapToGrid w:val="0"/>
                    <w:textAlignment w:val="auto"/>
                    <w:rPr>
                      <w:rFonts w:hint="default"/>
                      <w:color w:val="000000"/>
                      <w:szCs w:val="21"/>
                      <w:highlight w:val="none"/>
                      <w:lang w:val="en-US" w:eastAsia="zh-CN"/>
                    </w:rPr>
                  </w:pPr>
                  <w:r>
                    <w:rPr>
                      <w:rFonts w:hint="eastAsia"/>
                      <w:color w:val="000000"/>
                      <w:szCs w:val="21"/>
                      <w:highlight w:val="none"/>
                      <w:lang w:val="en-US" w:eastAsia="zh-CN"/>
                    </w:rPr>
                    <w:t>5</w:t>
                  </w:r>
                </w:p>
              </w:tc>
              <w:tc>
                <w:tcPr>
                  <w:tcW w:w="1314" w:type="pct"/>
                  <w:vAlign w:val="center"/>
                </w:tcPr>
                <w:p w14:paraId="4E9B2661">
                  <w:pPr>
                    <w:pStyle w:val="49"/>
                    <w:keepNext w:val="0"/>
                    <w:keepLines w:val="0"/>
                    <w:pageBreakBefore w:val="0"/>
                    <w:widowControl w:val="0"/>
                    <w:kinsoku/>
                    <w:wordWrap/>
                    <w:overflowPunct/>
                    <w:topLinePunct w:val="0"/>
                    <w:autoSpaceDE/>
                    <w:autoSpaceDN/>
                    <w:bidi w:val="0"/>
                    <w:adjustRightInd/>
                    <w:snapToGrid w:val="0"/>
                    <w:textAlignment w:val="auto"/>
                    <w:rPr>
                      <w:rFonts w:hint="eastAsia"/>
                      <w:color w:val="000000"/>
                      <w:szCs w:val="21"/>
                      <w:highlight w:val="none"/>
                      <w:lang w:val="en-US" w:eastAsia="zh-CN"/>
                    </w:rPr>
                  </w:pPr>
                  <w:r>
                    <w:rPr>
                      <w:rFonts w:hint="eastAsia"/>
                      <w:highlight w:val="none"/>
                    </w:rPr>
                    <w:t>加油</w:t>
                  </w:r>
                  <w:r>
                    <w:rPr>
                      <w:highlight w:val="none"/>
                    </w:rPr>
                    <w:t>机</w:t>
                  </w:r>
                </w:p>
              </w:tc>
              <w:tc>
                <w:tcPr>
                  <w:tcW w:w="1519" w:type="pct"/>
                  <w:vAlign w:val="center"/>
                </w:tcPr>
                <w:p w14:paraId="56293113">
                  <w:pPr>
                    <w:pStyle w:val="49"/>
                    <w:keepNext w:val="0"/>
                    <w:keepLines w:val="0"/>
                    <w:pageBreakBefore w:val="0"/>
                    <w:widowControl w:val="0"/>
                    <w:kinsoku/>
                    <w:wordWrap/>
                    <w:overflowPunct/>
                    <w:topLinePunct w:val="0"/>
                    <w:autoSpaceDE/>
                    <w:autoSpaceDN/>
                    <w:bidi w:val="0"/>
                    <w:adjustRightInd/>
                    <w:snapToGrid w:val="0"/>
                    <w:textAlignment w:val="auto"/>
                    <w:rPr>
                      <w:rFonts w:hint="eastAsia"/>
                      <w:color w:val="000000"/>
                      <w:szCs w:val="21"/>
                      <w:highlight w:val="none"/>
                      <w:lang w:val="en-US" w:eastAsia="zh-CN"/>
                    </w:rPr>
                  </w:pPr>
                  <w:r>
                    <w:rPr>
                      <w:rFonts w:hint="eastAsia"/>
                      <w:bCs/>
                      <w:highlight w:val="none"/>
                      <w:lang w:val="en-US" w:eastAsia="zh-CN"/>
                    </w:rPr>
                    <w:t>双</w:t>
                  </w:r>
                  <w:r>
                    <w:rPr>
                      <w:rFonts w:hint="eastAsia"/>
                      <w:bCs/>
                      <w:highlight w:val="none"/>
                    </w:rPr>
                    <w:t>枪潜油泵加油机</w:t>
                  </w:r>
                </w:p>
              </w:tc>
              <w:tc>
                <w:tcPr>
                  <w:tcW w:w="690" w:type="pct"/>
                  <w:vAlign w:val="center"/>
                </w:tcPr>
                <w:p w14:paraId="6A77E37F">
                  <w:pPr>
                    <w:pStyle w:val="49"/>
                    <w:keepNext w:val="0"/>
                    <w:keepLines w:val="0"/>
                    <w:pageBreakBefore w:val="0"/>
                    <w:widowControl w:val="0"/>
                    <w:kinsoku/>
                    <w:wordWrap/>
                    <w:overflowPunct/>
                    <w:topLinePunct w:val="0"/>
                    <w:autoSpaceDE/>
                    <w:autoSpaceDN/>
                    <w:bidi w:val="0"/>
                    <w:adjustRightInd/>
                    <w:snapToGrid w:val="0"/>
                    <w:textAlignment w:val="auto"/>
                    <w:rPr>
                      <w:rFonts w:hint="eastAsia"/>
                      <w:color w:val="000000"/>
                      <w:szCs w:val="21"/>
                      <w:highlight w:val="none"/>
                      <w:lang w:val="en-US" w:eastAsia="zh-CN"/>
                    </w:rPr>
                  </w:pPr>
                  <w:r>
                    <w:rPr>
                      <w:rFonts w:hint="eastAsia"/>
                      <w:color w:val="000000"/>
                      <w:szCs w:val="21"/>
                      <w:highlight w:val="none"/>
                      <w:lang w:val="en-US" w:eastAsia="zh-CN"/>
                    </w:rPr>
                    <w:t>2</w:t>
                  </w:r>
                  <w:r>
                    <w:rPr>
                      <w:rFonts w:hint="eastAsia"/>
                      <w:highlight w:val="none"/>
                    </w:rPr>
                    <w:t>台</w:t>
                  </w:r>
                </w:p>
              </w:tc>
              <w:tc>
                <w:tcPr>
                  <w:tcW w:w="1111" w:type="pct"/>
                  <w:vAlign w:val="center"/>
                </w:tcPr>
                <w:p w14:paraId="27B28DE4">
                  <w:pPr>
                    <w:pStyle w:val="49"/>
                    <w:keepNext w:val="0"/>
                    <w:keepLines w:val="0"/>
                    <w:pageBreakBefore w:val="0"/>
                    <w:widowControl w:val="0"/>
                    <w:kinsoku/>
                    <w:wordWrap/>
                    <w:overflowPunct/>
                    <w:topLinePunct w:val="0"/>
                    <w:autoSpaceDE/>
                    <w:autoSpaceDN/>
                    <w:bidi w:val="0"/>
                    <w:adjustRightInd/>
                    <w:snapToGrid w:val="0"/>
                    <w:textAlignment w:val="auto"/>
                    <w:rPr>
                      <w:rFonts w:hint="eastAsia" w:eastAsia="宋体"/>
                      <w:color w:val="000000"/>
                      <w:szCs w:val="21"/>
                      <w:highlight w:val="none"/>
                      <w:lang w:val="en-US" w:eastAsia="zh-CN"/>
                    </w:rPr>
                  </w:pPr>
                  <w:r>
                    <w:rPr>
                      <w:rFonts w:hint="eastAsia" w:ascii="Times New Roman" w:hAnsi="Times New Roman" w:eastAsia="宋体" w:cs="Times New Roman"/>
                      <w:color w:val="auto"/>
                      <w:kern w:val="0"/>
                      <w:szCs w:val="21"/>
                      <w:highlight w:val="none"/>
                    </w:rPr>
                    <w:t>0</w:t>
                  </w:r>
                  <w:r>
                    <w:rPr>
                      <w:rFonts w:ascii="Times New Roman" w:hAnsi="Times New Roman" w:eastAsia="宋体" w:cs="Times New Roman"/>
                      <w:color w:val="auto"/>
                      <w:kern w:val="0"/>
                      <w:szCs w:val="21"/>
                      <w:highlight w:val="none"/>
                    </w:rPr>
                    <w:t>#柴油加油枪4</w:t>
                  </w:r>
                  <w:r>
                    <w:rPr>
                      <w:rFonts w:hint="eastAsia" w:ascii="Times New Roman" w:hAnsi="Times New Roman" w:eastAsia="宋体" w:cs="Times New Roman"/>
                      <w:color w:val="auto"/>
                      <w:kern w:val="0"/>
                      <w:szCs w:val="21"/>
                      <w:highlight w:val="none"/>
                      <w:lang w:val="en-US" w:eastAsia="zh-CN"/>
                    </w:rPr>
                    <w:t>支</w:t>
                  </w:r>
                </w:p>
              </w:tc>
            </w:tr>
            <w:tr w14:paraId="1B9EC3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365" w:type="pct"/>
                  <w:vAlign w:val="center"/>
                </w:tcPr>
                <w:p w14:paraId="07957C3E">
                  <w:pPr>
                    <w:pStyle w:val="49"/>
                    <w:keepNext w:val="0"/>
                    <w:keepLines w:val="0"/>
                    <w:pageBreakBefore w:val="0"/>
                    <w:widowControl w:val="0"/>
                    <w:kinsoku/>
                    <w:wordWrap/>
                    <w:overflowPunct/>
                    <w:topLinePunct w:val="0"/>
                    <w:autoSpaceDE/>
                    <w:autoSpaceDN/>
                    <w:bidi w:val="0"/>
                    <w:adjustRightInd/>
                    <w:snapToGrid w:val="0"/>
                    <w:textAlignment w:val="auto"/>
                    <w:rPr>
                      <w:rFonts w:hint="default"/>
                      <w:color w:val="FF0000"/>
                      <w:szCs w:val="21"/>
                      <w:highlight w:val="none"/>
                      <w:lang w:val="en-US" w:eastAsia="zh-CN"/>
                    </w:rPr>
                  </w:pPr>
                  <w:r>
                    <w:rPr>
                      <w:rFonts w:hint="eastAsia"/>
                      <w:color w:val="FF0000"/>
                      <w:szCs w:val="21"/>
                      <w:highlight w:val="none"/>
                      <w:lang w:val="en-US" w:eastAsia="zh-CN"/>
                    </w:rPr>
                    <w:t>6</w:t>
                  </w:r>
                </w:p>
              </w:tc>
              <w:tc>
                <w:tcPr>
                  <w:tcW w:w="1314" w:type="pct"/>
                  <w:vAlign w:val="center"/>
                </w:tcPr>
                <w:p w14:paraId="42BD0223">
                  <w:pPr>
                    <w:pStyle w:val="49"/>
                    <w:keepNext w:val="0"/>
                    <w:keepLines w:val="0"/>
                    <w:pageBreakBefore w:val="0"/>
                    <w:widowControl w:val="0"/>
                    <w:kinsoku/>
                    <w:wordWrap/>
                    <w:overflowPunct/>
                    <w:topLinePunct w:val="0"/>
                    <w:autoSpaceDE/>
                    <w:autoSpaceDN/>
                    <w:bidi w:val="0"/>
                    <w:adjustRightInd/>
                    <w:snapToGrid w:val="0"/>
                    <w:textAlignment w:val="auto"/>
                    <w:rPr>
                      <w:rFonts w:hint="default"/>
                      <w:color w:val="FF0000"/>
                      <w:szCs w:val="21"/>
                      <w:highlight w:val="none"/>
                      <w:lang w:val="en-US" w:eastAsia="zh-CN"/>
                    </w:rPr>
                  </w:pPr>
                  <w:r>
                    <w:rPr>
                      <w:rFonts w:hint="eastAsia"/>
                      <w:color w:val="FF0000"/>
                      <w:szCs w:val="21"/>
                      <w:highlight w:val="none"/>
                      <w:lang w:val="en-US" w:eastAsia="zh-CN"/>
                    </w:rPr>
                    <w:t>潜油泵</w:t>
                  </w:r>
                </w:p>
              </w:tc>
              <w:tc>
                <w:tcPr>
                  <w:tcW w:w="1519" w:type="pct"/>
                  <w:vAlign w:val="center"/>
                </w:tcPr>
                <w:p w14:paraId="5A65583A">
                  <w:pPr>
                    <w:pStyle w:val="49"/>
                    <w:keepNext w:val="0"/>
                    <w:keepLines w:val="0"/>
                    <w:pageBreakBefore w:val="0"/>
                    <w:widowControl w:val="0"/>
                    <w:kinsoku/>
                    <w:wordWrap/>
                    <w:overflowPunct/>
                    <w:topLinePunct w:val="0"/>
                    <w:autoSpaceDE/>
                    <w:autoSpaceDN/>
                    <w:bidi w:val="0"/>
                    <w:adjustRightInd/>
                    <w:snapToGrid w:val="0"/>
                    <w:textAlignment w:val="auto"/>
                    <w:rPr>
                      <w:rFonts w:hint="eastAsia"/>
                      <w:color w:val="FF0000"/>
                      <w:szCs w:val="21"/>
                      <w:highlight w:val="none"/>
                      <w:lang w:val="en-US" w:eastAsia="zh-CN"/>
                    </w:rPr>
                  </w:pPr>
                  <w:r>
                    <w:rPr>
                      <w:color w:val="FF0000"/>
                    </w:rPr>
                    <w:t>/</w:t>
                  </w:r>
                </w:p>
              </w:tc>
              <w:tc>
                <w:tcPr>
                  <w:tcW w:w="690" w:type="pct"/>
                  <w:vAlign w:val="center"/>
                </w:tcPr>
                <w:p w14:paraId="5B0189C4">
                  <w:pPr>
                    <w:pStyle w:val="49"/>
                    <w:keepNext w:val="0"/>
                    <w:keepLines w:val="0"/>
                    <w:pageBreakBefore w:val="0"/>
                    <w:widowControl w:val="0"/>
                    <w:kinsoku/>
                    <w:wordWrap/>
                    <w:overflowPunct/>
                    <w:topLinePunct w:val="0"/>
                    <w:autoSpaceDE/>
                    <w:autoSpaceDN/>
                    <w:bidi w:val="0"/>
                    <w:adjustRightInd/>
                    <w:snapToGrid w:val="0"/>
                    <w:textAlignment w:val="auto"/>
                    <w:rPr>
                      <w:rFonts w:hint="eastAsia"/>
                      <w:color w:val="FF0000"/>
                      <w:szCs w:val="21"/>
                      <w:highlight w:val="none"/>
                      <w:lang w:val="en-US" w:eastAsia="zh-CN"/>
                    </w:rPr>
                  </w:pPr>
                  <w:r>
                    <w:rPr>
                      <w:rFonts w:hint="eastAsia"/>
                      <w:color w:val="FF0000"/>
                      <w:szCs w:val="21"/>
                      <w:highlight w:val="none"/>
                      <w:lang w:val="en-US" w:eastAsia="zh-CN"/>
                    </w:rPr>
                    <w:t>4</w:t>
                  </w:r>
                  <w:r>
                    <w:rPr>
                      <w:rFonts w:hint="eastAsia"/>
                      <w:color w:val="FF0000"/>
                      <w:highlight w:val="none"/>
                    </w:rPr>
                    <w:t>台</w:t>
                  </w:r>
                </w:p>
              </w:tc>
              <w:tc>
                <w:tcPr>
                  <w:tcW w:w="1111" w:type="pct"/>
                  <w:vAlign w:val="center"/>
                </w:tcPr>
                <w:p w14:paraId="26BA92C7">
                  <w:pPr>
                    <w:pStyle w:val="49"/>
                    <w:keepNext w:val="0"/>
                    <w:keepLines w:val="0"/>
                    <w:pageBreakBefore w:val="0"/>
                    <w:widowControl w:val="0"/>
                    <w:kinsoku/>
                    <w:wordWrap/>
                    <w:overflowPunct/>
                    <w:topLinePunct w:val="0"/>
                    <w:autoSpaceDE/>
                    <w:autoSpaceDN/>
                    <w:bidi w:val="0"/>
                    <w:adjustRightInd/>
                    <w:snapToGrid w:val="0"/>
                    <w:textAlignment w:val="auto"/>
                    <w:rPr>
                      <w:rFonts w:hint="eastAsia"/>
                      <w:color w:val="FF0000"/>
                      <w:szCs w:val="21"/>
                      <w:highlight w:val="none"/>
                      <w:lang w:val="en-US" w:eastAsia="zh-CN"/>
                    </w:rPr>
                  </w:pPr>
                  <w:r>
                    <w:rPr>
                      <w:color w:val="FF0000"/>
                    </w:rPr>
                    <w:t>/</w:t>
                  </w:r>
                </w:p>
              </w:tc>
            </w:tr>
            <w:tr w14:paraId="7BCAFC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5" w:type="pct"/>
                  <w:vAlign w:val="center"/>
                </w:tcPr>
                <w:p w14:paraId="1486AABC">
                  <w:pPr>
                    <w:pStyle w:val="49"/>
                    <w:keepNext w:val="0"/>
                    <w:keepLines w:val="0"/>
                    <w:pageBreakBefore w:val="0"/>
                    <w:widowControl w:val="0"/>
                    <w:kinsoku/>
                    <w:wordWrap/>
                    <w:overflowPunct/>
                    <w:topLinePunct w:val="0"/>
                    <w:autoSpaceDE/>
                    <w:autoSpaceDN/>
                    <w:bidi w:val="0"/>
                    <w:adjustRightInd/>
                    <w:snapToGrid w:val="0"/>
                    <w:textAlignment w:val="auto"/>
                    <w:rPr>
                      <w:rFonts w:hint="eastAsia" w:eastAsia="宋体"/>
                      <w:color w:val="auto"/>
                      <w:szCs w:val="21"/>
                      <w:highlight w:val="none"/>
                      <w:lang w:val="en-US" w:eastAsia="zh-CN"/>
                    </w:rPr>
                  </w:pPr>
                  <w:r>
                    <w:rPr>
                      <w:rFonts w:hint="eastAsia"/>
                      <w:color w:val="auto"/>
                      <w:szCs w:val="21"/>
                      <w:highlight w:val="none"/>
                      <w:lang w:val="en-US" w:eastAsia="zh-CN"/>
                    </w:rPr>
                    <w:t>7</w:t>
                  </w:r>
                </w:p>
              </w:tc>
              <w:tc>
                <w:tcPr>
                  <w:tcW w:w="1314" w:type="pct"/>
                  <w:vAlign w:val="center"/>
                </w:tcPr>
                <w:p w14:paraId="4766B13D">
                  <w:pPr>
                    <w:pStyle w:val="49"/>
                    <w:keepNext w:val="0"/>
                    <w:keepLines w:val="0"/>
                    <w:pageBreakBefore w:val="0"/>
                    <w:widowControl w:val="0"/>
                    <w:kinsoku/>
                    <w:wordWrap/>
                    <w:overflowPunct/>
                    <w:topLinePunct w:val="0"/>
                    <w:autoSpaceDE/>
                    <w:autoSpaceDN/>
                    <w:bidi w:val="0"/>
                    <w:adjustRightInd/>
                    <w:snapToGrid w:val="0"/>
                    <w:textAlignment w:val="auto"/>
                    <w:rPr>
                      <w:rFonts w:hint="default" w:eastAsia="宋体"/>
                      <w:color w:val="auto"/>
                      <w:szCs w:val="21"/>
                      <w:highlight w:val="none"/>
                      <w:lang w:val="en-US" w:eastAsia="zh-CN"/>
                    </w:rPr>
                  </w:pPr>
                  <w:r>
                    <w:rPr>
                      <w:rFonts w:hint="default" w:eastAsia="宋体"/>
                      <w:color w:val="auto"/>
                      <w:szCs w:val="21"/>
                      <w:highlight w:val="none"/>
                      <w:lang w:val="en-US" w:eastAsia="zh-CN"/>
                    </w:rPr>
                    <w:t>智能加油机器人</w:t>
                  </w:r>
                </w:p>
              </w:tc>
              <w:tc>
                <w:tcPr>
                  <w:tcW w:w="1519" w:type="pct"/>
                  <w:vAlign w:val="center"/>
                </w:tcPr>
                <w:p w14:paraId="0151DA89">
                  <w:pPr>
                    <w:pStyle w:val="49"/>
                    <w:keepNext w:val="0"/>
                    <w:keepLines w:val="0"/>
                    <w:pageBreakBefore w:val="0"/>
                    <w:widowControl w:val="0"/>
                    <w:kinsoku/>
                    <w:wordWrap/>
                    <w:overflowPunct/>
                    <w:topLinePunct w:val="0"/>
                    <w:autoSpaceDE/>
                    <w:autoSpaceDN/>
                    <w:bidi w:val="0"/>
                    <w:adjustRightInd/>
                    <w:snapToGrid w:val="0"/>
                    <w:textAlignment w:val="auto"/>
                    <w:rPr>
                      <w:rFonts w:hint="default" w:eastAsia="宋体"/>
                      <w:color w:val="auto"/>
                      <w:szCs w:val="21"/>
                      <w:highlight w:val="none"/>
                      <w:lang w:val="en-US" w:eastAsia="zh-CN"/>
                    </w:rPr>
                  </w:pPr>
                  <w:r>
                    <w:rPr>
                      <w:color w:val="auto"/>
                      <w:highlight w:val="none"/>
                    </w:rPr>
                    <w:t>/</w:t>
                  </w:r>
                </w:p>
              </w:tc>
              <w:tc>
                <w:tcPr>
                  <w:tcW w:w="690" w:type="pct"/>
                  <w:vAlign w:val="center"/>
                </w:tcPr>
                <w:p w14:paraId="6CAAF190">
                  <w:pPr>
                    <w:pStyle w:val="49"/>
                    <w:keepNext w:val="0"/>
                    <w:keepLines w:val="0"/>
                    <w:pageBreakBefore w:val="0"/>
                    <w:widowControl w:val="0"/>
                    <w:kinsoku/>
                    <w:wordWrap/>
                    <w:overflowPunct/>
                    <w:topLinePunct w:val="0"/>
                    <w:autoSpaceDE/>
                    <w:autoSpaceDN/>
                    <w:bidi w:val="0"/>
                    <w:adjustRightInd/>
                    <w:snapToGrid w:val="0"/>
                    <w:textAlignment w:val="auto"/>
                    <w:rPr>
                      <w:rFonts w:hint="default" w:eastAsia="宋体"/>
                      <w:color w:val="auto"/>
                      <w:szCs w:val="21"/>
                      <w:highlight w:val="none"/>
                      <w:lang w:val="en-US" w:eastAsia="zh-CN"/>
                    </w:rPr>
                  </w:pPr>
                  <w:r>
                    <w:rPr>
                      <w:rFonts w:hint="eastAsia"/>
                      <w:color w:val="auto"/>
                      <w:szCs w:val="21"/>
                      <w:highlight w:val="none"/>
                      <w:lang w:val="en-US" w:eastAsia="zh-CN"/>
                    </w:rPr>
                    <w:t>2台</w:t>
                  </w:r>
                </w:p>
              </w:tc>
              <w:tc>
                <w:tcPr>
                  <w:tcW w:w="1111" w:type="pct"/>
                  <w:vAlign w:val="center"/>
                </w:tcPr>
                <w:p w14:paraId="303ED1E3">
                  <w:pPr>
                    <w:pStyle w:val="49"/>
                    <w:keepNext w:val="0"/>
                    <w:keepLines w:val="0"/>
                    <w:pageBreakBefore w:val="0"/>
                    <w:widowControl w:val="0"/>
                    <w:kinsoku/>
                    <w:wordWrap/>
                    <w:overflowPunct/>
                    <w:topLinePunct w:val="0"/>
                    <w:autoSpaceDE/>
                    <w:autoSpaceDN/>
                    <w:bidi w:val="0"/>
                    <w:adjustRightInd/>
                    <w:snapToGrid w:val="0"/>
                    <w:textAlignment w:val="auto"/>
                    <w:rPr>
                      <w:color w:val="auto"/>
                      <w:szCs w:val="21"/>
                      <w:highlight w:val="none"/>
                    </w:rPr>
                  </w:pPr>
                  <w:r>
                    <w:rPr>
                      <w:rFonts w:hint="eastAsia"/>
                      <w:color w:val="auto"/>
                      <w:highlight w:val="none"/>
                    </w:rPr>
                    <w:t>/</w:t>
                  </w:r>
                </w:p>
              </w:tc>
            </w:tr>
            <w:tr w14:paraId="125C23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365" w:type="pct"/>
                  <w:vAlign w:val="center"/>
                </w:tcPr>
                <w:p w14:paraId="0AFA357E">
                  <w:pPr>
                    <w:pStyle w:val="49"/>
                    <w:keepNext w:val="0"/>
                    <w:keepLines w:val="0"/>
                    <w:pageBreakBefore w:val="0"/>
                    <w:widowControl w:val="0"/>
                    <w:numPr>
                      <w:ilvl w:val="0"/>
                      <w:numId w:val="0"/>
                    </w:numPr>
                    <w:kinsoku/>
                    <w:wordWrap/>
                    <w:overflowPunct/>
                    <w:topLinePunct w:val="0"/>
                    <w:autoSpaceDE/>
                    <w:autoSpaceDN/>
                    <w:bidi w:val="0"/>
                    <w:adjustRightInd/>
                    <w:snapToGrid w:val="0"/>
                    <w:ind w:leftChars="0"/>
                    <w:jc w:val="center"/>
                    <w:textAlignment w:val="auto"/>
                    <w:rPr>
                      <w:rFonts w:hint="eastAsia" w:eastAsia="宋体"/>
                      <w:color w:val="auto"/>
                      <w:szCs w:val="21"/>
                      <w:highlight w:val="none"/>
                      <w:lang w:val="en-US" w:eastAsia="zh-CN"/>
                    </w:rPr>
                  </w:pPr>
                  <w:r>
                    <w:rPr>
                      <w:rFonts w:hint="eastAsia"/>
                      <w:color w:val="auto"/>
                      <w:szCs w:val="21"/>
                      <w:highlight w:val="none"/>
                      <w:lang w:val="en-US" w:eastAsia="zh-CN"/>
                    </w:rPr>
                    <w:t>8</w:t>
                  </w:r>
                </w:p>
              </w:tc>
              <w:tc>
                <w:tcPr>
                  <w:tcW w:w="1314" w:type="pct"/>
                  <w:vAlign w:val="center"/>
                </w:tcPr>
                <w:p w14:paraId="17B26A65">
                  <w:pPr>
                    <w:pStyle w:val="49"/>
                    <w:keepNext w:val="0"/>
                    <w:keepLines w:val="0"/>
                    <w:pageBreakBefore w:val="0"/>
                    <w:widowControl w:val="0"/>
                    <w:kinsoku/>
                    <w:wordWrap/>
                    <w:overflowPunct/>
                    <w:topLinePunct w:val="0"/>
                    <w:autoSpaceDE/>
                    <w:autoSpaceDN/>
                    <w:bidi w:val="0"/>
                    <w:adjustRightInd/>
                    <w:snapToGrid w:val="0"/>
                    <w:textAlignment w:val="auto"/>
                    <w:rPr>
                      <w:color w:val="auto"/>
                      <w:highlight w:val="none"/>
                    </w:rPr>
                  </w:pPr>
                  <w:r>
                    <w:rPr>
                      <w:rFonts w:hint="eastAsia"/>
                      <w:color w:val="auto"/>
                      <w:highlight w:val="none"/>
                    </w:rPr>
                    <w:t>全自动洗车机</w:t>
                  </w:r>
                </w:p>
              </w:tc>
              <w:tc>
                <w:tcPr>
                  <w:tcW w:w="1519" w:type="pct"/>
                  <w:vAlign w:val="center"/>
                </w:tcPr>
                <w:p w14:paraId="2DFAA43A">
                  <w:pPr>
                    <w:pStyle w:val="49"/>
                    <w:keepNext w:val="0"/>
                    <w:keepLines w:val="0"/>
                    <w:pageBreakBefore w:val="0"/>
                    <w:widowControl w:val="0"/>
                    <w:kinsoku/>
                    <w:wordWrap/>
                    <w:overflowPunct/>
                    <w:topLinePunct w:val="0"/>
                    <w:autoSpaceDE/>
                    <w:autoSpaceDN/>
                    <w:bidi w:val="0"/>
                    <w:adjustRightInd/>
                    <w:snapToGrid w:val="0"/>
                    <w:textAlignment w:val="auto"/>
                    <w:rPr>
                      <w:color w:val="auto"/>
                      <w:highlight w:val="none"/>
                    </w:rPr>
                  </w:pPr>
                  <w:r>
                    <w:rPr>
                      <w:rFonts w:hint="eastAsia"/>
                      <w:color w:val="auto"/>
                      <w:highlight w:val="none"/>
                    </w:rPr>
                    <w:t>/</w:t>
                  </w:r>
                </w:p>
              </w:tc>
              <w:tc>
                <w:tcPr>
                  <w:tcW w:w="690" w:type="pct"/>
                  <w:vAlign w:val="center"/>
                </w:tcPr>
                <w:p w14:paraId="6B9B31FD">
                  <w:pPr>
                    <w:pStyle w:val="49"/>
                    <w:keepNext w:val="0"/>
                    <w:keepLines w:val="0"/>
                    <w:pageBreakBefore w:val="0"/>
                    <w:widowControl w:val="0"/>
                    <w:kinsoku/>
                    <w:wordWrap/>
                    <w:overflowPunct/>
                    <w:topLinePunct w:val="0"/>
                    <w:autoSpaceDE/>
                    <w:autoSpaceDN/>
                    <w:bidi w:val="0"/>
                    <w:adjustRightInd/>
                    <w:snapToGrid w:val="0"/>
                    <w:textAlignment w:val="auto"/>
                    <w:rPr>
                      <w:color w:val="auto"/>
                      <w:highlight w:val="none"/>
                    </w:rPr>
                  </w:pPr>
                  <w:r>
                    <w:rPr>
                      <w:rFonts w:hint="eastAsia"/>
                      <w:color w:val="auto"/>
                      <w:highlight w:val="none"/>
                    </w:rPr>
                    <w:t>1台</w:t>
                  </w:r>
                </w:p>
              </w:tc>
              <w:tc>
                <w:tcPr>
                  <w:tcW w:w="1111" w:type="pct"/>
                  <w:vAlign w:val="center"/>
                </w:tcPr>
                <w:p w14:paraId="72599C92">
                  <w:pPr>
                    <w:pStyle w:val="49"/>
                    <w:keepNext w:val="0"/>
                    <w:keepLines w:val="0"/>
                    <w:pageBreakBefore w:val="0"/>
                    <w:widowControl w:val="0"/>
                    <w:kinsoku/>
                    <w:wordWrap/>
                    <w:overflowPunct/>
                    <w:topLinePunct w:val="0"/>
                    <w:autoSpaceDE/>
                    <w:autoSpaceDN/>
                    <w:bidi w:val="0"/>
                    <w:adjustRightInd/>
                    <w:snapToGrid w:val="0"/>
                    <w:textAlignment w:val="auto"/>
                    <w:rPr>
                      <w:color w:val="auto"/>
                      <w:highlight w:val="none"/>
                    </w:rPr>
                  </w:pPr>
                  <w:r>
                    <w:rPr>
                      <w:rFonts w:hint="eastAsia"/>
                      <w:color w:val="auto"/>
                      <w:highlight w:val="none"/>
                    </w:rPr>
                    <w:t>/</w:t>
                  </w:r>
                </w:p>
              </w:tc>
            </w:tr>
            <w:tr w14:paraId="4F9012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jc w:val="center"/>
              </w:trPr>
              <w:tc>
                <w:tcPr>
                  <w:tcW w:w="365" w:type="pct"/>
                  <w:vAlign w:val="center"/>
                </w:tcPr>
                <w:p w14:paraId="21D9C029">
                  <w:pPr>
                    <w:pStyle w:val="49"/>
                    <w:keepNext w:val="0"/>
                    <w:keepLines w:val="0"/>
                    <w:pageBreakBefore w:val="0"/>
                    <w:widowControl w:val="0"/>
                    <w:kinsoku/>
                    <w:wordWrap/>
                    <w:overflowPunct/>
                    <w:topLinePunct w:val="0"/>
                    <w:autoSpaceDE/>
                    <w:autoSpaceDN/>
                    <w:bidi w:val="0"/>
                    <w:adjustRightInd/>
                    <w:snapToGrid w:val="0"/>
                    <w:textAlignment w:val="auto"/>
                    <w:rPr>
                      <w:rFonts w:hint="default"/>
                      <w:color w:val="FF0000"/>
                      <w:szCs w:val="21"/>
                      <w:highlight w:val="none"/>
                      <w:lang w:val="en-US" w:eastAsia="zh-CN"/>
                    </w:rPr>
                  </w:pPr>
                  <w:r>
                    <w:rPr>
                      <w:rFonts w:hint="eastAsia"/>
                      <w:color w:val="FF0000"/>
                      <w:szCs w:val="21"/>
                      <w:highlight w:val="none"/>
                      <w:lang w:val="en-US" w:eastAsia="zh-CN"/>
                    </w:rPr>
                    <w:t>9</w:t>
                  </w:r>
                </w:p>
              </w:tc>
              <w:tc>
                <w:tcPr>
                  <w:tcW w:w="1314" w:type="pct"/>
                  <w:vAlign w:val="center"/>
                </w:tcPr>
                <w:p w14:paraId="2C79FBC7">
                  <w:pPr>
                    <w:pStyle w:val="49"/>
                    <w:keepNext w:val="0"/>
                    <w:keepLines w:val="0"/>
                    <w:pageBreakBefore w:val="0"/>
                    <w:widowControl w:val="0"/>
                    <w:kinsoku/>
                    <w:wordWrap/>
                    <w:overflowPunct/>
                    <w:topLinePunct w:val="0"/>
                    <w:autoSpaceDE/>
                    <w:autoSpaceDN/>
                    <w:bidi w:val="0"/>
                    <w:adjustRightInd/>
                    <w:snapToGrid w:val="0"/>
                    <w:textAlignment w:val="auto"/>
                    <w:rPr>
                      <w:rFonts w:hint="eastAsia"/>
                      <w:color w:val="FF0000"/>
                      <w:szCs w:val="21"/>
                      <w:highlight w:val="none"/>
                      <w:lang w:val="en-US" w:eastAsia="zh-CN"/>
                    </w:rPr>
                  </w:pPr>
                  <w:r>
                    <w:rPr>
                      <w:rFonts w:hint="eastAsia"/>
                      <w:color w:val="FF0000"/>
                      <w:szCs w:val="21"/>
                      <w:highlight w:val="none"/>
                      <w:lang w:val="en-US" w:eastAsia="zh-CN"/>
                    </w:rPr>
                    <w:t>卸油防溢阀</w:t>
                  </w:r>
                </w:p>
              </w:tc>
              <w:tc>
                <w:tcPr>
                  <w:tcW w:w="1519" w:type="pct"/>
                  <w:vAlign w:val="center"/>
                </w:tcPr>
                <w:p w14:paraId="4FE8F613">
                  <w:pPr>
                    <w:pStyle w:val="49"/>
                    <w:keepNext w:val="0"/>
                    <w:keepLines w:val="0"/>
                    <w:pageBreakBefore w:val="0"/>
                    <w:widowControl w:val="0"/>
                    <w:kinsoku/>
                    <w:wordWrap/>
                    <w:overflowPunct/>
                    <w:topLinePunct w:val="0"/>
                    <w:autoSpaceDE/>
                    <w:autoSpaceDN/>
                    <w:bidi w:val="0"/>
                    <w:adjustRightInd/>
                    <w:snapToGrid w:val="0"/>
                    <w:textAlignment w:val="auto"/>
                    <w:rPr>
                      <w:rFonts w:hint="eastAsia"/>
                      <w:color w:val="FF0000"/>
                      <w:szCs w:val="21"/>
                      <w:highlight w:val="none"/>
                      <w:lang w:val="en-US" w:eastAsia="zh-CN"/>
                    </w:rPr>
                  </w:pPr>
                  <w:r>
                    <w:rPr>
                      <w:rFonts w:hint="eastAsia" w:ascii="Times New Roman" w:hAnsi="Times New Roman" w:eastAsia="宋体"/>
                      <w:color w:val="FF0000"/>
                    </w:rPr>
                    <w:t>D</w:t>
                  </w:r>
                  <w:r>
                    <w:rPr>
                      <w:rFonts w:ascii="Times New Roman" w:hAnsi="Times New Roman" w:eastAsia="宋体"/>
                      <w:color w:val="FF0000"/>
                    </w:rPr>
                    <w:t>N100</w:t>
                  </w:r>
                </w:p>
              </w:tc>
              <w:tc>
                <w:tcPr>
                  <w:tcW w:w="690" w:type="pct"/>
                  <w:vAlign w:val="center"/>
                </w:tcPr>
                <w:p w14:paraId="11070C1E">
                  <w:pPr>
                    <w:pStyle w:val="49"/>
                    <w:keepNext w:val="0"/>
                    <w:keepLines w:val="0"/>
                    <w:pageBreakBefore w:val="0"/>
                    <w:widowControl w:val="0"/>
                    <w:kinsoku/>
                    <w:wordWrap/>
                    <w:overflowPunct/>
                    <w:topLinePunct w:val="0"/>
                    <w:autoSpaceDE/>
                    <w:autoSpaceDN/>
                    <w:bidi w:val="0"/>
                    <w:adjustRightInd/>
                    <w:snapToGrid w:val="0"/>
                    <w:textAlignment w:val="auto"/>
                    <w:rPr>
                      <w:rFonts w:hint="default"/>
                      <w:color w:val="FF0000"/>
                      <w:szCs w:val="21"/>
                      <w:highlight w:val="none"/>
                      <w:lang w:val="en-US" w:eastAsia="zh-CN"/>
                    </w:rPr>
                  </w:pPr>
                  <w:r>
                    <w:rPr>
                      <w:rFonts w:hint="eastAsia"/>
                      <w:color w:val="FF0000"/>
                      <w:szCs w:val="21"/>
                      <w:highlight w:val="none"/>
                      <w:lang w:val="en-US" w:eastAsia="zh-CN"/>
                    </w:rPr>
                    <w:t>5个</w:t>
                  </w:r>
                </w:p>
              </w:tc>
              <w:tc>
                <w:tcPr>
                  <w:tcW w:w="1111" w:type="pct"/>
                  <w:vAlign w:val="center"/>
                </w:tcPr>
                <w:p w14:paraId="7B5E62D6">
                  <w:pPr>
                    <w:pStyle w:val="49"/>
                    <w:keepNext w:val="0"/>
                    <w:keepLines w:val="0"/>
                    <w:pageBreakBefore w:val="0"/>
                    <w:widowControl w:val="0"/>
                    <w:kinsoku/>
                    <w:wordWrap/>
                    <w:overflowPunct/>
                    <w:topLinePunct w:val="0"/>
                    <w:autoSpaceDE/>
                    <w:autoSpaceDN/>
                    <w:bidi w:val="0"/>
                    <w:adjustRightInd/>
                    <w:snapToGrid w:val="0"/>
                    <w:textAlignment w:val="auto"/>
                    <w:rPr>
                      <w:rFonts w:hint="eastAsia"/>
                      <w:color w:val="FF0000"/>
                      <w:szCs w:val="21"/>
                      <w:highlight w:val="none"/>
                      <w:lang w:val="en-US" w:eastAsia="zh-CN"/>
                    </w:rPr>
                  </w:pPr>
                  <w:r>
                    <w:rPr>
                      <w:rFonts w:hint="eastAsia"/>
                      <w:color w:val="FF0000"/>
                      <w:highlight w:val="none"/>
                    </w:rPr>
                    <w:t>/</w:t>
                  </w:r>
                </w:p>
              </w:tc>
            </w:tr>
            <w:tr w14:paraId="514A24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5" w:type="pct"/>
                  <w:vAlign w:val="center"/>
                </w:tcPr>
                <w:p w14:paraId="07F9EFA9">
                  <w:pPr>
                    <w:pStyle w:val="49"/>
                    <w:keepNext w:val="0"/>
                    <w:keepLines w:val="0"/>
                    <w:pageBreakBefore w:val="0"/>
                    <w:widowControl w:val="0"/>
                    <w:kinsoku/>
                    <w:wordWrap/>
                    <w:overflowPunct/>
                    <w:topLinePunct w:val="0"/>
                    <w:autoSpaceDE/>
                    <w:autoSpaceDN/>
                    <w:bidi w:val="0"/>
                    <w:adjustRightInd/>
                    <w:snapToGrid w:val="0"/>
                    <w:textAlignment w:val="auto"/>
                    <w:rPr>
                      <w:rFonts w:hint="default"/>
                      <w:color w:val="FF0000"/>
                      <w:szCs w:val="21"/>
                      <w:highlight w:val="none"/>
                      <w:lang w:val="en-US" w:eastAsia="zh-CN"/>
                    </w:rPr>
                  </w:pPr>
                  <w:r>
                    <w:rPr>
                      <w:rFonts w:hint="eastAsia"/>
                      <w:color w:val="FF0000"/>
                      <w:szCs w:val="21"/>
                      <w:highlight w:val="none"/>
                      <w:lang w:val="en-US" w:eastAsia="zh-CN"/>
                    </w:rPr>
                    <w:t>10</w:t>
                  </w:r>
                </w:p>
              </w:tc>
              <w:tc>
                <w:tcPr>
                  <w:tcW w:w="1314" w:type="pct"/>
                  <w:vAlign w:val="center"/>
                </w:tcPr>
                <w:p w14:paraId="06E68696">
                  <w:pPr>
                    <w:pStyle w:val="49"/>
                    <w:keepNext w:val="0"/>
                    <w:keepLines w:val="0"/>
                    <w:pageBreakBefore w:val="0"/>
                    <w:widowControl w:val="0"/>
                    <w:kinsoku/>
                    <w:wordWrap/>
                    <w:overflowPunct/>
                    <w:topLinePunct w:val="0"/>
                    <w:autoSpaceDE/>
                    <w:autoSpaceDN/>
                    <w:bidi w:val="0"/>
                    <w:adjustRightInd/>
                    <w:snapToGrid w:val="0"/>
                    <w:textAlignment w:val="auto"/>
                    <w:rPr>
                      <w:rFonts w:hint="eastAsia"/>
                      <w:color w:val="FF0000"/>
                      <w:szCs w:val="21"/>
                      <w:highlight w:val="none"/>
                      <w:lang w:val="en-US" w:eastAsia="zh-CN"/>
                    </w:rPr>
                  </w:pPr>
                  <w:r>
                    <w:rPr>
                      <w:rFonts w:hint="eastAsia" w:ascii="Times New Roman" w:hAnsi="Times New Roman" w:eastAsia="宋体" w:cs="Times New Roman"/>
                      <w:color w:val="FF0000"/>
                      <w:kern w:val="0"/>
                      <w:szCs w:val="21"/>
                    </w:rPr>
                    <w:t>防雨型阻火帽</w:t>
                  </w:r>
                </w:p>
              </w:tc>
              <w:tc>
                <w:tcPr>
                  <w:tcW w:w="1519" w:type="pct"/>
                  <w:vAlign w:val="center"/>
                </w:tcPr>
                <w:p w14:paraId="499CD2E4">
                  <w:pPr>
                    <w:pStyle w:val="49"/>
                    <w:keepNext w:val="0"/>
                    <w:keepLines w:val="0"/>
                    <w:pageBreakBefore w:val="0"/>
                    <w:widowControl w:val="0"/>
                    <w:kinsoku/>
                    <w:wordWrap/>
                    <w:overflowPunct/>
                    <w:topLinePunct w:val="0"/>
                    <w:autoSpaceDE/>
                    <w:autoSpaceDN/>
                    <w:bidi w:val="0"/>
                    <w:adjustRightInd/>
                    <w:snapToGrid w:val="0"/>
                    <w:textAlignment w:val="auto"/>
                    <w:rPr>
                      <w:rFonts w:hint="eastAsia"/>
                      <w:color w:val="FF0000"/>
                      <w:szCs w:val="21"/>
                      <w:highlight w:val="none"/>
                      <w:lang w:val="en-US" w:eastAsia="zh-CN"/>
                    </w:rPr>
                  </w:pPr>
                  <w:r>
                    <w:rPr>
                      <w:rFonts w:hint="eastAsia" w:ascii="Times New Roman" w:hAnsi="Times New Roman" w:eastAsia="宋体"/>
                      <w:color w:val="FF0000"/>
                    </w:rPr>
                    <w:t>D</w:t>
                  </w:r>
                  <w:r>
                    <w:rPr>
                      <w:rFonts w:ascii="Times New Roman" w:hAnsi="Times New Roman" w:eastAsia="宋体"/>
                      <w:color w:val="FF0000"/>
                    </w:rPr>
                    <w:t>N50  PN6</w:t>
                  </w:r>
                </w:p>
              </w:tc>
              <w:tc>
                <w:tcPr>
                  <w:tcW w:w="690" w:type="pct"/>
                  <w:vAlign w:val="center"/>
                </w:tcPr>
                <w:p w14:paraId="7EC08E9E">
                  <w:pPr>
                    <w:pStyle w:val="49"/>
                    <w:keepNext w:val="0"/>
                    <w:keepLines w:val="0"/>
                    <w:pageBreakBefore w:val="0"/>
                    <w:widowControl w:val="0"/>
                    <w:kinsoku/>
                    <w:wordWrap/>
                    <w:overflowPunct/>
                    <w:topLinePunct w:val="0"/>
                    <w:autoSpaceDE/>
                    <w:autoSpaceDN/>
                    <w:bidi w:val="0"/>
                    <w:adjustRightInd/>
                    <w:snapToGrid w:val="0"/>
                    <w:textAlignment w:val="auto"/>
                    <w:rPr>
                      <w:rFonts w:hint="default"/>
                      <w:color w:val="FF0000"/>
                      <w:szCs w:val="21"/>
                      <w:highlight w:val="none"/>
                      <w:lang w:val="en-US" w:eastAsia="zh-CN"/>
                    </w:rPr>
                  </w:pPr>
                  <w:r>
                    <w:rPr>
                      <w:rFonts w:hint="eastAsia"/>
                      <w:color w:val="FF0000"/>
                      <w:szCs w:val="21"/>
                      <w:highlight w:val="none"/>
                      <w:lang w:val="en-US" w:eastAsia="zh-CN"/>
                    </w:rPr>
                    <w:t>3个</w:t>
                  </w:r>
                </w:p>
              </w:tc>
              <w:tc>
                <w:tcPr>
                  <w:tcW w:w="1111" w:type="pct"/>
                  <w:vAlign w:val="center"/>
                </w:tcPr>
                <w:p w14:paraId="15386231">
                  <w:pPr>
                    <w:pStyle w:val="49"/>
                    <w:keepNext w:val="0"/>
                    <w:keepLines w:val="0"/>
                    <w:pageBreakBefore w:val="0"/>
                    <w:widowControl w:val="0"/>
                    <w:kinsoku/>
                    <w:wordWrap/>
                    <w:overflowPunct/>
                    <w:topLinePunct w:val="0"/>
                    <w:autoSpaceDE/>
                    <w:autoSpaceDN/>
                    <w:bidi w:val="0"/>
                    <w:adjustRightInd/>
                    <w:snapToGrid w:val="0"/>
                    <w:textAlignment w:val="auto"/>
                    <w:rPr>
                      <w:rFonts w:hint="eastAsia"/>
                      <w:color w:val="FF0000"/>
                      <w:szCs w:val="21"/>
                      <w:highlight w:val="none"/>
                      <w:lang w:val="en-US" w:eastAsia="zh-CN"/>
                    </w:rPr>
                  </w:pPr>
                  <w:r>
                    <w:rPr>
                      <w:rFonts w:hint="eastAsia"/>
                      <w:color w:val="FF0000"/>
                      <w:highlight w:val="none"/>
                    </w:rPr>
                    <w:t>/</w:t>
                  </w:r>
                </w:p>
              </w:tc>
            </w:tr>
            <w:tr w14:paraId="584808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5" w:type="pct"/>
                  <w:vAlign w:val="center"/>
                </w:tcPr>
                <w:p w14:paraId="34DF7A25">
                  <w:pPr>
                    <w:pStyle w:val="49"/>
                    <w:keepNext w:val="0"/>
                    <w:keepLines w:val="0"/>
                    <w:pageBreakBefore w:val="0"/>
                    <w:widowControl w:val="0"/>
                    <w:kinsoku/>
                    <w:wordWrap/>
                    <w:overflowPunct/>
                    <w:topLinePunct w:val="0"/>
                    <w:autoSpaceDE/>
                    <w:autoSpaceDN/>
                    <w:bidi w:val="0"/>
                    <w:adjustRightInd/>
                    <w:snapToGrid w:val="0"/>
                    <w:textAlignment w:val="auto"/>
                    <w:rPr>
                      <w:rFonts w:hint="default"/>
                      <w:color w:val="FF0000"/>
                      <w:szCs w:val="21"/>
                      <w:highlight w:val="none"/>
                      <w:lang w:val="en-US" w:eastAsia="zh-CN"/>
                    </w:rPr>
                  </w:pPr>
                  <w:r>
                    <w:rPr>
                      <w:rFonts w:hint="eastAsia"/>
                      <w:color w:val="FF0000"/>
                      <w:szCs w:val="21"/>
                      <w:highlight w:val="none"/>
                      <w:lang w:val="en-US" w:eastAsia="zh-CN"/>
                    </w:rPr>
                    <w:t>11</w:t>
                  </w:r>
                </w:p>
              </w:tc>
              <w:tc>
                <w:tcPr>
                  <w:tcW w:w="1314" w:type="pct"/>
                  <w:vAlign w:val="center"/>
                </w:tcPr>
                <w:p w14:paraId="461699E9">
                  <w:pPr>
                    <w:pStyle w:val="49"/>
                    <w:keepNext w:val="0"/>
                    <w:keepLines w:val="0"/>
                    <w:pageBreakBefore w:val="0"/>
                    <w:widowControl w:val="0"/>
                    <w:kinsoku/>
                    <w:wordWrap/>
                    <w:overflowPunct/>
                    <w:topLinePunct w:val="0"/>
                    <w:autoSpaceDE/>
                    <w:autoSpaceDN/>
                    <w:bidi w:val="0"/>
                    <w:adjustRightInd/>
                    <w:snapToGrid w:val="0"/>
                    <w:textAlignment w:val="auto"/>
                    <w:rPr>
                      <w:rFonts w:hint="eastAsia"/>
                      <w:color w:val="FF0000"/>
                      <w:szCs w:val="21"/>
                      <w:highlight w:val="none"/>
                      <w:lang w:val="en-US" w:eastAsia="zh-CN"/>
                    </w:rPr>
                  </w:pPr>
                  <w:r>
                    <w:rPr>
                      <w:rFonts w:hint="eastAsia" w:ascii="Times New Roman" w:hAnsi="Times New Roman" w:eastAsia="宋体" w:cs="Times New Roman"/>
                      <w:color w:val="FF0000"/>
                      <w:kern w:val="0"/>
                      <w:szCs w:val="21"/>
                    </w:rPr>
                    <w:t>带阻火功能机械呼吸阀</w:t>
                  </w:r>
                </w:p>
              </w:tc>
              <w:tc>
                <w:tcPr>
                  <w:tcW w:w="1519" w:type="pct"/>
                  <w:vAlign w:val="center"/>
                </w:tcPr>
                <w:p w14:paraId="276FA03F">
                  <w:pPr>
                    <w:pStyle w:val="49"/>
                    <w:keepNext w:val="0"/>
                    <w:keepLines w:val="0"/>
                    <w:pageBreakBefore w:val="0"/>
                    <w:widowControl w:val="0"/>
                    <w:kinsoku/>
                    <w:wordWrap/>
                    <w:overflowPunct/>
                    <w:topLinePunct w:val="0"/>
                    <w:autoSpaceDE/>
                    <w:autoSpaceDN/>
                    <w:bidi w:val="0"/>
                    <w:adjustRightInd/>
                    <w:snapToGrid w:val="0"/>
                    <w:textAlignment w:val="auto"/>
                    <w:rPr>
                      <w:rFonts w:hint="eastAsia"/>
                      <w:color w:val="FF0000"/>
                      <w:szCs w:val="21"/>
                      <w:highlight w:val="none"/>
                      <w:lang w:val="en-US" w:eastAsia="zh-CN"/>
                    </w:rPr>
                  </w:pPr>
                  <w:r>
                    <w:rPr>
                      <w:rFonts w:hint="eastAsia" w:ascii="Times New Roman" w:hAnsi="Times New Roman" w:eastAsia="宋体"/>
                      <w:color w:val="FF0000"/>
                    </w:rPr>
                    <w:t>D</w:t>
                  </w:r>
                  <w:r>
                    <w:rPr>
                      <w:rFonts w:ascii="Times New Roman" w:hAnsi="Times New Roman" w:eastAsia="宋体"/>
                      <w:color w:val="FF0000"/>
                    </w:rPr>
                    <w:t>N50  PN10</w:t>
                  </w:r>
                </w:p>
              </w:tc>
              <w:tc>
                <w:tcPr>
                  <w:tcW w:w="690" w:type="pct"/>
                  <w:vAlign w:val="center"/>
                </w:tcPr>
                <w:p w14:paraId="0AF408C1">
                  <w:pPr>
                    <w:pStyle w:val="49"/>
                    <w:keepNext w:val="0"/>
                    <w:keepLines w:val="0"/>
                    <w:pageBreakBefore w:val="0"/>
                    <w:widowControl w:val="0"/>
                    <w:kinsoku/>
                    <w:wordWrap/>
                    <w:overflowPunct/>
                    <w:topLinePunct w:val="0"/>
                    <w:autoSpaceDE/>
                    <w:autoSpaceDN/>
                    <w:bidi w:val="0"/>
                    <w:adjustRightInd/>
                    <w:snapToGrid w:val="0"/>
                    <w:textAlignment w:val="auto"/>
                    <w:rPr>
                      <w:rFonts w:hint="default"/>
                      <w:color w:val="FF0000"/>
                      <w:szCs w:val="21"/>
                      <w:highlight w:val="none"/>
                      <w:lang w:val="en-US" w:eastAsia="zh-CN"/>
                    </w:rPr>
                  </w:pPr>
                  <w:r>
                    <w:rPr>
                      <w:rFonts w:hint="eastAsia"/>
                      <w:color w:val="FF0000"/>
                      <w:szCs w:val="21"/>
                      <w:highlight w:val="none"/>
                      <w:lang w:val="en-US" w:eastAsia="zh-CN"/>
                    </w:rPr>
                    <w:t>1个</w:t>
                  </w:r>
                </w:p>
              </w:tc>
              <w:tc>
                <w:tcPr>
                  <w:tcW w:w="1111" w:type="pct"/>
                  <w:vAlign w:val="center"/>
                </w:tcPr>
                <w:p w14:paraId="50D8C5AB">
                  <w:pPr>
                    <w:pStyle w:val="49"/>
                    <w:keepNext w:val="0"/>
                    <w:keepLines w:val="0"/>
                    <w:pageBreakBefore w:val="0"/>
                    <w:widowControl w:val="0"/>
                    <w:kinsoku/>
                    <w:wordWrap/>
                    <w:overflowPunct/>
                    <w:topLinePunct w:val="0"/>
                    <w:autoSpaceDE/>
                    <w:autoSpaceDN/>
                    <w:bidi w:val="0"/>
                    <w:adjustRightInd/>
                    <w:snapToGrid w:val="0"/>
                    <w:textAlignment w:val="auto"/>
                    <w:rPr>
                      <w:rFonts w:hint="eastAsia"/>
                      <w:color w:val="FF0000"/>
                      <w:szCs w:val="21"/>
                      <w:highlight w:val="none"/>
                      <w:lang w:val="en-US" w:eastAsia="zh-CN"/>
                    </w:rPr>
                  </w:pPr>
                  <w:r>
                    <w:rPr>
                      <w:rFonts w:hint="eastAsia"/>
                      <w:color w:val="FF0000"/>
                      <w:highlight w:val="none"/>
                    </w:rPr>
                    <w:t>/</w:t>
                  </w:r>
                </w:p>
              </w:tc>
            </w:tr>
            <w:tr w14:paraId="30E140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5" w:type="pct"/>
                  <w:vAlign w:val="center"/>
                </w:tcPr>
                <w:p w14:paraId="76C7396B">
                  <w:pPr>
                    <w:pStyle w:val="49"/>
                    <w:keepNext w:val="0"/>
                    <w:keepLines w:val="0"/>
                    <w:pageBreakBefore w:val="0"/>
                    <w:widowControl w:val="0"/>
                    <w:kinsoku/>
                    <w:wordWrap/>
                    <w:overflowPunct/>
                    <w:topLinePunct w:val="0"/>
                    <w:autoSpaceDE/>
                    <w:autoSpaceDN/>
                    <w:bidi w:val="0"/>
                    <w:adjustRightInd/>
                    <w:snapToGrid w:val="0"/>
                    <w:textAlignment w:val="auto"/>
                    <w:rPr>
                      <w:rFonts w:hint="default"/>
                      <w:color w:val="FF0000"/>
                      <w:szCs w:val="21"/>
                      <w:highlight w:val="none"/>
                      <w:lang w:val="en-US" w:eastAsia="zh-CN"/>
                    </w:rPr>
                  </w:pPr>
                  <w:r>
                    <w:rPr>
                      <w:rFonts w:hint="eastAsia"/>
                      <w:color w:val="FF0000"/>
                      <w:szCs w:val="21"/>
                      <w:highlight w:val="none"/>
                      <w:lang w:val="en-US" w:eastAsia="zh-CN"/>
                    </w:rPr>
                    <w:t>12</w:t>
                  </w:r>
                </w:p>
              </w:tc>
              <w:tc>
                <w:tcPr>
                  <w:tcW w:w="1314" w:type="pct"/>
                  <w:vAlign w:val="center"/>
                </w:tcPr>
                <w:p w14:paraId="31F0E7A7">
                  <w:pPr>
                    <w:pStyle w:val="49"/>
                    <w:keepNext w:val="0"/>
                    <w:keepLines w:val="0"/>
                    <w:pageBreakBefore w:val="0"/>
                    <w:widowControl w:val="0"/>
                    <w:kinsoku/>
                    <w:wordWrap/>
                    <w:overflowPunct/>
                    <w:topLinePunct w:val="0"/>
                    <w:autoSpaceDE/>
                    <w:autoSpaceDN/>
                    <w:bidi w:val="0"/>
                    <w:adjustRightInd/>
                    <w:snapToGrid w:val="0"/>
                    <w:textAlignment w:val="auto"/>
                    <w:rPr>
                      <w:rFonts w:hint="eastAsia"/>
                      <w:color w:val="FF0000"/>
                      <w:szCs w:val="21"/>
                      <w:highlight w:val="none"/>
                      <w:lang w:val="en-US" w:eastAsia="zh-CN"/>
                    </w:rPr>
                  </w:pPr>
                  <w:r>
                    <w:rPr>
                      <w:rFonts w:hint="eastAsia" w:ascii="Times New Roman" w:hAnsi="Times New Roman" w:eastAsia="宋体" w:cs="Times New Roman"/>
                      <w:color w:val="FF0000"/>
                      <w:kern w:val="0"/>
                      <w:szCs w:val="21"/>
                    </w:rPr>
                    <w:t>一体化密闭卸油口箱</w:t>
                  </w:r>
                </w:p>
              </w:tc>
              <w:tc>
                <w:tcPr>
                  <w:tcW w:w="1519" w:type="pct"/>
                  <w:vAlign w:val="center"/>
                </w:tcPr>
                <w:p w14:paraId="05341E69">
                  <w:pPr>
                    <w:pStyle w:val="49"/>
                    <w:keepNext w:val="0"/>
                    <w:keepLines w:val="0"/>
                    <w:pageBreakBefore w:val="0"/>
                    <w:widowControl w:val="0"/>
                    <w:kinsoku/>
                    <w:wordWrap/>
                    <w:overflowPunct/>
                    <w:topLinePunct w:val="0"/>
                    <w:autoSpaceDE/>
                    <w:autoSpaceDN/>
                    <w:bidi w:val="0"/>
                    <w:adjustRightInd/>
                    <w:snapToGrid w:val="0"/>
                    <w:textAlignment w:val="auto"/>
                    <w:rPr>
                      <w:rFonts w:hint="default"/>
                      <w:color w:val="FF0000"/>
                      <w:szCs w:val="21"/>
                      <w:highlight w:val="none"/>
                      <w:lang w:val="en-US" w:eastAsia="zh-CN"/>
                    </w:rPr>
                  </w:pPr>
                  <w:r>
                    <w:rPr>
                      <w:rFonts w:hint="eastAsia"/>
                      <w:color w:val="FF0000"/>
                      <w:szCs w:val="21"/>
                      <w:highlight w:val="none"/>
                      <w:lang w:val="en-US" w:eastAsia="zh-CN"/>
                    </w:rPr>
                    <w:t>5孔</w:t>
                  </w:r>
                </w:p>
              </w:tc>
              <w:tc>
                <w:tcPr>
                  <w:tcW w:w="690" w:type="pct"/>
                  <w:vAlign w:val="center"/>
                </w:tcPr>
                <w:p w14:paraId="69B57C34">
                  <w:pPr>
                    <w:pStyle w:val="49"/>
                    <w:keepNext w:val="0"/>
                    <w:keepLines w:val="0"/>
                    <w:pageBreakBefore w:val="0"/>
                    <w:widowControl w:val="0"/>
                    <w:kinsoku/>
                    <w:wordWrap/>
                    <w:overflowPunct/>
                    <w:topLinePunct w:val="0"/>
                    <w:autoSpaceDE/>
                    <w:autoSpaceDN/>
                    <w:bidi w:val="0"/>
                    <w:adjustRightInd/>
                    <w:snapToGrid w:val="0"/>
                    <w:textAlignment w:val="auto"/>
                    <w:rPr>
                      <w:rFonts w:hint="default"/>
                      <w:color w:val="FF0000"/>
                      <w:szCs w:val="21"/>
                      <w:highlight w:val="none"/>
                      <w:lang w:val="en-US" w:eastAsia="zh-CN"/>
                    </w:rPr>
                  </w:pPr>
                  <w:r>
                    <w:rPr>
                      <w:rFonts w:hint="eastAsia"/>
                      <w:color w:val="FF0000"/>
                      <w:szCs w:val="21"/>
                      <w:highlight w:val="none"/>
                      <w:lang w:val="en-US" w:eastAsia="zh-CN"/>
                    </w:rPr>
                    <w:t>1个</w:t>
                  </w:r>
                </w:p>
              </w:tc>
              <w:tc>
                <w:tcPr>
                  <w:tcW w:w="1111" w:type="pct"/>
                  <w:vAlign w:val="center"/>
                </w:tcPr>
                <w:p w14:paraId="1D9A43F0">
                  <w:pPr>
                    <w:pStyle w:val="49"/>
                    <w:keepNext w:val="0"/>
                    <w:keepLines w:val="0"/>
                    <w:pageBreakBefore w:val="0"/>
                    <w:widowControl w:val="0"/>
                    <w:kinsoku/>
                    <w:wordWrap/>
                    <w:overflowPunct/>
                    <w:topLinePunct w:val="0"/>
                    <w:autoSpaceDE/>
                    <w:autoSpaceDN/>
                    <w:bidi w:val="0"/>
                    <w:adjustRightInd/>
                    <w:snapToGrid w:val="0"/>
                    <w:textAlignment w:val="auto"/>
                    <w:rPr>
                      <w:rFonts w:hint="eastAsia"/>
                      <w:color w:val="FF0000"/>
                      <w:szCs w:val="21"/>
                      <w:highlight w:val="none"/>
                      <w:lang w:val="en-US" w:eastAsia="zh-CN"/>
                    </w:rPr>
                  </w:pPr>
                  <w:r>
                    <w:rPr>
                      <w:rFonts w:hint="eastAsia"/>
                      <w:color w:val="FF0000"/>
                      <w:highlight w:val="none"/>
                    </w:rPr>
                    <w:t>/</w:t>
                  </w:r>
                </w:p>
              </w:tc>
            </w:tr>
            <w:tr w14:paraId="1D8C06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65" w:type="pct"/>
                  <w:vAlign w:val="center"/>
                </w:tcPr>
                <w:p w14:paraId="4A56CA92">
                  <w:pPr>
                    <w:pStyle w:val="49"/>
                    <w:keepNext w:val="0"/>
                    <w:keepLines w:val="0"/>
                    <w:pageBreakBefore w:val="0"/>
                    <w:widowControl w:val="0"/>
                    <w:kinsoku/>
                    <w:wordWrap/>
                    <w:overflowPunct/>
                    <w:topLinePunct w:val="0"/>
                    <w:autoSpaceDE/>
                    <w:autoSpaceDN/>
                    <w:bidi w:val="0"/>
                    <w:adjustRightInd/>
                    <w:snapToGrid w:val="0"/>
                    <w:textAlignment w:val="auto"/>
                    <w:rPr>
                      <w:rFonts w:hint="default"/>
                      <w:color w:val="FF0000"/>
                      <w:szCs w:val="21"/>
                      <w:highlight w:val="none"/>
                      <w:lang w:val="en-US" w:eastAsia="zh-CN"/>
                    </w:rPr>
                  </w:pPr>
                  <w:r>
                    <w:rPr>
                      <w:rFonts w:hint="eastAsia"/>
                      <w:color w:val="FF0000"/>
                      <w:szCs w:val="21"/>
                      <w:highlight w:val="none"/>
                      <w:lang w:val="en-US" w:eastAsia="zh-CN"/>
                    </w:rPr>
                    <w:t>13</w:t>
                  </w:r>
                </w:p>
              </w:tc>
              <w:tc>
                <w:tcPr>
                  <w:tcW w:w="1314" w:type="pct"/>
                  <w:vAlign w:val="center"/>
                </w:tcPr>
                <w:p w14:paraId="60C2148C">
                  <w:pPr>
                    <w:pStyle w:val="49"/>
                    <w:keepNext w:val="0"/>
                    <w:keepLines w:val="0"/>
                    <w:pageBreakBefore w:val="0"/>
                    <w:widowControl w:val="0"/>
                    <w:kinsoku/>
                    <w:wordWrap/>
                    <w:overflowPunct/>
                    <w:topLinePunct w:val="0"/>
                    <w:autoSpaceDE/>
                    <w:autoSpaceDN/>
                    <w:bidi w:val="0"/>
                    <w:adjustRightInd/>
                    <w:snapToGrid w:val="0"/>
                    <w:textAlignment w:val="auto"/>
                    <w:rPr>
                      <w:rFonts w:hint="eastAsia"/>
                      <w:color w:val="FF0000"/>
                      <w:szCs w:val="21"/>
                      <w:highlight w:val="none"/>
                      <w:lang w:val="en-US" w:eastAsia="zh-CN"/>
                    </w:rPr>
                  </w:pPr>
                  <w:r>
                    <w:rPr>
                      <w:rFonts w:hint="eastAsia" w:ascii="Times New Roman" w:hAnsi="Times New Roman" w:eastAsia="宋体" w:cs="宋体"/>
                      <w:color w:val="FF0000"/>
                      <w:kern w:val="0"/>
                      <w:szCs w:val="21"/>
                    </w:rPr>
                    <w:t>静电接地报警器</w:t>
                  </w:r>
                </w:p>
              </w:tc>
              <w:tc>
                <w:tcPr>
                  <w:tcW w:w="1519" w:type="pct"/>
                  <w:vAlign w:val="center"/>
                </w:tcPr>
                <w:p w14:paraId="13921FA1">
                  <w:pPr>
                    <w:pStyle w:val="49"/>
                    <w:keepNext w:val="0"/>
                    <w:keepLines w:val="0"/>
                    <w:pageBreakBefore w:val="0"/>
                    <w:widowControl w:val="0"/>
                    <w:kinsoku/>
                    <w:wordWrap/>
                    <w:overflowPunct/>
                    <w:topLinePunct w:val="0"/>
                    <w:autoSpaceDE/>
                    <w:autoSpaceDN/>
                    <w:bidi w:val="0"/>
                    <w:adjustRightInd/>
                    <w:snapToGrid w:val="0"/>
                    <w:textAlignment w:val="auto"/>
                    <w:rPr>
                      <w:rFonts w:hint="eastAsia"/>
                      <w:color w:val="FF0000"/>
                      <w:szCs w:val="21"/>
                      <w:highlight w:val="none"/>
                      <w:lang w:val="en-US" w:eastAsia="zh-CN"/>
                    </w:rPr>
                  </w:pPr>
                  <w:r>
                    <w:rPr>
                      <w:rFonts w:hint="eastAsia"/>
                      <w:color w:val="FF0000"/>
                      <w:highlight w:val="none"/>
                    </w:rPr>
                    <w:t>/</w:t>
                  </w:r>
                </w:p>
              </w:tc>
              <w:tc>
                <w:tcPr>
                  <w:tcW w:w="690" w:type="pct"/>
                  <w:vAlign w:val="center"/>
                </w:tcPr>
                <w:p w14:paraId="78445981">
                  <w:pPr>
                    <w:pStyle w:val="49"/>
                    <w:keepNext w:val="0"/>
                    <w:keepLines w:val="0"/>
                    <w:pageBreakBefore w:val="0"/>
                    <w:widowControl w:val="0"/>
                    <w:kinsoku/>
                    <w:wordWrap/>
                    <w:overflowPunct/>
                    <w:topLinePunct w:val="0"/>
                    <w:autoSpaceDE/>
                    <w:autoSpaceDN/>
                    <w:bidi w:val="0"/>
                    <w:adjustRightInd/>
                    <w:snapToGrid w:val="0"/>
                    <w:textAlignment w:val="auto"/>
                    <w:rPr>
                      <w:rFonts w:hint="default"/>
                      <w:color w:val="FF0000"/>
                      <w:szCs w:val="21"/>
                      <w:highlight w:val="none"/>
                      <w:lang w:val="en-US" w:eastAsia="zh-CN"/>
                    </w:rPr>
                  </w:pPr>
                  <w:r>
                    <w:rPr>
                      <w:rFonts w:hint="eastAsia"/>
                      <w:color w:val="FF0000"/>
                      <w:szCs w:val="21"/>
                      <w:highlight w:val="none"/>
                      <w:lang w:val="en-US" w:eastAsia="zh-CN"/>
                    </w:rPr>
                    <w:t>1台</w:t>
                  </w:r>
                </w:p>
              </w:tc>
              <w:tc>
                <w:tcPr>
                  <w:tcW w:w="1111" w:type="pct"/>
                  <w:vAlign w:val="center"/>
                </w:tcPr>
                <w:p w14:paraId="44BB5BEE">
                  <w:pPr>
                    <w:pStyle w:val="49"/>
                    <w:keepNext w:val="0"/>
                    <w:keepLines w:val="0"/>
                    <w:pageBreakBefore w:val="0"/>
                    <w:widowControl w:val="0"/>
                    <w:kinsoku/>
                    <w:wordWrap/>
                    <w:overflowPunct/>
                    <w:topLinePunct w:val="0"/>
                    <w:autoSpaceDE/>
                    <w:autoSpaceDN/>
                    <w:bidi w:val="0"/>
                    <w:adjustRightInd/>
                    <w:snapToGrid w:val="0"/>
                    <w:textAlignment w:val="auto"/>
                    <w:rPr>
                      <w:rFonts w:hint="eastAsia"/>
                      <w:color w:val="FF0000"/>
                      <w:szCs w:val="21"/>
                      <w:highlight w:val="none"/>
                      <w:lang w:val="en-US" w:eastAsia="zh-CN"/>
                    </w:rPr>
                  </w:pPr>
                  <w:r>
                    <w:rPr>
                      <w:rFonts w:hint="eastAsia"/>
                      <w:color w:val="FF0000"/>
                      <w:highlight w:val="none"/>
                    </w:rPr>
                    <w:t>/</w:t>
                  </w:r>
                </w:p>
              </w:tc>
            </w:tr>
            <w:tr w14:paraId="5660ED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65" w:type="pct"/>
                  <w:vAlign w:val="center"/>
                </w:tcPr>
                <w:p w14:paraId="24DA7D45">
                  <w:pPr>
                    <w:pStyle w:val="49"/>
                    <w:keepNext w:val="0"/>
                    <w:keepLines w:val="0"/>
                    <w:pageBreakBefore w:val="0"/>
                    <w:widowControl w:val="0"/>
                    <w:kinsoku/>
                    <w:wordWrap/>
                    <w:overflowPunct/>
                    <w:topLinePunct w:val="0"/>
                    <w:autoSpaceDE/>
                    <w:autoSpaceDN/>
                    <w:bidi w:val="0"/>
                    <w:adjustRightInd/>
                    <w:snapToGrid w:val="0"/>
                    <w:textAlignment w:val="auto"/>
                    <w:rPr>
                      <w:rFonts w:hint="default"/>
                      <w:color w:val="FF0000"/>
                      <w:szCs w:val="21"/>
                      <w:highlight w:val="none"/>
                      <w:lang w:val="en-US" w:eastAsia="zh-CN"/>
                    </w:rPr>
                  </w:pPr>
                  <w:r>
                    <w:rPr>
                      <w:rFonts w:hint="eastAsia"/>
                      <w:color w:val="FF0000"/>
                      <w:szCs w:val="21"/>
                      <w:highlight w:val="none"/>
                      <w:lang w:val="en-US" w:eastAsia="zh-CN"/>
                    </w:rPr>
                    <w:t>14</w:t>
                  </w:r>
                </w:p>
              </w:tc>
              <w:tc>
                <w:tcPr>
                  <w:tcW w:w="1314" w:type="pct"/>
                  <w:vAlign w:val="center"/>
                </w:tcPr>
                <w:p w14:paraId="746FF0E7">
                  <w:pPr>
                    <w:pStyle w:val="49"/>
                    <w:keepNext w:val="0"/>
                    <w:keepLines w:val="0"/>
                    <w:pageBreakBefore w:val="0"/>
                    <w:widowControl w:val="0"/>
                    <w:kinsoku/>
                    <w:wordWrap/>
                    <w:overflowPunct/>
                    <w:topLinePunct w:val="0"/>
                    <w:autoSpaceDE/>
                    <w:autoSpaceDN/>
                    <w:bidi w:val="0"/>
                    <w:adjustRightInd/>
                    <w:snapToGrid w:val="0"/>
                    <w:textAlignment w:val="auto"/>
                    <w:rPr>
                      <w:rFonts w:hint="eastAsia"/>
                      <w:color w:val="FF0000"/>
                      <w:szCs w:val="21"/>
                      <w:highlight w:val="none"/>
                      <w:lang w:val="en-US" w:eastAsia="zh-CN"/>
                    </w:rPr>
                  </w:pPr>
                  <w:r>
                    <w:rPr>
                      <w:rFonts w:hint="eastAsia"/>
                      <w:color w:val="FF0000"/>
                      <w:lang w:val="en-US" w:eastAsia="zh-CN"/>
                    </w:rPr>
                    <w:t>水泵</w:t>
                  </w:r>
                </w:p>
              </w:tc>
              <w:tc>
                <w:tcPr>
                  <w:tcW w:w="1519" w:type="pct"/>
                  <w:vAlign w:val="center"/>
                </w:tcPr>
                <w:p w14:paraId="01406044">
                  <w:pPr>
                    <w:pStyle w:val="49"/>
                    <w:keepNext w:val="0"/>
                    <w:keepLines w:val="0"/>
                    <w:pageBreakBefore w:val="0"/>
                    <w:widowControl w:val="0"/>
                    <w:kinsoku/>
                    <w:wordWrap/>
                    <w:overflowPunct/>
                    <w:topLinePunct w:val="0"/>
                    <w:autoSpaceDE/>
                    <w:autoSpaceDN/>
                    <w:bidi w:val="0"/>
                    <w:adjustRightInd/>
                    <w:snapToGrid w:val="0"/>
                    <w:textAlignment w:val="auto"/>
                    <w:rPr>
                      <w:rFonts w:hint="eastAsia"/>
                      <w:color w:val="FF0000"/>
                      <w:szCs w:val="21"/>
                      <w:highlight w:val="none"/>
                      <w:lang w:val="en-US" w:eastAsia="zh-CN"/>
                    </w:rPr>
                  </w:pPr>
                  <w:r>
                    <w:rPr>
                      <w:rFonts w:hint="eastAsia"/>
                      <w:color w:val="FF0000"/>
                      <w:highlight w:val="none"/>
                    </w:rPr>
                    <w:t>/</w:t>
                  </w:r>
                </w:p>
              </w:tc>
              <w:tc>
                <w:tcPr>
                  <w:tcW w:w="690" w:type="pct"/>
                  <w:vAlign w:val="center"/>
                </w:tcPr>
                <w:p w14:paraId="1274D5BA">
                  <w:pPr>
                    <w:pStyle w:val="49"/>
                    <w:keepNext w:val="0"/>
                    <w:keepLines w:val="0"/>
                    <w:pageBreakBefore w:val="0"/>
                    <w:widowControl w:val="0"/>
                    <w:kinsoku/>
                    <w:wordWrap/>
                    <w:overflowPunct/>
                    <w:topLinePunct w:val="0"/>
                    <w:autoSpaceDE/>
                    <w:autoSpaceDN/>
                    <w:bidi w:val="0"/>
                    <w:adjustRightInd/>
                    <w:snapToGrid w:val="0"/>
                    <w:textAlignment w:val="auto"/>
                    <w:rPr>
                      <w:rFonts w:hint="default"/>
                      <w:color w:val="FF0000"/>
                      <w:szCs w:val="21"/>
                      <w:highlight w:val="none"/>
                      <w:lang w:val="en-US" w:eastAsia="zh-CN"/>
                    </w:rPr>
                  </w:pPr>
                  <w:r>
                    <w:rPr>
                      <w:rFonts w:hint="eastAsia"/>
                      <w:color w:val="FF0000"/>
                      <w:szCs w:val="21"/>
                      <w:highlight w:val="none"/>
                      <w:lang w:val="en-US" w:eastAsia="zh-CN"/>
                    </w:rPr>
                    <w:t>2台</w:t>
                  </w:r>
                </w:p>
              </w:tc>
              <w:tc>
                <w:tcPr>
                  <w:tcW w:w="1111" w:type="pct"/>
                  <w:vAlign w:val="center"/>
                </w:tcPr>
                <w:p w14:paraId="426F33C9">
                  <w:pPr>
                    <w:pStyle w:val="49"/>
                    <w:keepNext w:val="0"/>
                    <w:keepLines w:val="0"/>
                    <w:pageBreakBefore w:val="0"/>
                    <w:widowControl w:val="0"/>
                    <w:kinsoku/>
                    <w:wordWrap/>
                    <w:overflowPunct/>
                    <w:topLinePunct w:val="0"/>
                    <w:autoSpaceDE/>
                    <w:autoSpaceDN/>
                    <w:bidi w:val="0"/>
                    <w:adjustRightInd/>
                    <w:snapToGrid w:val="0"/>
                    <w:textAlignment w:val="auto"/>
                    <w:rPr>
                      <w:rFonts w:hint="eastAsia"/>
                      <w:color w:val="FF0000"/>
                      <w:szCs w:val="21"/>
                      <w:highlight w:val="none"/>
                      <w:lang w:val="en-US" w:eastAsia="zh-CN"/>
                    </w:rPr>
                  </w:pPr>
                  <w:r>
                    <w:rPr>
                      <w:rFonts w:hint="eastAsia"/>
                      <w:color w:val="FF0000"/>
                      <w:highlight w:val="none"/>
                    </w:rPr>
                    <w:t>/</w:t>
                  </w:r>
                </w:p>
              </w:tc>
            </w:tr>
          </w:tbl>
          <w:p w14:paraId="5C748BB7">
            <w:pPr>
              <w:pStyle w:val="54"/>
              <w:numPr>
                <w:ilvl w:val="0"/>
                <w:numId w:val="0"/>
              </w:numPr>
              <w:ind w:leftChars="0" w:firstLine="482" w:firstLineChars="200"/>
              <w:rPr>
                <w:b/>
                <w:highlight w:val="none"/>
              </w:rPr>
            </w:pPr>
            <w:r>
              <w:rPr>
                <w:rFonts w:hint="eastAsia"/>
                <w:b/>
                <w:highlight w:val="none"/>
                <w:lang w:val="en-US" w:eastAsia="zh-CN"/>
              </w:rPr>
              <w:t>7、</w:t>
            </w:r>
            <w:r>
              <w:rPr>
                <w:rFonts w:hint="eastAsia"/>
                <w:b/>
                <w:highlight w:val="none"/>
              </w:rPr>
              <w:t>劳动定员及工作制度</w:t>
            </w:r>
          </w:p>
          <w:p w14:paraId="6E6ADECC">
            <w:pPr>
              <w:keepNext w:val="0"/>
              <w:keepLines w:val="0"/>
              <w:pageBreakBefore w:val="0"/>
              <w:widowControl w:val="0"/>
              <w:kinsoku/>
              <w:wordWrap/>
              <w:overflowPunct/>
              <w:topLinePunct w:val="0"/>
              <w:autoSpaceDE/>
              <w:autoSpaceDN/>
              <w:bidi w:val="0"/>
              <w:adjustRightInd/>
              <w:snapToGrid/>
              <w:ind w:firstLine="480"/>
              <w:textAlignment w:val="auto"/>
              <w:rPr>
                <w:highlight w:val="none"/>
              </w:rPr>
            </w:pPr>
            <w:r>
              <w:rPr>
                <w:rFonts w:hint="eastAsia"/>
                <w:sz w:val="24"/>
                <w:highlight w:val="none"/>
              </w:rPr>
              <w:t>根据建设单位提供资料，</w:t>
            </w:r>
            <w:r>
              <w:rPr>
                <w:rFonts w:hint="eastAsia"/>
                <w:highlight w:val="none"/>
                <w:lang w:val="en-US" w:eastAsia="zh-CN"/>
              </w:rPr>
              <w:t>本</w:t>
            </w:r>
            <w:r>
              <w:rPr>
                <w:rFonts w:hint="eastAsia"/>
                <w:highlight w:val="none"/>
              </w:rPr>
              <w:t>项目劳动定员</w:t>
            </w:r>
            <w:r>
              <w:rPr>
                <w:rFonts w:hint="eastAsia"/>
                <w:highlight w:val="none"/>
                <w:lang w:val="en-US" w:eastAsia="zh-CN"/>
              </w:rPr>
              <w:t>为7</w:t>
            </w:r>
            <w:r>
              <w:rPr>
                <w:rFonts w:hint="eastAsia"/>
                <w:highlight w:val="none"/>
              </w:rPr>
              <w:t>人，</w:t>
            </w:r>
            <w:r>
              <w:rPr>
                <w:rFonts w:hint="eastAsia"/>
                <w:highlight w:val="none"/>
                <w:lang w:val="en-US" w:eastAsia="zh-CN"/>
              </w:rPr>
              <w:t>三班</w:t>
            </w:r>
            <w:r>
              <w:rPr>
                <w:rFonts w:hint="eastAsia"/>
                <w:highlight w:val="none"/>
              </w:rPr>
              <w:t>制，每班工作8小时，全年工作365天</w:t>
            </w:r>
            <w:r>
              <w:rPr>
                <w:rFonts w:hint="eastAsia"/>
                <w:highlight w:val="none"/>
                <w:lang w:eastAsia="zh-CN"/>
              </w:rPr>
              <w:t>，在厂内食宿</w:t>
            </w:r>
            <w:r>
              <w:rPr>
                <w:rFonts w:hint="eastAsia"/>
                <w:highlight w:val="none"/>
              </w:rPr>
              <w:t>。</w:t>
            </w:r>
          </w:p>
          <w:p w14:paraId="4A0C0F15">
            <w:pPr>
              <w:pStyle w:val="54"/>
              <w:numPr>
                <w:ilvl w:val="0"/>
                <w:numId w:val="0"/>
              </w:numPr>
              <w:ind w:left="240" w:leftChars="0" w:firstLine="241" w:firstLineChars="100"/>
              <w:rPr>
                <w:b/>
                <w:highlight w:val="none"/>
              </w:rPr>
            </w:pPr>
            <w:r>
              <w:rPr>
                <w:rFonts w:hint="eastAsia"/>
                <w:b/>
                <w:highlight w:val="none"/>
                <w:lang w:val="en-US" w:eastAsia="zh-CN"/>
              </w:rPr>
              <w:t>8、</w:t>
            </w:r>
            <w:r>
              <w:rPr>
                <w:rFonts w:hint="eastAsia"/>
                <w:b/>
                <w:highlight w:val="none"/>
              </w:rPr>
              <w:t>公用工程</w:t>
            </w:r>
          </w:p>
          <w:p w14:paraId="542493FA">
            <w:pPr>
              <w:ind w:firstLine="480"/>
              <w:rPr>
                <w:rFonts w:hint="eastAsia"/>
                <w:sz w:val="24"/>
                <w:highlight w:val="none"/>
              </w:rPr>
            </w:pPr>
            <w:r>
              <w:rPr>
                <w:rFonts w:hint="eastAsia"/>
                <w:sz w:val="24"/>
                <w:highlight w:val="none"/>
                <w:lang w:eastAsia="zh-CN"/>
              </w:rPr>
              <w:t>（</w:t>
            </w:r>
            <w:r>
              <w:rPr>
                <w:rFonts w:hint="eastAsia"/>
                <w:sz w:val="24"/>
                <w:highlight w:val="none"/>
                <w:lang w:val="en-US" w:eastAsia="zh-CN"/>
              </w:rPr>
              <w:t>1</w:t>
            </w:r>
            <w:r>
              <w:rPr>
                <w:rFonts w:hint="eastAsia"/>
                <w:sz w:val="24"/>
                <w:highlight w:val="none"/>
                <w:lang w:eastAsia="zh-CN"/>
              </w:rPr>
              <w:t>）</w:t>
            </w:r>
            <w:r>
              <w:rPr>
                <w:rFonts w:hint="eastAsia"/>
                <w:sz w:val="24"/>
                <w:highlight w:val="none"/>
                <w:lang w:val="en-US" w:eastAsia="zh-CN"/>
              </w:rPr>
              <w:t>供</w:t>
            </w:r>
            <w:r>
              <w:rPr>
                <w:rFonts w:hint="eastAsia"/>
                <w:sz w:val="24"/>
                <w:highlight w:val="none"/>
              </w:rPr>
              <w:t>水</w:t>
            </w:r>
            <w:r>
              <w:rPr>
                <w:rFonts w:hint="eastAsia"/>
                <w:sz w:val="24"/>
                <w:highlight w:val="none"/>
                <w:lang w:eastAsia="zh-CN"/>
              </w:rPr>
              <w:t>：</w:t>
            </w:r>
            <w:r>
              <w:rPr>
                <w:rFonts w:hint="eastAsia"/>
                <w:sz w:val="24"/>
                <w:highlight w:val="none"/>
              </w:rPr>
              <w:t>本项目用水来自</w:t>
            </w:r>
            <w:r>
              <w:rPr>
                <w:rFonts w:hint="eastAsia"/>
                <w:sz w:val="24"/>
                <w:highlight w:val="none"/>
                <w:lang w:val="en-US" w:eastAsia="zh-CN"/>
              </w:rPr>
              <w:t>柴桑区市政供水</w:t>
            </w:r>
            <w:r>
              <w:rPr>
                <w:rFonts w:hint="eastAsia"/>
                <w:sz w:val="24"/>
                <w:highlight w:val="none"/>
              </w:rPr>
              <w:t>管网，供生活用水</w:t>
            </w:r>
            <w:r>
              <w:rPr>
                <w:rFonts w:hint="eastAsia"/>
                <w:sz w:val="24"/>
                <w:highlight w:val="none"/>
                <w:lang w:eastAsia="zh-CN"/>
              </w:rPr>
              <w:t>、</w:t>
            </w:r>
            <w:r>
              <w:rPr>
                <w:rFonts w:hint="eastAsia"/>
                <w:sz w:val="24"/>
                <w:highlight w:val="none"/>
                <w:lang w:val="en-US" w:eastAsia="zh-CN"/>
              </w:rPr>
              <w:t>地面冲洗用水、</w:t>
            </w:r>
            <w:r>
              <w:rPr>
                <w:rFonts w:hint="eastAsia"/>
                <w:sz w:val="24"/>
                <w:highlight w:val="none"/>
              </w:rPr>
              <w:t>洗车用水。</w:t>
            </w:r>
          </w:p>
          <w:p w14:paraId="4FB810E3">
            <w:pPr>
              <w:ind w:firstLine="480"/>
              <w:rPr>
                <w:rFonts w:hint="eastAsia"/>
                <w:color w:val="auto"/>
                <w:sz w:val="24"/>
                <w:highlight w:val="none"/>
              </w:rPr>
            </w:pPr>
            <w:r>
              <w:rPr>
                <w:rFonts w:hint="eastAsia"/>
                <w:color w:val="auto"/>
                <w:sz w:val="24"/>
                <w:highlight w:val="none"/>
                <w:lang w:eastAsia="zh-CN"/>
              </w:rPr>
              <w:t>（</w:t>
            </w:r>
            <w:r>
              <w:rPr>
                <w:rFonts w:hint="eastAsia"/>
                <w:color w:val="auto"/>
                <w:sz w:val="24"/>
                <w:highlight w:val="none"/>
                <w:lang w:val="en-US" w:eastAsia="zh-CN"/>
              </w:rPr>
              <w:t>2</w:t>
            </w:r>
            <w:r>
              <w:rPr>
                <w:rFonts w:hint="eastAsia"/>
                <w:color w:val="auto"/>
                <w:sz w:val="24"/>
                <w:highlight w:val="none"/>
                <w:lang w:eastAsia="zh-CN"/>
              </w:rPr>
              <w:t>）</w:t>
            </w:r>
            <w:r>
              <w:rPr>
                <w:rFonts w:hint="eastAsia"/>
                <w:color w:val="auto"/>
                <w:sz w:val="24"/>
                <w:highlight w:val="none"/>
              </w:rPr>
              <w:t>排水</w:t>
            </w:r>
            <w:r>
              <w:rPr>
                <w:rFonts w:hint="eastAsia"/>
                <w:color w:val="auto"/>
                <w:sz w:val="24"/>
                <w:highlight w:val="none"/>
                <w:lang w:eastAsia="zh-CN"/>
              </w:rPr>
              <w:t>：</w:t>
            </w:r>
            <w:r>
              <w:rPr>
                <w:rFonts w:ascii="Times New Roman" w:hAnsi="Times New Roman" w:eastAsia="宋体"/>
                <w:color w:val="000000" w:themeColor="text1"/>
                <w:sz w:val="24"/>
                <w14:textFill>
                  <w14:solidFill>
                    <w14:schemeClr w14:val="tx1"/>
                  </w14:solidFill>
                </w14:textFill>
              </w:rPr>
              <w:t>本项目</w:t>
            </w:r>
            <w:r>
              <w:rPr>
                <w:rFonts w:hint="eastAsia"/>
                <w:color w:val="auto"/>
                <w:sz w:val="24"/>
                <w:highlight w:val="none"/>
                <w:lang w:eastAsia="zh-CN"/>
              </w:rPr>
              <w:t>采取雨污分流，雨水</w:t>
            </w:r>
            <w:r>
              <w:rPr>
                <w:rFonts w:hint="eastAsia"/>
                <w:color w:val="auto"/>
                <w:sz w:val="24"/>
                <w:highlight w:val="none"/>
                <w:lang w:val="en-US" w:eastAsia="zh-CN"/>
              </w:rPr>
              <w:t>经排水渠排</w:t>
            </w:r>
            <w:r>
              <w:rPr>
                <w:rFonts w:hint="eastAsia"/>
                <w:color w:val="auto"/>
                <w:sz w:val="24"/>
                <w:highlight w:val="none"/>
                <w:lang w:eastAsia="zh-CN"/>
              </w:rPr>
              <w:t>入市政雨水管网。</w:t>
            </w:r>
            <w:r>
              <w:rPr>
                <w:rFonts w:hint="eastAsia"/>
                <w:color w:val="FF0000"/>
                <w:sz w:val="24"/>
                <w:highlight w:val="none"/>
                <w:lang w:val="en-US" w:eastAsia="zh-CN"/>
              </w:rPr>
              <w:t>项目</w:t>
            </w:r>
            <w:r>
              <w:rPr>
                <w:rFonts w:ascii="Times New Roman" w:hAnsi="Times New Roman" w:eastAsia="宋体"/>
                <w:color w:val="FF0000"/>
                <w:sz w:val="24"/>
              </w:rPr>
              <w:t>加油</w:t>
            </w:r>
            <w:r>
              <w:rPr>
                <w:rFonts w:hint="eastAsia" w:ascii="Times New Roman" w:hAnsi="Times New Roman" w:eastAsia="宋体"/>
                <w:color w:val="FF0000"/>
                <w:sz w:val="24"/>
                <w:lang w:val="en-US" w:eastAsia="zh-CN"/>
              </w:rPr>
              <w:t>作业</w:t>
            </w:r>
            <w:r>
              <w:rPr>
                <w:rFonts w:ascii="Times New Roman" w:hAnsi="Times New Roman" w:eastAsia="宋体"/>
                <w:color w:val="FF0000"/>
                <w:sz w:val="24"/>
              </w:rPr>
              <w:t>区设有罩棚，且罩棚中间高四周低，雨水不会进入</w:t>
            </w:r>
            <w:r>
              <w:rPr>
                <w:rFonts w:hint="eastAsia"/>
                <w:color w:val="FF0000"/>
                <w:sz w:val="24"/>
                <w:lang w:val="en-US" w:eastAsia="zh-CN"/>
              </w:rPr>
              <w:t>加油</w:t>
            </w:r>
            <w:r>
              <w:rPr>
                <w:rFonts w:ascii="Times New Roman" w:hAnsi="Times New Roman" w:eastAsia="宋体"/>
                <w:color w:val="FF0000"/>
                <w:sz w:val="24"/>
              </w:rPr>
              <w:t>作业区，</w:t>
            </w:r>
            <w:r>
              <w:rPr>
                <w:rFonts w:hint="eastAsia"/>
                <w:color w:val="FF0000"/>
                <w:sz w:val="24"/>
                <w:lang w:val="en-US" w:eastAsia="zh-CN"/>
              </w:rPr>
              <w:t>项目卸油作业时，严格按照规定操作流程卸油，油品滴漏量极少，极少滴漏的油品采取吸油毡吸收，不会滴落在地面，</w:t>
            </w:r>
            <w:bookmarkStart w:id="13" w:name="_GoBack"/>
            <w:bookmarkEnd w:id="13"/>
            <w:r>
              <w:rPr>
                <w:rFonts w:hint="eastAsia"/>
                <w:color w:val="FF0000"/>
                <w:sz w:val="24"/>
                <w:lang w:val="en-US" w:eastAsia="zh-CN"/>
              </w:rPr>
              <w:t>根据《排污许可证申请与核发技术规范 储油库、加油站》（HJ1118-2020）可知，没有要求初期雨水的收集与处置，同时根据九江市同类型项目，均未考虑初期雨水的收集与处置，</w:t>
            </w:r>
            <w:r>
              <w:rPr>
                <w:rFonts w:ascii="Times New Roman" w:hAnsi="Times New Roman" w:eastAsia="宋体"/>
                <w:color w:val="FF0000"/>
                <w:sz w:val="24"/>
              </w:rPr>
              <w:t>因此，项目不存在初期雨水收集</w:t>
            </w:r>
            <w:r>
              <w:rPr>
                <w:rFonts w:hint="eastAsia"/>
                <w:color w:val="FF0000"/>
                <w:sz w:val="24"/>
                <w:lang w:val="en-US" w:eastAsia="zh-CN"/>
              </w:rPr>
              <w:t>与处置</w:t>
            </w:r>
            <w:r>
              <w:rPr>
                <w:rFonts w:ascii="Times New Roman" w:hAnsi="Times New Roman" w:eastAsia="宋体"/>
                <w:color w:val="FF0000"/>
                <w:sz w:val="24"/>
              </w:rPr>
              <w:t>问题</w:t>
            </w:r>
            <w:r>
              <w:rPr>
                <w:rFonts w:hint="eastAsia"/>
                <w:color w:val="auto"/>
                <w:sz w:val="24"/>
                <w:highlight w:val="none"/>
                <w:lang w:eastAsia="zh-CN"/>
              </w:rPr>
              <w:t>；</w:t>
            </w:r>
            <w:r>
              <w:rPr>
                <w:rFonts w:hint="eastAsia"/>
                <w:color w:val="00B050"/>
                <w:sz w:val="24"/>
                <w:highlight w:val="none"/>
                <w:lang w:eastAsia="zh-CN"/>
              </w:rPr>
              <w:t>根据《汽车加油加气加氢站技术标准》（GB50156-2021）中规定，</w:t>
            </w:r>
            <w:r>
              <w:rPr>
                <w:rFonts w:hint="eastAsia" w:ascii="Times New Roman" w:hAnsi="Times New Roman" w:eastAsia="宋体"/>
                <w:color w:val="00B050"/>
                <w:sz w:val="24"/>
              </w:rPr>
              <w:t>项目厂界</w:t>
            </w:r>
            <w:r>
              <w:rPr>
                <w:rFonts w:hint="eastAsia" w:ascii="Times New Roman" w:hAnsi="Times New Roman" w:eastAsia="宋体"/>
                <w:color w:val="00B050"/>
                <w:sz w:val="24"/>
                <w:lang w:val="en-US" w:eastAsia="zh-CN"/>
              </w:rPr>
              <w:t>南面</w:t>
            </w:r>
            <w:r>
              <w:rPr>
                <w:rFonts w:hint="eastAsia" w:ascii="Times New Roman" w:hAnsi="Times New Roman" w:eastAsia="宋体"/>
                <w:color w:val="00B050"/>
                <w:sz w:val="24"/>
              </w:rPr>
              <w:t>、</w:t>
            </w:r>
            <w:r>
              <w:rPr>
                <w:rFonts w:hint="eastAsia" w:ascii="Times New Roman" w:hAnsi="Times New Roman" w:eastAsia="宋体"/>
                <w:color w:val="00B050"/>
                <w:sz w:val="24"/>
                <w:lang w:val="en-US" w:eastAsia="zh-CN"/>
              </w:rPr>
              <w:t>西面</w:t>
            </w:r>
            <w:r>
              <w:rPr>
                <w:rFonts w:hint="eastAsia" w:ascii="Times New Roman" w:hAnsi="Times New Roman" w:eastAsia="宋体"/>
                <w:color w:val="00B050"/>
                <w:sz w:val="24"/>
              </w:rPr>
              <w:t>、北</w:t>
            </w:r>
            <w:r>
              <w:rPr>
                <w:rFonts w:hint="eastAsia" w:ascii="Times New Roman" w:hAnsi="Times New Roman" w:eastAsia="宋体"/>
                <w:color w:val="00B050"/>
                <w:sz w:val="24"/>
                <w:lang w:val="en-US" w:eastAsia="zh-CN"/>
              </w:rPr>
              <w:t>面</w:t>
            </w:r>
            <w:r>
              <w:rPr>
                <w:rFonts w:hint="eastAsia" w:ascii="Times New Roman" w:hAnsi="Times New Roman" w:eastAsia="宋体"/>
                <w:color w:val="00B050"/>
                <w:sz w:val="24"/>
              </w:rPr>
              <w:t>围墙内侧建设雨水沟，</w:t>
            </w:r>
            <w:r>
              <w:rPr>
                <w:rFonts w:hint="eastAsia" w:ascii="Times New Roman" w:hAnsi="Times New Roman" w:eastAsia="宋体"/>
                <w:color w:val="00B050"/>
                <w:sz w:val="24"/>
                <w:lang w:val="en-US" w:eastAsia="zh-CN"/>
              </w:rPr>
              <w:t>雨水沟为明沟，在围墙内设置水封装置，</w:t>
            </w:r>
            <w:r>
              <w:rPr>
                <w:rFonts w:hint="eastAsia" w:ascii="Times New Roman" w:hAnsi="Times New Roman" w:eastAsia="宋体"/>
                <w:color w:val="00B050"/>
                <w:sz w:val="24"/>
              </w:rPr>
              <w:t>厂区内雨水汇集后排入</w:t>
            </w:r>
            <w:r>
              <w:rPr>
                <w:rFonts w:ascii="Times New Roman" w:hAnsi="Times New Roman" w:eastAsia="宋体"/>
                <w:color w:val="00B050"/>
                <w:sz w:val="24"/>
              </w:rPr>
              <w:t>市政雨水管网</w:t>
            </w:r>
            <w:r>
              <w:rPr>
                <w:rFonts w:hint="eastAsia" w:ascii="Times New Roman" w:hAnsi="Times New Roman" w:eastAsia="宋体"/>
                <w:color w:val="00B050"/>
                <w:sz w:val="24"/>
                <w:lang w:eastAsia="zh-CN"/>
              </w:rPr>
              <w:t>；</w:t>
            </w:r>
            <w:r>
              <w:rPr>
                <w:rFonts w:hint="eastAsia"/>
                <w:color w:val="auto"/>
                <w:sz w:val="24"/>
                <w:highlight w:val="none"/>
                <w:lang w:eastAsia="zh-CN"/>
              </w:rPr>
              <w:t>生活污水经</w:t>
            </w:r>
            <w:r>
              <w:rPr>
                <w:rFonts w:hint="eastAsia"/>
                <w:color w:val="auto"/>
                <w:sz w:val="24"/>
                <w:highlight w:val="none"/>
                <w:lang w:val="en-US" w:eastAsia="zh-CN"/>
              </w:rPr>
              <w:t>油水分离器+</w:t>
            </w:r>
            <w:r>
              <w:rPr>
                <w:rFonts w:hint="eastAsia"/>
                <w:color w:val="auto"/>
                <w:sz w:val="24"/>
                <w:highlight w:val="none"/>
                <w:lang w:eastAsia="zh-CN"/>
              </w:rPr>
              <w:t>化粪池预处理</w:t>
            </w:r>
            <w:r>
              <w:rPr>
                <w:rFonts w:hint="eastAsia"/>
                <w:color w:val="auto"/>
                <w:sz w:val="24"/>
                <w:highlight w:val="none"/>
                <w:lang w:val="en-US" w:eastAsia="zh-CN"/>
              </w:rPr>
              <w:t>达红心村生活污水处理站接管标准</w:t>
            </w:r>
            <w:r>
              <w:rPr>
                <w:rFonts w:hint="eastAsia"/>
                <w:color w:val="auto"/>
                <w:sz w:val="24"/>
                <w:highlight w:val="none"/>
                <w:lang w:eastAsia="zh-CN"/>
              </w:rPr>
              <w:t>，</w:t>
            </w:r>
            <w:r>
              <w:rPr>
                <w:rFonts w:hint="eastAsia"/>
                <w:color w:val="auto"/>
                <w:sz w:val="24"/>
                <w:highlight w:val="none"/>
                <w:lang w:val="en-US" w:eastAsia="zh-CN"/>
              </w:rPr>
              <w:t>经污水管网</w:t>
            </w:r>
            <w:r>
              <w:rPr>
                <w:rFonts w:hint="eastAsia"/>
                <w:color w:val="auto"/>
                <w:sz w:val="24"/>
                <w:highlight w:val="none"/>
                <w:lang w:eastAsia="zh-CN"/>
              </w:rPr>
              <w:t>排入</w:t>
            </w:r>
            <w:r>
              <w:rPr>
                <w:rFonts w:hint="eastAsia"/>
                <w:color w:val="auto"/>
                <w:sz w:val="24"/>
                <w:highlight w:val="none"/>
                <w:lang w:val="en-US" w:eastAsia="zh-CN"/>
              </w:rPr>
              <w:t>红心村生活污水处理站</w:t>
            </w:r>
            <w:r>
              <w:rPr>
                <w:rFonts w:hint="eastAsia"/>
                <w:color w:val="auto"/>
                <w:sz w:val="24"/>
                <w:highlight w:val="none"/>
                <w:lang w:eastAsia="zh-CN"/>
              </w:rPr>
              <w:t>进一步处理</w:t>
            </w:r>
            <w:r>
              <w:rPr>
                <w:rFonts w:hint="eastAsia"/>
                <w:color w:val="auto"/>
                <w:sz w:val="24"/>
                <w:highlight w:val="none"/>
                <w:lang w:val="en-US" w:eastAsia="zh-CN"/>
              </w:rPr>
              <w:t>后</w:t>
            </w:r>
            <w:r>
              <w:rPr>
                <w:rFonts w:hint="eastAsia"/>
                <w:color w:val="auto"/>
                <w:sz w:val="24"/>
                <w:highlight w:val="none"/>
                <w:lang w:val="en-GB" w:eastAsia="zh-CN"/>
              </w:rPr>
              <w:t>，</w:t>
            </w:r>
            <w:r>
              <w:rPr>
                <w:rFonts w:hint="eastAsia"/>
                <w:color w:val="auto"/>
                <w:sz w:val="24"/>
                <w:highlight w:val="none"/>
                <w:lang w:val="en-US" w:eastAsia="zh-CN"/>
              </w:rPr>
              <w:t>满足</w:t>
            </w:r>
            <w:r>
              <w:rPr>
                <w:rFonts w:hint="eastAsia"/>
                <w:color w:val="auto"/>
                <w:sz w:val="24"/>
                <w:highlight w:val="none"/>
                <w:lang w:eastAsia="zh-CN"/>
              </w:rPr>
              <w:t>《城镇污水处理厂污染物排放标准》（GB18918-2002）</w:t>
            </w:r>
            <w:r>
              <w:rPr>
                <w:rFonts w:hint="eastAsia"/>
                <w:color w:val="auto"/>
                <w:sz w:val="24"/>
                <w:highlight w:val="none"/>
                <w:lang w:val="en-US" w:eastAsia="zh-CN"/>
              </w:rPr>
              <w:t>及其修改单中</w:t>
            </w:r>
            <w:r>
              <w:rPr>
                <w:rFonts w:hint="eastAsia"/>
                <w:color w:val="auto"/>
                <w:sz w:val="24"/>
                <w:highlight w:val="none"/>
                <w:lang w:eastAsia="zh-CN"/>
              </w:rPr>
              <w:t>一级</w:t>
            </w:r>
            <w:r>
              <w:rPr>
                <w:rFonts w:hint="eastAsia"/>
                <w:color w:val="auto"/>
                <w:sz w:val="24"/>
                <w:highlight w:val="none"/>
                <w:lang w:val="en-US" w:eastAsia="zh-CN"/>
              </w:rPr>
              <w:t>B</w:t>
            </w:r>
            <w:r>
              <w:rPr>
                <w:rFonts w:hint="eastAsia"/>
                <w:color w:val="auto"/>
                <w:sz w:val="24"/>
                <w:highlight w:val="none"/>
                <w:lang w:eastAsia="zh-CN"/>
              </w:rPr>
              <w:t>标准</w:t>
            </w:r>
            <w:r>
              <w:rPr>
                <w:rFonts w:hint="eastAsia"/>
                <w:color w:val="auto"/>
                <w:sz w:val="24"/>
                <w:highlight w:val="none"/>
                <w:lang w:val="en-US" w:eastAsia="zh-CN"/>
              </w:rPr>
              <w:t>排放</w:t>
            </w:r>
            <w:r>
              <w:rPr>
                <w:rFonts w:hint="eastAsia" w:cs="Times New Roman"/>
                <w:color w:val="auto"/>
                <w:highlight w:val="none"/>
                <w:u w:val="none"/>
                <w:lang w:val="en-US" w:eastAsia="zh-CN"/>
              </w:rPr>
              <w:t>，最终排入赛城湖</w:t>
            </w:r>
            <w:r>
              <w:rPr>
                <w:rFonts w:hint="eastAsia"/>
                <w:color w:val="auto"/>
                <w:sz w:val="24"/>
                <w:highlight w:val="none"/>
                <w:lang w:eastAsia="zh-CN"/>
              </w:rPr>
              <w:t>；地面冲洗废水</w:t>
            </w:r>
            <w:r>
              <w:rPr>
                <w:rFonts w:hint="eastAsia"/>
                <w:color w:val="auto"/>
                <w:sz w:val="24"/>
                <w:highlight w:val="none"/>
                <w:lang w:val="en-US" w:eastAsia="zh-CN"/>
              </w:rPr>
              <w:t>经隔油池隔油预处理后，和洗车废水一起排入厂区一体化（MBR）洗车废水处理设施进一步处理后满足《城市污水再生利用</w:t>
            </w:r>
            <w:r>
              <w:rPr>
                <w:rFonts w:hint="default" w:ascii="Times New Roman" w:hAnsi="Times New Roman" w:cs="Times New Roman"/>
                <w:color w:val="auto"/>
                <w:sz w:val="24"/>
                <w:highlight w:val="none"/>
                <w:lang w:val="en-US" w:eastAsia="zh-CN"/>
              </w:rPr>
              <w:t>·</w:t>
            </w:r>
            <w:r>
              <w:rPr>
                <w:rFonts w:hint="eastAsia"/>
                <w:color w:val="auto"/>
                <w:sz w:val="24"/>
                <w:highlight w:val="none"/>
                <w:lang w:val="en-US" w:eastAsia="zh-CN"/>
              </w:rPr>
              <w:t>城市杂用水水质》（GB/T18920-2020）中车辆冲洗水质标准要求后回用于洗车，不外排。</w:t>
            </w:r>
          </w:p>
          <w:p w14:paraId="0E2DD775">
            <w:pPr>
              <w:ind w:firstLine="480"/>
              <w:rPr>
                <w:rFonts w:hint="eastAsia"/>
                <w:sz w:val="24"/>
                <w:highlight w:val="none"/>
              </w:rPr>
            </w:pPr>
            <w:r>
              <w:rPr>
                <w:rFonts w:hint="eastAsia"/>
                <w:sz w:val="24"/>
                <w:highlight w:val="none"/>
                <w:lang w:eastAsia="zh-CN"/>
              </w:rPr>
              <w:t>（</w:t>
            </w:r>
            <w:r>
              <w:rPr>
                <w:rFonts w:hint="eastAsia"/>
                <w:sz w:val="24"/>
                <w:highlight w:val="none"/>
                <w:lang w:val="en-US" w:eastAsia="zh-CN"/>
              </w:rPr>
              <w:t>3</w:t>
            </w:r>
            <w:r>
              <w:rPr>
                <w:rFonts w:hint="eastAsia"/>
                <w:sz w:val="24"/>
                <w:highlight w:val="none"/>
                <w:lang w:eastAsia="zh-CN"/>
              </w:rPr>
              <w:t>）</w:t>
            </w:r>
            <w:r>
              <w:rPr>
                <w:rFonts w:hint="eastAsia"/>
                <w:sz w:val="24"/>
                <w:highlight w:val="none"/>
              </w:rPr>
              <w:t>供电</w:t>
            </w:r>
            <w:r>
              <w:rPr>
                <w:rFonts w:hint="eastAsia"/>
                <w:sz w:val="24"/>
                <w:highlight w:val="none"/>
                <w:lang w:eastAsia="zh-CN"/>
              </w:rPr>
              <w:t>：</w:t>
            </w:r>
            <w:r>
              <w:rPr>
                <w:rFonts w:hint="eastAsia"/>
                <w:sz w:val="24"/>
                <w:highlight w:val="none"/>
              </w:rPr>
              <w:t>本项目用电接自</w:t>
            </w:r>
            <w:r>
              <w:rPr>
                <w:rFonts w:hint="eastAsia"/>
                <w:sz w:val="24"/>
                <w:highlight w:val="none"/>
                <w:lang w:val="en-US" w:eastAsia="zh-CN"/>
              </w:rPr>
              <w:t>柴桑区市政</w:t>
            </w:r>
            <w:r>
              <w:rPr>
                <w:rFonts w:hint="eastAsia"/>
                <w:sz w:val="24"/>
                <w:highlight w:val="none"/>
              </w:rPr>
              <w:t>供电电网。</w:t>
            </w:r>
          </w:p>
          <w:p w14:paraId="1CB74CC7">
            <w:pPr>
              <w:ind w:firstLine="480"/>
              <w:rPr>
                <w:highlight w:val="none"/>
              </w:rPr>
            </w:pPr>
            <w:r>
              <w:rPr>
                <w:rFonts w:hint="eastAsia"/>
                <w:sz w:val="24"/>
                <w:highlight w:val="none"/>
                <w:lang w:eastAsia="zh-CN"/>
              </w:rPr>
              <w:t>（</w:t>
            </w:r>
            <w:r>
              <w:rPr>
                <w:rFonts w:hint="eastAsia"/>
                <w:sz w:val="24"/>
                <w:highlight w:val="none"/>
                <w:lang w:val="en-US" w:eastAsia="zh-CN"/>
              </w:rPr>
              <w:t>4</w:t>
            </w:r>
            <w:r>
              <w:rPr>
                <w:rFonts w:hint="eastAsia"/>
                <w:sz w:val="24"/>
                <w:highlight w:val="none"/>
                <w:lang w:eastAsia="zh-CN"/>
              </w:rPr>
              <w:t>）</w:t>
            </w:r>
            <w:r>
              <w:rPr>
                <w:rFonts w:hint="eastAsia"/>
                <w:sz w:val="24"/>
                <w:highlight w:val="none"/>
              </w:rPr>
              <w:t>消防</w:t>
            </w:r>
            <w:r>
              <w:rPr>
                <w:rFonts w:hint="eastAsia"/>
                <w:sz w:val="24"/>
                <w:highlight w:val="none"/>
                <w:lang w:eastAsia="zh-CN"/>
              </w:rPr>
              <w:t>：</w:t>
            </w:r>
            <w:r>
              <w:rPr>
                <w:rFonts w:hint="eastAsia"/>
                <w:sz w:val="24"/>
                <w:highlight w:val="none"/>
              </w:rPr>
              <w:t>根据《汽车加油加气加氢站技术标准》</w:t>
            </w:r>
            <w:r>
              <w:rPr>
                <w:rFonts w:hint="eastAsia"/>
                <w:sz w:val="24"/>
                <w:highlight w:val="none"/>
                <w:lang w:eastAsia="zh-CN"/>
              </w:rPr>
              <w:t>（</w:t>
            </w:r>
            <w:r>
              <w:rPr>
                <w:rFonts w:hint="eastAsia"/>
                <w:sz w:val="24"/>
                <w:highlight w:val="none"/>
              </w:rPr>
              <w:t>GB50156-2021</w:t>
            </w:r>
            <w:r>
              <w:rPr>
                <w:rFonts w:hint="eastAsia"/>
                <w:sz w:val="24"/>
                <w:highlight w:val="none"/>
                <w:lang w:eastAsia="zh-CN"/>
              </w:rPr>
              <w:t>）</w:t>
            </w:r>
            <w:r>
              <w:rPr>
                <w:rFonts w:hint="eastAsia"/>
                <w:sz w:val="24"/>
                <w:highlight w:val="none"/>
              </w:rPr>
              <w:t>，加油站应设置灭火器材，小型灭火器材是控制初期火灾和扑灭小型火灾的最有效设备。本项目配备的消防器材</w:t>
            </w:r>
            <w:r>
              <w:rPr>
                <w:rFonts w:hint="eastAsia"/>
                <w:sz w:val="24"/>
                <w:highlight w:val="none"/>
                <w:lang w:val="en-US" w:eastAsia="zh-CN"/>
              </w:rPr>
              <w:t>详</w:t>
            </w:r>
            <w:r>
              <w:rPr>
                <w:rFonts w:hint="eastAsia"/>
                <w:sz w:val="24"/>
                <w:highlight w:val="none"/>
              </w:rPr>
              <w:t>见表</w:t>
            </w:r>
            <w:r>
              <w:rPr>
                <w:rFonts w:hint="eastAsia"/>
                <w:sz w:val="24"/>
                <w:highlight w:val="none"/>
                <w:lang w:val="en-US" w:eastAsia="zh-CN"/>
              </w:rPr>
              <w:t>2-7</w:t>
            </w:r>
            <w:r>
              <w:rPr>
                <w:rFonts w:hint="eastAsia"/>
                <w:sz w:val="24"/>
                <w:highlight w:val="none"/>
              </w:rPr>
              <w:t>。</w:t>
            </w:r>
          </w:p>
          <w:p w14:paraId="05D8D1F5">
            <w:pPr>
              <w:pStyle w:val="49"/>
              <w:keepNext w:val="0"/>
              <w:keepLines w:val="0"/>
              <w:pageBreakBefore w:val="0"/>
              <w:widowControl w:val="0"/>
              <w:kinsoku/>
              <w:wordWrap/>
              <w:overflowPunct/>
              <w:topLinePunct w:val="0"/>
              <w:autoSpaceDE/>
              <w:autoSpaceDN/>
              <w:bidi w:val="0"/>
              <w:adjustRightInd/>
              <w:snapToGrid/>
              <w:textAlignment w:val="auto"/>
              <w:rPr>
                <w:b/>
                <w:highlight w:val="none"/>
              </w:rPr>
            </w:pPr>
            <w:r>
              <w:rPr>
                <w:b/>
                <w:highlight w:val="none"/>
              </w:rPr>
              <w:t>表</w:t>
            </w:r>
            <w:r>
              <w:rPr>
                <w:rFonts w:hint="eastAsia"/>
                <w:b/>
                <w:highlight w:val="none"/>
              </w:rPr>
              <w:t>2-</w:t>
            </w:r>
            <w:r>
              <w:rPr>
                <w:rFonts w:hint="eastAsia"/>
                <w:b/>
                <w:highlight w:val="none"/>
                <w:lang w:val="en-US" w:eastAsia="zh-CN"/>
              </w:rPr>
              <w:t>7   项目</w:t>
            </w:r>
            <w:r>
              <w:rPr>
                <w:rFonts w:hint="eastAsia"/>
                <w:b/>
                <w:highlight w:val="none"/>
              </w:rPr>
              <w:t>消防器材</w:t>
            </w:r>
            <w:r>
              <w:rPr>
                <w:b/>
                <w:highlight w:val="none"/>
              </w:rPr>
              <w:t>一览表</w:t>
            </w:r>
          </w:p>
          <w:tbl>
            <w:tblPr>
              <w:tblStyle w:val="3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0"/>
              <w:gridCol w:w="4274"/>
              <w:gridCol w:w="1696"/>
              <w:gridCol w:w="2408"/>
            </w:tblGrid>
            <w:tr w14:paraId="47FD2A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jc w:val="center"/>
              </w:trPr>
              <w:tc>
                <w:tcPr>
                  <w:tcW w:w="489" w:type="pct"/>
                  <w:vAlign w:val="center"/>
                </w:tcPr>
                <w:p w14:paraId="46E86DC8">
                  <w:pPr>
                    <w:pStyle w:val="49"/>
                    <w:keepNext w:val="0"/>
                    <w:keepLines w:val="0"/>
                    <w:pageBreakBefore w:val="0"/>
                    <w:widowControl w:val="0"/>
                    <w:kinsoku/>
                    <w:wordWrap/>
                    <w:overflowPunct/>
                    <w:topLinePunct w:val="0"/>
                    <w:autoSpaceDE/>
                    <w:autoSpaceDN/>
                    <w:bidi w:val="0"/>
                    <w:adjustRightInd/>
                    <w:snapToGrid w:val="0"/>
                    <w:textAlignment w:val="auto"/>
                    <w:rPr>
                      <w:b/>
                      <w:highlight w:val="none"/>
                    </w:rPr>
                  </w:pPr>
                  <w:r>
                    <w:rPr>
                      <w:b/>
                      <w:highlight w:val="none"/>
                    </w:rPr>
                    <w:t>序号</w:t>
                  </w:r>
                </w:p>
              </w:tc>
              <w:tc>
                <w:tcPr>
                  <w:tcW w:w="2300" w:type="pct"/>
                  <w:vAlign w:val="center"/>
                </w:tcPr>
                <w:p w14:paraId="33ACBEFF">
                  <w:pPr>
                    <w:pStyle w:val="49"/>
                    <w:keepNext w:val="0"/>
                    <w:keepLines w:val="0"/>
                    <w:pageBreakBefore w:val="0"/>
                    <w:widowControl w:val="0"/>
                    <w:kinsoku/>
                    <w:wordWrap/>
                    <w:overflowPunct/>
                    <w:topLinePunct w:val="0"/>
                    <w:autoSpaceDE/>
                    <w:autoSpaceDN/>
                    <w:bidi w:val="0"/>
                    <w:adjustRightInd/>
                    <w:snapToGrid w:val="0"/>
                    <w:textAlignment w:val="auto"/>
                    <w:rPr>
                      <w:b/>
                      <w:highlight w:val="none"/>
                    </w:rPr>
                  </w:pPr>
                  <w:r>
                    <w:rPr>
                      <w:rFonts w:hint="eastAsia"/>
                      <w:b/>
                      <w:highlight w:val="none"/>
                    </w:rPr>
                    <w:t>消防器材</w:t>
                  </w:r>
                </w:p>
              </w:tc>
              <w:tc>
                <w:tcPr>
                  <w:tcW w:w="913" w:type="pct"/>
                  <w:vAlign w:val="center"/>
                </w:tcPr>
                <w:p w14:paraId="5EDAF655">
                  <w:pPr>
                    <w:pStyle w:val="49"/>
                    <w:keepNext w:val="0"/>
                    <w:keepLines w:val="0"/>
                    <w:pageBreakBefore w:val="0"/>
                    <w:widowControl w:val="0"/>
                    <w:kinsoku/>
                    <w:wordWrap/>
                    <w:overflowPunct/>
                    <w:topLinePunct w:val="0"/>
                    <w:autoSpaceDE/>
                    <w:autoSpaceDN/>
                    <w:bidi w:val="0"/>
                    <w:adjustRightInd/>
                    <w:snapToGrid w:val="0"/>
                    <w:textAlignment w:val="auto"/>
                    <w:rPr>
                      <w:b/>
                      <w:highlight w:val="none"/>
                    </w:rPr>
                  </w:pPr>
                  <w:r>
                    <w:rPr>
                      <w:b/>
                      <w:highlight w:val="none"/>
                    </w:rPr>
                    <w:t>数量</w:t>
                  </w:r>
                </w:p>
              </w:tc>
              <w:tc>
                <w:tcPr>
                  <w:tcW w:w="1296" w:type="pct"/>
                  <w:vAlign w:val="center"/>
                </w:tcPr>
                <w:p w14:paraId="02CB5BAF">
                  <w:pPr>
                    <w:pStyle w:val="49"/>
                    <w:keepNext w:val="0"/>
                    <w:keepLines w:val="0"/>
                    <w:pageBreakBefore w:val="0"/>
                    <w:widowControl w:val="0"/>
                    <w:kinsoku/>
                    <w:wordWrap/>
                    <w:overflowPunct/>
                    <w:topLinePunct w:val="0"/>
                    <w:autoSpaceDE/>
                    <w:autoSpaceDN/>
                    <w:bidi w:val="0"/>
                    <w:adjustRightInd/>
                    <w:snapToGrid w:val="0"/>
                    <w:textAlignment w:val="auto"/>
                    <w:rPr>
                      <w:b/>
                      <w:highlight w:val="none"/>
                    </w:rPr>
                  </w:pPr>
                  <w:r>
                    <w:rPr>
                      <w:rFonts w:hint="eastAsia"/>
                      <w:b/>
                      <w:highlight w:val="none"/>
                    </w:rPr>
                    <w:t>备注</w:t>
                  </w:r>
                </w:p>
              </w:tc>
            </w:tr>
            <w:tr w14:paraId="01219A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9" w:type="pct"/>
                  <w:vAlign w:val="center"/>
                </w:tcPr>
                <w:p w14:paraId="41B095D6">
                  <w:pPr>
                    <w:pStyle w:val="49"/>
                    <w:keepNext w:val="0"/>
                    <w:keepLines w:val="0"/>
                    <w:pageBreakBefore w:val="0"/>
                    <w:widowControl w:val="0"/>
                    <w:numPr>
                      <w:ilvl w:val="0"/>
                      <w:numId w:val="2"/>
                    </w:numPr>
                    <w:kinsoku/>
                    <w:wordWrap/>
                    <w:overflowPunct/>
                    <w:topLinePunct w:val="0"/>
                    <w:autoSpaceDE/>
                    <w:autoSpaceDN/>
                    <w:bidi w:val="0"/>
                    <w:adjustRightInd/>
                    <w:snapToGrid w:val="0"/>
                    <w:textAlignment w:val="auto"/>
                    <w:rPr>
                      <w:color w:val="000000"/>
                      <w:szCs w:val="21"/>
                      <w:highlight w:val="none"/>
                    </w:rPr>
                  </w:pPr>
                </w:p>
              </w:tc>
              <w:tc>
                <w:tcPr>
                  <w:tcW w:w="2300" w:type="pct"/>
                  <w:vAlign w:val="center"/>
                </w:tcPr>
                <w:p w14:paraId="2BAD2899">
                  <w:pPr>
                    <w:pStyle w:val="49"/>
                    <w:keepNext w:val="0"/>
                    <w:keepLines w:val="0"/>
                    <w:pageBreakBefore w:val="0"/>
                    <w:widowControl w:val="0"/>
                    <w:kinsoku/>
                    <w:wordWrap/>
                    <w:overflowPunct/>
                    <w:topLinePunct w:val="0"/>
                    <w:autoSpaceDE/>
                    <w:autoSpaceDN/>
                    <w:bidi w:val="0"/>
                    <w:adjustRightInd/>
                    <w:snapToGrid w:val="0"/>
                    <w:textAlignment w:val="auto"/>
                    <w:rPr>
                      <w:highlight w:val="none"/>
                    </w:rPr>
                  </w:pPr>
                  <w:r>
                    <w:rPr>
                      <w:rFonts w:hint="eastAsia"/>
                      <w:highlight w:val="none"/>
                    </w:rPr>
                    <w:t>消防沙箱</w:t>
                  </w:r>
                </w:p>
              </w:tc>
              <w:tc>
                <w:tcPr>
                  <w:tcW w:w="913" w:type="pct"/>
                  <w:vAlign w:val="center"/>
                </w:tcPr>
                <w:p w14:paraId="2CA10929">
                  <w:pPr>
                    <w:pStyle w:val="49"/>
                    <w:keepNext w:val="0"/>
                    <w:keepLines w:val="0"/>
                    <w:pageBreakBefore w:val="0"/>
                    <w:widowControl w:val="0"/>
                    <w:kinsoku/>
                    <w:wordWrap/>
                    <w:overflowPunct/>
                    <w:topLinePunct w:val="0"/>
                    <w:autoSpaceDE/>
                    <w:autoSpaceDN/>
                    <w:bidi w:val="0"/>
                    <w:adjustRightInd/>
                    <w:snapToGrid w:val="0"/>
                    <w:textAlignment w:val="auto"/>
                    <w:rPr>
                      <w:highlight w:val="none"/>
                    </w:rPr>
                  </w:pPr>
                  <w:r>
                    <w:rPr>
                      <w:rFonts w:hint="eastAsia"/>
                      <w:highlight w:val="none"/>
                    </w:rPr>
                    <w:t>1个</w:t>
                  </w:r>
                </w:p>
              </w:tc>
              <w:tc>
                <w:tcPr>
                  <w:tcW w:w="1296" w:type="pct"/>
                  <w:vAlign w:val="center"/>
                </w:tcPr>
                <w:p w14:paraId="3D2693AA">
                  <w:pPr>
                    <w:pStyle w:val="49"/>
                    <w:keepNext w:val="0"/>
                    <w:keepLines w:val="0"/>
                    <w:pageBreakBefore w:val="0"/>
                    <w:widowControl w:val="0"/>
                    <w:kinsoku/>
                    <w:wordWrap/>
                    <w:overflowPunct/>
                    <w:topLinePunct w:val="0"/>
                    <w:autoSpaceDE/>
                    <w:autoSpaceDN/>
                    <w:bidi w:val="0"/>
                    <w:adjustRightInd/>
                    <w:snapToGrid w:val="0"/>
                    <w:textAlignment w:val="auto"/>
                    <w:rPr>
                      <w:highlight w:val="none"/>
                    </w:rPr>
                  </w:pPr>
                  <w:r>
                    <w:rPr>
                      <w:rFonts w:hint="eastAsia"/>
                      <w:highlight w:val="none"/>
                    </w:rPr>
                    <w:t>卸油口旁</w:t>
                  </w:r>
                </w:p>
              </w:tc>
            </w:tr>
            <w:tr w14:paraId="3A0A09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9" w:type="pct"/>
                  <w:vAlign w:val="center"/>
                </w:tcPr>
                <w:p w14:paraId="7E712DF8">
                  <w:pPr>
                    <w:pStyle w:val="49"/>
                    <w:keepNext w:val="0"/>
                    <w:keepLines w:val="0"/>
                    <w:pageBreakBefore w:val="0"/>
                    <w:widowControl w:val="0"/>
                    <w:numPr>
                      <w:ilvl w:val="0"/>
                      <w:numId w:val="2"/>
                    </w:numPr>
                    <w:kinsoku/>
                    <w:wordWrap/>
                    <w:overflowPunct/>
                    <w:topLinePunct w:val="0"/>
                    <w:autoSpaceDE/>
                    <w:autoSpaceDN/>
                    <w:bidi w:val="0"/>
                    <w:adjustRightInd/>
                    <w:snapToGrid w:val="0"/>
                    <w:textAlignment w:val="auto"/>
                    <w:rPr>
                      <w:color w:val="000000"/>
                      <w:szCs w:val="21"/>
                      <w:highlight w:val="none"/>
                    </w:rPr>
                  </w:pPr>
                </w:p>
              </w:tc>
              <w:tc>
                <w:tcPr>
                  <w:tcW w:w="2300" w:type="pct"/>
                  <w:vAlign w:val="center"/>
                </w:tcPr>
                <w:p w14:paraId="6A26C3F6">
                  <w:pPr>
                    <w:pStyle w:val="49"/>
                    <w:keepNext w:val="0"/>
                    <w:keepLines w:val="0"/>
                    <w:pageBreakBefore w:val="0"/>
                    <w:widowControl w:val="0"/>
                    <w:kinsoku/>
                    <w:wordWrap/>
                    <w:overflowPunct/>
                    <w:topLinePunct w:val="0"/>
                    <w:autoSpaceDE/>
                    <w:autoSpaceDN/>
                    <w:bidi w:val="0"/>
                    <w:adjustRightInd/>
                    <w:snapToGrid w:val="0"/>
                    <w:textAlignment w:val="auto"/>
                    <w:rPr>
                      <w:highlight w:val="none"/>
                    </w:rPr>
                  </w:pPr>
                  <w:r>
                    <w:rPr>
                      <w:rFonts w:hint="eastAsia"/>
                      <w:highlight w:val="none"/>
                    </w:rPr>
                    <w:t>手提式灭火器</w:t>
                  </w:r>
                </w:p>
              </w:tc>
              <w:tc>
                <w:tcPr>
                  <w:tcW w:w="913" w:type="pct"/>
                  <w:vAlign w:val="center"/>
                </w:tcPr>
                <w:p w14:paraId="6B35B893">
                  <w:pPr>
                    <w:pStyle w:val="49"/>
                    <w:keepNext w:val="0"/>
                    <w:keepLines w:val="0"/>
                    <w:pageBreakBefore w:val="0"/>
                    <w:widowControl w:val="0"/>
                    <w:kinsoku/>
                    <w:wordWrap/>
                    <w:overflowPunct/>
                    <w:topLinePunct w:val="0"/>
                    <w:autoSpaceDE/>
                    <w:autoSpaceDN/>
                    <w:bidi w:val="0"/>
                    <w:adjustRightInd/>
                    <w:snapToGrid w:val="0"/>
                    <w:textAlignment w:val="auto"/>
                    <w:rPr>
                      <w:highlight w:val="none"/>
                    </w:rPr>
                  </w:pPr>
                  <w:r>
                    <w:rPr>
                      <w:rFonts w:hint="eastAsia"/>
                      <w:highlight w:val="none"/>
                      <w:lang w:val="en-US" w:eastAsia="zh-CN"/>
                    </w:rPr>
                    <w:t>42</w:t>
                  </w:r>
                  <w:r>
                    <w:rPr>
                      <w:rFonts w:hint="eastAsia"/>
                      <w:highlight w:val="none"/>
                    </w:rPr>
                    <w:t>个</w:t>
                  </w:r>
                </w:p>
              </w:tc>
              <w:tc>
                <w:tcPr>
                  <w:tcW w:w="1296" w:type="pct"/>
                  <w:vAlign w:val="center"/>
                </w:tcPr>
                <w:p w14:paraId="51CDFF08">
                  <w:pPr>
                    <w:pStyle w:val="49"/>
                    <w:keepNext w:val="0"/>
                    <w:keepLines w:val="0"/>
                    <w:pageBreakBefore w:val="0"/>
                    <w:widowControl w:val="0"/>
                    <w:kinsoku/>
                    <w:wordWrap/>
                    <w:overflowPunct/>
                    <w:topLinePunct w:val="0"/>
                    <w:autoSpaceDE/>
                    <w:autoSpaceDN/>
                    <w:bidi w:val="0"/>
                    <w:adjustRightInd/>
                    <w:snapToGrid w:val="0"/>
                    <w:textAlignment w:val="auto"/>
                    <w:rPr>
                      <w:highlight w:val="none"/>
                    </w:rPr>
                  </w:pPr>
                  <w:r>
                    <w:rPr>
                      <w:rFonts w:hint="eastAsia"/>
                      <w:highlight w:val="none"/>
                    </w:rPr>
                    <w:t>加油区和站房</w:t>
                  </w:r>
                </w:p>
              </w:tc>
            </w:tr>
            <w:tr w14:paraId="3C7D79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9" w:type="pct"/>
                  <w:vAlign w:val="center"/>
                </w:tcPr>
                <w:p w14:paraId="2CDDDC8D">
                  <w:pPr>
                    <w:pStyle w:val="49"/>
                    <w:keepNext w:val="0"/>
                    <w:keepLines w:val="0"/>
                    <w:pageBreakBefore w:val="0"/>
                    <w:widowControl w:val="0"/>
                    <w:numPr>
                      <w:ilvl w:val="0"/>
                      <w:numId w:val="2"/>
                    </w:numPr>
                    <w:kinsoku/>
                    <w:wordWrap/>
                    <w:overflowPunct/>
                    <w:topLinePunct w:val="0"/>
                    <w:autoSpaceDE/>
                    <w:autoSpaceDN/>
                    <w:bidi w:val="0"/>
                    <w:adjustRightInd/>
                    <w:snapToGrid w:val="0"/>
                    <w:textAlignment w:val="auto"/>
                    <w:rPr>
                      <w:color w:val="000000"/>
                      <w:szCs w:val="21"/>
                      <w:highlight w:val="none"/>
                    </w:rPr>
                  </w:pPr>
                </w:p>
              </w:tc>
              <w:tc>
                <w:tcPr>
                  <w:tcW w:w="2300" w:type="pct"/>
                  <w:vAlign w:val="center"/>
                </w:tcPr>
                <w:p w14:paraId="1F837131">
                  <w:pPr>
                    <w:pStyle w:val="49"/>
                    <w:keepNext w:val="0"/>
                    <w:keepLines w:val="0"/>
                    <w:pageBreakBefore w:val="0"/>
                    <w:widowControl w:val="0"/>
                    <w:kinsoku/>
                    <w:wordWrap/>
                    <w:overflowPunct/>
                    <w:topLinePunct w:val="0"/>
                    <w:autoSpaceDE/>
                    <w:autoSpaceDN/>
                    <w:bidi w:val="0"/>
                    <w:adjustRightInd/>
                    <w:snapToGrid w:val="0"/>
                    <w:textAlignment w:val="auto"/>
                    <w:rPr>
                      <w:highlight w:val="none"/>
                    </w:rPr>
                  </w:pPr>
                  <w:r>
                    <w:rPr>
                      <w:rFonts w:hint="eastAsia"/>
                      <w:highlight w:val="none"/>
                    </w:rPr>
                    <w:t>推车式灭火器</w:t>
                  </w:r>
                </w:p>
              </w:tc>
              <w:tc>
                <w:tcPr>
                  <w:tcW w:w="913" w:type="pct"/>
                  <w:vAlign w:val="center"/>
                </w:tcPr>
                <w:p w14:paraId="0215E910">
                  <w:pPr>
                    <w:pStyle w:val="49"/>
                    <w:keepNext w:val="0"/>
                    <w:keepLines w:val="0"/>
                    <w:pageBreakBefore w:val="0"/>
                    <w:widowControl w:val="0"/>
                    <w:kinsoku/>
                    <w:wordWrap/>
                    <w:overflowPunct/>
                    <w:topLinePunct w:val="0"/>
                    <w:autoSpaceDE/>
                    <w:autoSpaceDN/>
                    <w:bidi w:val="0"/>
                    <w:adjustRightInd/>
                    <w:snapToGrid w:val="0"/>
                    <w:textAlignment w:val="auto"/>
                    <w:rPr>
                      <w:highlight w:val="none"/>
                    </w:rPr>
                  </w:pPr>
                  <w:r>
                    <w:rPr>
                      <w:rFonts w:hint="eastAsia"/>
                      <w:highlight w:val="none"/>
                    </w:rPr>
                    <w:t>1个</w:t>
                  </w:r>
                </w:p>
              </w:tc>
              <w:tc>
                <w:tcPr>
                  <w:tcW w:w="1296" w:type="pct"/>
                  <w:vAlign w:val="center"/>
                </w:tcPr>
                <w:p w14:paraId="64F11532">
                  <w:pPr>
                    <w:pStyle w:val="49"/>
                    <w:keepNext w:val="0"/>
                    <w:keepLines w:val="0"/>
                    <w:pageBreakBefore w:val="0"/>
                    <w:widowControl w:val="0"/>
                    <w:kinsoku/>
                    <w:wordWrap/>
                    <w:overflowPunct/>
                    <w:topLinePunct w:val="0"/>
                    <w:autoSpaceDE/>
                    <w:autoSpaceDN/>
                    <w:bidi w:val="0"/>
                    <w:adjustRightInd/>
                    <w:snapToGrid w:val="0"/>
                    <w:textAlignment w:val="auto"/>
                    <w:rPr>
                      <w:highlight w:val="none"/>
                    </w:rPr>
                  </w:pPr>
                  <w:r>
                    <w:rPr>
                      <w:rFonts w:hint="eastAsia"/>
                      <w:highlight w:val="none"/>
                      <w:lang w:val="en-US" w:eastAsia="zh-CN"/>
                    </w:rPr>
                    <w:t>储</w:t>
                  </w:r>
                  <w:r>
                    <w:rPr>
                      <w:rFonts w:hint="eastAsia"/>
                      <w:highlight w:val="none"/>
                    </w:rPr>
                    <w:t>罐区</w:t>
                  </w:r>
                </w:p>
              </w:tc>
            </w:tr>
            <w:tr w14:paraId="6B5191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9" w:type="pct"/>
                  <w:vAlign w:val="center"/>
                </w:tcPr>
                <w:p w14:paraId="6B5E6E8A">
                  <w:pPr>
                    <w:pStyle w:val="49"/>
                    <w:keepNext w:val="0"/>
                    <w:keepLines w:val="0"/>
                    <w:pageBreakBefore w:val="0"/>
                    <w:widowControl w:val="0"/>
                    <w:numPr>
                      <w:ilvl w:val="0"/>
                      <w:numId w:val="2"/>
                    </w:numPr>
                    <w:kinsoku/>
                    <w:wordWrap/>
                    <w:overflowPunct/>
                    <w:topLinePunct w:val="0"/>
                    <w:autoSpaceDE/>
                    <w:autoSpaceDN/>
                    <w:bidi w:val="0"/>
                    <w:adjustRightInd/>
                    <w:snapToGrid w:val="0"/>
                    <w:textAlignment w:val="auto"/>
                    <w:rPr>
                      <w:color w:val="000000"/>
                      <w:szCs w:val="21"/>
                      <w:highlight w:val="none"/>
                    </w:rPr>
                  </w:pPr>
                </w:p>
              </w:tc>
              <w:tc>
                <w:tcPr>
                  <w:tcW w:w="2300" w:type="pct"/>
                  <w:vAlign w:val="center"/>
                </w:tcPr>
                <w:p w14:paraId="2C82707C">
                  <w:pPr>
                    <w:pStyle w:val="49"/>
                    <w:keepNext w:val="0"/>
                    <w:keepLines w:val="0"/>
                    <w:pageBreakBefore w:val="0"/>
                    <w:widowControl w:val="0"/>
                    <w:kinsoku/>
                    <w:wordWrap/>
                    <w:overflowPunct/>
                    <w:topLinePunct w:val="0"/>
                    <w:autoSpaceDE/>
                    <w:autoSpaceDN/>
                    <w:bidi w:val="0"/>
                    <w:adjustRightInd/>
                    <w:snapToGrid w:val="0"/>
                    <w:textAlignment w:val="auto"/>
                    <w:rPr>
                      <w:highlight w:val="none"/>
                    </w:rPr>
                  </w:pPr>
                  <w:r>
                    <w:rPr>
                      <w:rFonts w:hint="eastAsia"/>
                      <w:highlight w:val="none"/>
                    </w:rPr>
                    <w:t>灭火毯</w:t>
                  </w:r>
                </w:p>
              </w:tc>
              <w:tc>
                <w:tcPr>
                  <w:tcW w:w="913" w:type="pct"/>
                  <w:vAlign w:val="center"/>
                </w:tcPr>
                <w:p w14:paraId="2F30846C">
                  <w:pPr>
                    <w:pStyle w:val="49"/>
                    <w:keepNext w:val="0"/>
                    <w:keepLines w:val="0"/>
                    <w:pageBreakBefore w:val="0"/>
                    <w:widowControl w:val="0"/>
                    <w:kinsoku/>
                    <w:wordWrap/>
                    <w:overflowPunct/>
                    <w:topLinePunct w:val="0"/>
                    <w:autoSpaceDE/>
                    <w:autoSpaceDN/>
                    <w:bidi w:val="0"/>
                    <w:adjustRightInd/>
                    <w:snapToGrid w:val="0"/>
                    <w:textAlignment w:val="auto"/>
                    <w:rPr>
                      <w:highlight w:val="none"/>
                    </w:rPr>
                  </w:pPr>
                  <w:r>
                    <w:rPr>
                      <w:rFonts w:hint="eastAsia"/>
                      <w:highlight w:val="none"/>
                    </w:rPr>
                    <w:t>5块</w:t>
                  </w:r>
                </w:p>
              </w:tc>
              <w:tc>
                <w:tcPr>
                  <w:tcW w:w="1296" w:type="pct"/>
                  <w:vMerge w:val="restart"/>
                  <w:vAlign w:val="center"/>
                </w:tcPr>
                <w:p w14:paraId="55F502ED">
                  <w:pPr>
                    <w:pStyle w:val="49"/>
                    <w:keepNext w:val="0"/>
                    <w:keepLines w:val="0"/>
                    <w:pageBreakBefore w:val="0"/>
                    <w:widowControl w:val="0"/>
                    <w:kinsoku/>
                    <w:wordWrap/>
                    <w:overflowPunct/>
                    <w:topLinePunct w:val="0"/>
                    <w:autoSpaceDE/>
                    <w:autoSpaceDN/>
                    <w:bidi w:val="0"/>
                    <w:adjustRightInd/>
                    <w:snapToGrid w:val="0"/>
                    <w:textAlignment w:val="auto"/>
                    <w:rPr>
                      <w:highlight w:val="none"/>
                    </w:rPr>
                  </w:pPr>
                  <w:r>
                    <w:rPr>
                      <w:rFonts w:hint="eastAsia"/>
                      <w:highlight w:val="none"/>
                    </w:rPr>
                    <w:t>消防器材箱</w:t>
                  </w:r>
                </w:p>
              </w:tc>
            </w:tr>
            <w:tr w14:paraId="011D03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9" w:type="pct"/>
                  <w:vAlign w:val="center"/>
                </w:tcPr>
                <w:p w14:paraId="711FBB9E">
                  <w:pPr>
                    <w:pStyle w:val="49"/>
                    <w:keepNext w:val="0"/>
                    <w:keepLines w:val="0"/>
                    <w:pageBreakBefore w:val="0"/>
                    <w:widowControl w:val="0"/>
                    <w:numPr>
                      <w:ilvl w:val="0"/>
                      <w:numId w:val="2"/>
                    </w:numPr>
                    <w:kinsoku/>
                    <w:wordWrap/>
                    <w:overflowPunct/>
                    <w:topLinePunct w:val="0"/>
                    <w:autoSpaceDE/>
                    <w:autoSpaceDN/>
                    <w:bidi w:val="0"/>
                    <w:adjustRightInd/>
                    <w:snapToGrid w:val="0"/>
                    <w:textAlignment w:val="auto"/>
                    <w:rPr>
                      <w:color w:val="000000"/>
                      <w:szCs w:val="21"/>
                      <w:highlight w:val="none"/>
                    </w:rPr>
                  </w:pPr>
                </w:p>
              </w:tc>
              <w:tc>
                <w:tcPr>
                  <w:tcW w:w="2300" w:type="pct"/>
                  <w:vAlign w:val="center"/>
                </w:tcPr>
                <w:p w14:paraId="0BFF4D95">
                  <w:pPr>
                    <w:pStyle w:val="49"/>
                    <w:keepNext w:val="0"/>
                    <w:keepLines w:val="0"/>
                    <w:pageBreakBefore w:val="0"/>
                    <w:widowControl w:val="0"/>
                    <w:kinsoku/>
                    <w:wordWrap/>
                    <w:overflowPunct/>
                    <w:topLinePunct w:val="0"/>
                    <w:autoSpaceDE/>
                    <w:autoSpaceDN/>
                    <w:bidi w:val="0"/>
                    <w:adjustRightInd/>
                    <w:snapToGrid w:val="0"/>
                    <w:textAlignment w:val="auto"/>
                    <w:rPr>
                      <w:highlight w:val="none"/>
                    </w:rPr>
                  </w:pPr>
                  <w:r>
                    <w:rPr>
                      <w:rFonts w:hint="eastAsia"/>
                      <w:highlight w:val="none"/>
                    </w:rPr>
                    <w:t>消防铲</w:t>
                  </w:r>
                </w:p>
              </w:tc>
              <w:tc>
                <w:tcPr>
                  <w:tcW w:w="913" w:type="pct"/>
                  <w:vAlign w:val="center"/>
                </w:tcPr>
                <w:p w14:paraId="676643E9">
                  <w:pPr>
                    <w:pStyle w:val="49"/>
                    <w:keepNext w:val="0"/>
                    <w:keepLines w:val="0"/>
                    <w:pageBreakBefore w:val="0"/>
                    <w:widowControl w:val="0"/>
                    <w:kinsoku/>
                    <w:wordWrap/>
                    <w:overflowPunct/>
                    <w:topLinePunct w:val="0"/>
                    <w:autoSpaceDE/>
                    <w:autoSpaceDN/>
                    <w:bidi w:val="0"/>
                    <w:adjustRightInd/>
                    <w:snapToGrid w:val="0"/>
                    <w:textAlignment w:val="auto"/>
                    <w:rPr>
                      <w:highlight w:val="none"/>
                    </w:rPr>
                  </w:pPr>
                  <w:r>
                    <w:rPr>
                      <w:rFonts w:hint="eastAsia"/>
                      <w:highlight w:val="none"/>
                    </w:rPr>
                    <w:t>3个</w:t>
                  </w:r>
                </w:p>
              </w:tc>
              <w:tc>
                <w:tcPr>
                  <w:tcW w:w="1296" w:type="pct"/>
                  <w:vMerge w:val="continue"/>
                  <w:vAlign w:val="center"/>
                </w:tcPr>
                <w:p w14:paraId="488C9769">
                  <w:pPr>
                    <w:pStyle w:val="49"/>
                    <w:keepNext w:val="0"/>
                    <w:keepLines w:val="0"/>
                    <w:pageBreakBefore w:val="0"/>
                    <w:widowControl w:val="0"/>
                    <w:kinsoku/>
                    <w:wordWrap/>
                    <w:overflowPunct/>
                    <w:topLinePunct w:val="0"/>
                    <w:autoSpaceDE/>
                    <w:autoSpaceDN/>
                    <w:bidi w:val="0"/>
                    <w:adjustRightInd/>
                    <w:snapToGrid w:val="0"/>
                    <w:textAlignment w:val="auto"/>
                    <w:rPr>
                      <w:highlight w:val="none"/>
                    </w:rPr>
                  </w:pPr>
                </w:p>
              </w:tc>
            </w:tr>
            <w:tr w14:paraId="06C356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jc w:val="center"/>
              </w:trPr>
              <w:tc>
                <w:tcPr>
                  <w:tcW w:w="489" w:type="pct"/>
                  <w:vAlign w:val="center"/>
                </w:tcPr>
                <w:p w14:paraId="584905E4">
                  <w:pPr>
                    <w:pStyle w:val="49"/>
                    <w:keepNext w:val="0"/>
                    <w:keepLines w:val="0"/>
                    <w:pageBreakBefore w:val="0"/>
                    <w:widowControl w:val="0"/>
                    <w:numPr>
                      <w:ilvl w:val="0"/>
                      <w:numId w:val="2"/>
                    </w:numPr>
                    <w:kinsoku/>
                    <w:wordWrap/>
                    <w:overflowPunct/>
                    <w:topLinePunct w:val="0"/>
                    <w:autoSpaceDE/>
                    <w:autoSpaceDN/>
                    <w:bidi w:val="0"/>
                    <w:adjustRightInd/>
                    <w:snapToGrid w:val="0"/>
                    <w:textAlignment w:val="auto"/>
                    <w:rPr>
                      <w:color w:val="000000"/>
                      <w:szCs w:val="21"/>
                      <w:highlight w:val="none"/>
                    </w:rPr>
                  </w:pPr>
                </w:p>
              </w:tc>
              <w:tc>
                <w:tcPr>
                  <w:tcW w:w="2300" w:type="pct"/>
                  <w:vAlign w:val="center"/>
                </w:tcPr>
                <w:p w14:paraId="443739A8">
                  <w:pPr>
                    <w:pStyle w:val="49"/>
                    <w:keepNext w:val="0"/>
                    <w:keepLines w:val="0"/>
                    <w:pageBreakBefore w:val="0"/>
                    <w:widowControl w:val="0"/>
                    <w:kinsoku/>
                    <w:wordWrap/>
                    <w:overflowPunct/>
                    <w:topLinePunct w:val="0"/>
                    <w:autoSpaceDE/>
                    <w:autoSpaceDN/>
                    <w:bidi w:val="0"/>
                    <w:adjustRightInd/>
                    <w:snapToGrid w:val="0"/>
                    <w:textAlignment w:val="auto"/>
                    <w:rPr>
                      <w:highlight w:val="none"/>
                    </w:rPr>
                  </w:pPr>
                  <w:r>
                    <w:rPr>
                      <w:rFonts w:hint="eastAsia"/>
                      <w:highlight w:val="none"/>
                    </w:rPr>
                    <w:t>消防桶</w:t>
                  </w:r>
                </w:p>
              </w:tc>
              <w:tc>
                <w:tcPr>
                  <w:tcW w:w="913" w:type="pct"/>
                  <w:vAlign w:val="center"/>
                </w:tcPr>
                <w:p w14:paraId="790AB3F2">
                  <w:pPr>
                    <w:pStyle w:val="49"/>
                    <w:keepNext w:val="0"/>
                    <w:keepLines w:val="0"/>
                    <w:pageBreakBefore w:val="0"/>
                    <w:widowControl w:val="0"/>
                    <w:kinsoku/>
                    <w:wordWrap/>
                    <w:overflowPunct/>
                    <w:topLinePunct w:val="0"/>
                    <w:autoSpaceDE/>
                    <w:autoSpaceDN/>
                    <w:bidi w:val="0"/>
                    <w:adjustRightInd/>
                    <w:snapToGrid w:val="0"/>
                    <w:textAlignment w:val="auto"/>
                    <w:rPr>
                      <w:highlight w:val="none"/>
                    </w:rPr>
                  </w:pPr>
                  <w:r>
                    <w:rPr>
                      <w:rFonts w:hint="eastAsia"/>
                      <w:highlight w:val="none"/>
                    </w:rPr>
                    <w:t>3个</w:t>
                  </w:r>
                </w:p>
              </w:tc>
              <w:tc>
                <w:tcPr>
                  <w:tcW w:w="1296" w:type="pct"/>
                  <w:vMerge w:val="continue"/>
                  <w:vAlign w:val="center"/>
                </w:tcPr>
                <w:p w14:paraId="011007D6">
                  <w:pPr>
                    <w:pStyle w:val="49"/>
                    <w:keepNext w:val="0"/>
                    <w:keepLines w:val="0"/>
                    <w:pageBreakBefore w:val="0"/>
                    <w:widowControl w:val="0"/>
                    <w:kinsoku/>
                    <w:wordWrap/>
                    <w:overflowPunct/>
                    <w:topLinePunct w:val="0"/>
                    <w:autoSpaceDE/>
                    <w:autoSpaceDN/>
                    <w:bidi w:val="0"/>
                    <w:adjustRightInd/>
                    <w:snapToGrid w:val="0"/>
                    <w:textAlignment w:val="auto"/>
                    <w:rPr>
                      <w:highlight w:val="none"/>
                    </w:rPr>
                  </w:pPr>
                </w:p>
              </w:tc>
            </w:tr>
          </w:tbl>
          <w:p w14:paraId="2FB0423F">
            <w:pPr>
              <w:pStyle w:val="54"/>
              <w:keepNext w:val="0"/>
              <w:keepLines w:val="0"/>
              <w:pageBreakBefore w:val="0"/>
              <w:widowControl w:val="0"/>
              <w:numPr>
                <w:ilvl w:val="0"/>
                <w:numId w:val="0"/>
              </w:numPr>
              <w:kinsoku/>
              <w:wordWrap/>
              <w:overflowPunct/>
              <w:topLinePunct w:val="0"/>
              <w:autoSpaceDE/>
              <w:autoSpaceDN/>
              <w:bidi w:val="0"/>
              <w:adjustRightInd/>
              <w:snapToGrid/>
              <w:ind w:left="0" w:leftChars="0" w:firstLine="482" w:firstLineChars="200"/>
              <w:textAlignment w:val="auto"/>
              <w:rPr>
                <w:b/>
                <w:color w:val="auto"/>
                <w:highlight w:val="none"/>
              </w:rPr>
            </w:pPr>
            <w:r>
              <w:rPr>
                <w:rFonts w:hint="eastAsia"/>
                <w:b/>
                <w:color w:val="auto"/>
                <w:highlight w:val="none"/>
                <w:lang w:val="en-US" w:eastAsia="zh-CN"/>
              </w:rPr>
              <w:t>9、项目</w:t>
            </w:r>
            <w:r>
              <w:rPr>
                <w:rFonts w:hint="eastAsia"/>
                <w:b/>
                <w:color w:val="auto"/>
                <w:highlight w:val="none"/>
              </w:rPr>
              <w:t>总平面布置</w:t>
            </w:r>
          </w:p>
          <w:p w14:paraId="1D77A6EF">
            <w:pPr>
              <w:spacing w:line="360" w:lineRule="auto"/>
              <w:ind w:firstLine="480" w:firstLineChars="200"/>
              <w:rPr>
                <w:rFonts w:hint="default" w:ascii="Times New Roman" w:hAnsi="Times New Roman" w:eastAsia="宋体"/>
                <w:color w:val="000000" w:themeColor="text1"/>
                <w:sz w:val="24"/>
                <w:lang w:val="en-US" w:eastAsia="zh-CN"/>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加油站根据其使用性质的不同，设</w:t>
            </w:r>
            <w:r>
              <w:rPr>
                <w:rFonts w:hint="eastAsia"/>
                <w:color w:val="000000" w:themeColor="text1"/>
                <w:sz w:val="24"/>
                <w:lang w:val="en-US" w:eastAsia="zh-CN"/>
                <w14:textFill>
                  <w14:solidFill>
                    <w14:schemeClr w14:val="tx1"/>
                  </w14:solidFill>
                </w14:textFill>
              </w:rPr>
              <w:t>置6</w:t>
            </w:r>
            <w:r>
              <w:rPr>
                <w:rFonts w:ascii="Times New Roman" w:hAnsi="Times New Roman" w:eastAsia="宋体"/>
                <w:color w:val="000000" w:themeColor="text1"/>
                <w:sz w:val="24"/>
                <w14:textFill>
                  <w14:solidFill>
                    <w14:schemeClr w14:val="tx1"/>
                  </w14:solidFill>
                </w14:textFill>
              </w:rPr>
              <w:t>个功能区域，即</w:t>
            </w:r>
            <w:r>
              <w:rPr>
                <w:rFonts w:hint="eastAsia" w:ascii="Times New Roman" w:hAnsi="Times New Roman" w:eastAsia="宋体"/>
                <w:color w:val="000000" w:themeColor="text1"/>
                <w:sz w:val="24"/>
                <w:lang w:val="en-US" w:eastAsia="zh-CN"/>
                <w14:textFill>
                  <w14:solidFill>
                    <w14:schemeClr w14:val="tx1"/>
                  </w14:solidFill>
                </w14:textFill>
              </w:rPr>
              <w:t>卸油区、储</w:t>
            </w:r>
            <w:r>
              <w:rPr>
                <w:rFonts w:ascii="Times New Roman" w:hAnsi="Times New Roman" w:eastAsia="宋体"/>
                <w:color w:val="000000" w:themeColor="text1"/>
                <w:sz w:val="24"/>
                <w14:textFill>
                  <w14:solidFill>
                    <w14:schemeClr w14:val="tx1"/>
                  </w14:solidFill>
                </w14:textFill>
              </w:rPr>
              <w:t>罐区、加油区、</w:t>
            </w:r>
            <w:r>
              <w:rPr>
                <w:rFonts w:hint="eastAsia" w:ascii="Times New Roman" w:hAnsi="Times New Roman" w:eastAsia="宋体"/>
                <w:color w:val="000000" w:themeColor="text1"/>
                <w:sz w:val="24"/>
                <w14:textFill>
                  <w14:solidFill>
                    <w14:schemeClr w14:val="tx1"/>
                  </w14:solidFill>
                </w14:textFill>
              </w:rPr>
              <w:t>充电区、</w:t>
            </w:r>
            <w:r>
              <w:rPr>
                <w:rFonts w:ascii="Times New Roman" w:hAnsi="Times New Roman" w:eastAsia="宋体"/>
                <w:color w:val="000000" w:themeColor="text1"/>
                <w:sz w:val="24"/>
                <w14:textFill>
                  <w14:solidFill>
                    <w14:schemeClr w14:val="tx1"/>
                  </w14:solidFill>
                </w14:textFill>
              </w:rPr>
              <w:t>站房、洗车区。</w:t>
            </w:r>
            <w:r>
              <w:rPr>
                <w:rFonts w:hint="eastAsia" w:ascii="Times New Roman" w:hAnsi="Times New Roman" w:eastAsia="宋体"/>
                <w:color w:val="000000" w:themeColor="text1"/>
                <w:sz w:val="24"/>
                <w14:textFill>
                  <w14:solidFill>
                    <w14:schemeClr w14:val="tx1"/>
                  </w14:solidFill>
                </w14:textFill>
              </w:rPr>
              <w:t>加油区</w:t>
            </w:r>
            <w:r>
              <w:rPr>
                <w:rFonts w:ascii="Times New Roman" w:hAnsi="Times New Roman" w:eastAsia="宋体"/>
                <w:color w:val="000000" w:themeColor="text1"/>
                <w:sz w:val="24"/>
                <w14:textFill>
                  <w14:solidFill>
                    <w14:schemeClr w14:val="tx1"/>
                  </w14:solidFill>
                </w14:textFill>
              </w:rPr>
              <w:t>和站房</w:t>
            </w:r>
            <w:r>
              <w:rPr>
                <w:rFonts w:hint="eastAsia" w:ascii="Times New Roman" w:hAnsi="Times New Roman" w:eastAsia="宋体"/>
                <w:color w:val="000000" w:themeColor="text1"/>
                <w:sz w:val="24"/>
                <w14:textFill>
                  <w14:solidFill>
                    <w14:schemeClr w14:val="tx1"/>
                  </w14:solidFill>
                </w14:textFill>
              </w:rPr>
              <w:t>位于</w:t>
            </w:r>
            <w:r>
              <w:rPr>
                <w:rFonts w:hint="eastAsia" w:ascii="Times New Roman" w:hAnsi="Times New Roman" w:eastAsia="宋体"/>
                <w:color w:val="000000" w:themeColor="text1"/>
                <w:sz w:val="24"/>
                <w:lang w:val="en-US" w:eastAsia="zh-CN"/>
                <w14:textFill>
                  <w14:solidFill>
                    <w14:schemeClr w14:val="tx1"/>
                  </w14:solidFill>
                </w14:textFill>
              </w:rPr>
              <w:t>厂</w:t>
            </w:r>
            <w:r>
              <w:rPr>
                <w:rFonts w:ascii="Times New Roman" w:hAnsi="Times New Roman" w:eastAsia="宋体"/>
                <w:color w:val="000000" w:themeColor="text1"/>
                <w:sz w:val="24"/>
                <w14:textFill>
                  <w14:solidFill>
                    <w14:schemeClr w14:val="tx1"/>
                  </w14:solidFill>
                </w14:textFill>
              </w:rPr>
              <w:t>区中部，从</w:t>
            </w:r>
            <w:r>
              <w:rPr>
                <w:rFonts w:hint="eastAsia" w:ascii="Times New Roman" w:hAnsi="Times New Roman" w:eastAsia="宋体"/>
                <w:color w:val="000000" w:themeColor="text1"/>
                <w:sz w:val="24"/>
                <w:lang w:val="en-US" w:eastAsia="zh-CN"/>
                <w14:textFill>
                  <w14:solidFill>
                    <w14:schemeClr w14:val="tx1"/>
                  </w14:solidFill>
                </w14:textFill>
              </w:rPr>
              <w:t>西</w:t>
            </w:r>
            <w:r>
              <w:rPr>
                <w:rFonts w:ascii="Times New Roman" w:hAnsi="Times New Roman" w:eastAsia="宋体"/>
                <w:color w:val="000000" w:themeColor="text1"/>
                <w:sz w:val="24"/>
                <w14:textFill>
                  <w14:solidFill>
                    <w14:schemeClr w14:val="tx1"/>
                  </w14:solidFill>
                </w14:textFill>
              </w:rPr>
              <w:t>至</w:t>
            </w:r>
            <w:r>
              <w:rPr>
                <w:rFonts w:hint="eastAsia" w:ascii="Times New Roman" w:hAnsi="Times New Roman" w:eastAsia="宋体"/>
                <w:color w:val="000000" w:themeColor="text1"/>
                <w:sz w:val="24"/>
                <w:lang w:val="en-US" w:eastAsia="zh-CN"/>
                <w14:textFill>
                  <w14:solidFill>
                    <w14:schemeClr w14:val="tx1"/>
                  </w14:solidFill>
                </w14:textFill>
              </w:rPr>
              <w:t>东</w:t>
            </w:r>
            <w:r>
              <w:rPr>
                <w:rFonts w:ascii="Times New Roman" w:hAnsi="Times New Roman" w:eastAsia="宋体"/>
                <w:color w:val="000000" w:themeColor="text1"/>
                <w:sz w:val="24"/>
                <w14:textFill>
                  <w14:solidFill>
                    <w14:schemeClr w14:val="tx1"/>
                  </w14:solidFill>
                </w14:textFill>
              </w:rPr>
              <w:t>依次为</w:t>
            </w:r>
            <w:r>
              <w:rPr>
                <w:rFonts w:hint="eastAsia" w:ascii="Times New Roman" w:hAnsi="Times New Roman" w:eastAsia="宋体"/>
                <w:color w:val="000000" w:themeColor="text1"/>
                <w:sz w:val="24"/>
                <w14:textFill>
                  <w14:solidFill>
                    <w14:schemeClr w14:val="tx1"/>
                  </w14:solidFill>
                </w14:textFill>
              </w:rPr>
              <w:t>充电区、</w:t>
            </w:r>
            <w:r>
              <w:rPr>
                <w:rFonts w:ascii="Times New Roman" w:hAnsi="Times New Roman" w:eastAsia="宋体"/>
                <w:color w:val="000000" w:themeColor="text1"/>
                <w:sz w:val="24"/>
                <w14:textFill>
                  <w14:solidFill>
                    <w14:schemeClr w14:val="tx1"/>
                  </w14:solidFill>
                </w14:textFill>
              </w:rPr>
              <w:t>站房</w:t>
            </w:r>
            <w:r>
              <w:rPr>
                <w:rFonts w:hint="eastAsia" w:ascii="Times New Roman" w:hAnsi="Times New Roman" w:eastAsia="宋体"/>
                <w:color w:val="000000" w:themeColor="text1"/>
                <w:sz w:val="24"/>
                <w14:textFill>
                  <w14:solidFill>
                    <w14:schemeClr w14:val="tx1"/>
                  </w14:solidFill>
                </w14:textFill>
              </w:rPr>
              <w:t>、加油区</w:t>
            </w:r>
            <w:r>
              <w:rPr>
                <w:rFonts w:hint="eastAsia" w:ascii="Times New Roman" w:hAnsi="Times New Roman" w:eastAsia="宋体"/>
                <w:color w:val="000000" w:themeColor="text1"/>
                <w:sz w:val="24"/>
                <w:lang w:eastAsia="zh-CN"/>
                <w14:textFill>
                  <w14:solidFill>
                    <w14:schemeClr w14:val="tx1"/>
                  </w14:solidFill>
                </w14:textFill>
              </w:rPr>
              <w:t>、</w:t>
            </w:r>
            <w:r>
              <w:rPr>
                <w:rFonts w:hint="eastAsia" w:ascii="Times New Roman" w:hAnsi="Times New Roman" w:eastAsia="宋体"/>
                <w:color w:val="000000" w:themeColor="text1"/>
                <w:sz w:val="24"/>
                <w:lang w:val="en-US" w:eastAsia="zh-CN"/>
                <w14:textFill>
                  <w14:solidFill>
                    <w14:schemeClr w14:val="tx1"/>
                  </w14:solidFill>
                </w14:textFill>
              </w:rPr>
              <w:t>储</w:t>
            </w:r>
            <w:r>
              <w:rPr>
                <w:rFonts w:hint="eastAsia" w:ascii="Times New Roman" w:hAnsi="Times New Roman" w:eastAsia="宋体"/>
                <w:color w:val="000000" w:themeColor="text1"/>
                <w:sz w:val="24"/>
                <w14:textFill>
                  <w14:solidFill>
                    <w14:schemeClr w14:val="tx1"/>
                  </w14:solidFill>
                </w14:textFill>
              </w:rPr>
              <w:t>罐区</w:t>
            </w:r>
            <w:r>
              <w:rPr>
                <w:rFonts w:hint="eastAsia" w:ascii="Times New Roman" w:hAnsi="Times New Roman" w:eastAsia="宋体"/>
                <w:color w:val="000000" w:themeColor="text1"/>
                <w:sz w:val="24"/>
                <w:lang w:val="en-US" w:eastAsia="zh-CN"/>
                <w14:textFill>
                  <w14:solidFill>
                    <w14:schemeClr w14:val="tx1"/>
                  </w14:solidFill>
                </w14:textFill>
              </w:rPr>
              <w:t>和卸油区</w:t>
            </w:r>
            <w:r>
              <w:rPr>
                <w:rFonts w:hint="eastAsia" w:ascii="Times New Roman" w:hAnsi="Times New Roman" w:eastAsia="宋体"/>
                <w:color w:val="000000" w:themeColor="text1"/>
                <w:sz w:val="24"/>
                <w14:textFill>
                  <w14:solidFill>
                    <w14:schemeClr w14:val="tx1"/>
                  </w14:solidFill>
                </w14:textFill>
              </w:rPr>
              <w:t>，洗车区位于</w:t>
            </w:r>
            <w:r>
              <w:rPr>
                <w:rFonts w:hint="eastAsia" w:ascii="Times New Roman" w:hAnsi="Times New Roman" w:eastAsia="宋体"/>
                <w:color w:val="000000" w:themeColor="text1"/>
                <w:sz w:val="24"/>
                <w:lang w:val="en-US" w:eastAsia="zh-CN"/>
                <w14:textFill>
                  <w14:solidFill>
                    <w14:schemeClr w14:val="tx1"/>
                  </w14:solidFill>
                </w14:textFill>
              </w:rPr>
              <w:t>厂</w:t>
            </w:r>
            <w:r>
              <w:rPr>
                <w:rFonts w:hint="eastAsia" w:ascii="Times New Roman" w:hAnsi="Times New Roman" w:eastAsia="宋体"/>
                <w:color w:val="000000" w:themeColor="text1"/>
                <w:sz w:val="24"/>
                <w14:textFill>
                  <w14:solidFill>
                    <w14:schemeClr w14:val="tx1"/>
                  </w14:solidFill>
                </w14:textFill>
              </w:rPr>
              <w:t>区</w:t>
            </w:r>
            <w:r>
              <w:rPr>
                <w:rFonts w:hint="eastAsia" w:ascii="Times New Roman" w:hAnsi="Times New Roman" w:eastAsia="宋体"/>
                <w:color w:val="000000" w:themeColor="text1"/>
                <w:sz w:val="24"/>
                <w:lang w:val="en-US" w:eastAsia="zh-CN"/>
                <w14:textFill>
                  <w14:solidFill>
                    <w14:schemeClr w14:val="tx1"/>
                  </w14:solidFill>
                </w14:textFill>
              </w:rPr>
              <w:t>南面</w:t>
            </w:r>
            <w:r>
              <w:rPr>
                <w:rFonts w:ascii="Times New Roman" w:hAnsi="Times New Roman" w:eastAsia="宋体"/>
                <w:color w:val="000000" w:themeColor="text1"/>
                <w:sz w:val="24"/>
                <w14:textFill>
                  <w14:solidFill>
                    <w14:schemeClr w14:val="tx1"/>
                  </w14:solidFill>
                </w14:textFill>
              </w:rPr>
              <w:t>。</w:t>
            </w:r>
            <w:r>
              <w:rPr>
                <w:rFonts w:hint="eastAsia"/>
                <w:color w:val="FF0000"/>
                <w:sz w:val="24"/>
                <w:lang w:val="en-US" w:eastAsia="zh-CN"/>
              </w:rPr>
              <w:t>化粪池位于站房南面，靠近站房，便于收集处理项目生活污水；隔油池位于加油区东面，与加油区距离较近，便于收集地面冲洗废水；一体化（MBR）洗车废水处理设施位于洗车区东面、隔油池南面，与洗车区和隔油池的距离相对较近，便于地面冲洗废水和洗车废水的收集处理及回用；危险废物暂存箱位于卸油区旁，有利于项目危险废物收集暂存。</w:t>
            </w:r>
          </w:p>
          <w:p w14:paraId="7D4FA9BD">
            <w:pPr>
              <w:ind w:firstLine="480"/>
              <w:rPr>
                <w:rFonts w:ascii="Times New Roman" w:hAnsi="Times New Roman" w:eastAsia="宋体"/>
                <w:color w:val="000000" w:themeColor="text1"/>
                <w:sz w:val="24"/>
                <w14:textFill>
                  <w14:solidFill>
                    <w14:schemeClr w14:val="tx1"/>
                  </w14:solidFill>
                </w14:textFill>
              </w:rPr>
            </w:pPr>
            <w:r>
              <w:rPr>
                <w:rFonts w:ascii="Times New Roman" w:hAnsi="Times New Roman" w:eastAsia="宋体"/>
                <w:color w:val="000000" w:themeColor="text1"/>
                <w:sz w:val="24"/>
                <w14:textFill>
                  <w14:solidFill>
                    <w14:schemeClr w14:val="tx1"/>
                  </w14:solidFill>
                </w14:textFill>
              </w:rPr>
              <w:t>各区、各建筑物之间保持一定的安全距离，满足</w:t>
            </w:r>
            <w:r>
              <w:rPr>
                <w:rFonts w:hint="eastAsia" w:ascii="Times New Roman" w:hAnsi="Times New Roman" w:eastAsia="宋体"/>
                <w:color w:val="000000" w:themeColor="text1"/>
                <w:sz w:val="24"/>
                <w14:textFill>
                  <w14:solidFill>
                    <w14:schemeClr w14:val="tx1"/>
                  </w14:solidFill>
                </w14:textFill>
              </w:rPr>
              <w:t>《汽车加油加气加氢站技术标准》（</w:t>
            </w:r>
            <w:r>
              <w:rPr>
                <w:rFonts w:ascii="Times New Roman" w:hAnsi="Times New Roman" w:eastAsia="宋体"/>
                <w:color w:val="000000" w:themeColor="text1"/>
                <w:sz w:val="24"/>
                <w14:textFill>
                  <w14:solidFill>
                    <w14:schemeClr w14:val="tx1"/>
                  </w14:solidFill>
                </w14:textFill>
              </w:rPr>
              <w:t>GB50156-2021）的要求间距，站入口、出口均临道路设置便于车辆通行，除进出口敞开外，其它方向均设置高度不低于2.2m的围墙（不燃烧实体墙），符合</w:t>
            </w:r>
            <w:r>
              <w:rPr>
                <w:rFonts w:hint="eastAsia" w:ascii="Times New Roman" w:hAnsi="Times New Roman" w:eastAsia="宋体"/>
                <w:color w:val="000000" w:themeColor="text1"/>
                <w:sz w:val="24"/>
                <w14:textFill>
                  <w14:solidFill>
                    <w14:schemeClr w14:val="tx1"/>
                  </w14:solidFill>
                </w14:textFill>
              </w:rPr>
              <w:t>《汽车加油加气加氢站技术标准》（</w:t>
            </w:r>
            <w:r>
              <w:rPr>
                <w:rFonts w:ascii="Times New Roman" w:hAnsi="Times New Roman" w:eastAsia="宋体"/>
                <w:color w:val="000000" w:themeColor="text1"/>
                <w:sz w:val="24"/>
                <w14:textFill>
                  <w14:solidFill>
                    <w14:schemeClr w14:val="tx1"/>
                  </w14:solidFill>
                </w14:textFill>
              </w:rPr>
              <w:t>GB50156-2021）中</w:t>
            </w:r>
            <w:r>
              <w:rPr>
                <w:rFonts w:hint="eastAsia" w:ascii="宋体" w:hAnsi="宋体" w:eastAsia="宋体" w:cs="宋体"/>
                <w:color w:val="000000" w:themeColor="text1"/>
                <w:sz w:val="24"/>
                <w14:textFill>
                  <w14:solidFill>
                    <w14:schemeClr w14:val="tx1"/>
                  </w14:solidFill>
                </w14:textFill>
              </w:rPr>
              <w:t>“</w:t>
            </w:r>
            <w:r>
              <w:rPr>
                <w:rFonts w:ascii="Times New Roman" w:hAnsi="Times New Roman" w:eastAsia="宋体"/>
                <w:color w:val="000000" w:themeColor="text1"/>
                <w:sz w:val="24"/>
                <w14:textFill>
                  <w14:solidFill>
                    <w14:schemeClr w14:val="tx1"/>
                  </w14:solidFill>
                </w14:textFill>
              </w:rPr>
              <w:t>加油加气站的工艺设备与站外建（构）筑物之间，宜设置高度不低于2.2m的不燃烧实体围墙</w:t>
            </w:r>
            <w:r>
              <w:rPr>
                <w:rFonts w:hint="eastAsia" w:ascii="宋体" w:hAnsi="宋体" w:eastAsia="宋体" w:cs="宋体"/>
                <w:color w:val="000000" w:themeColor="text1"/>
                <w:sz w:val="24"/>
                <w14:textFill>
                  <w14:solidFill>
                    <w14:schemeClr w14:val="tx1"/>
                  </w14:solidFill>
                </w14:textFill>
              </w:rPr>
              <w:t>”</w:t>
            </w:r>
            <w:r>
              <w:rPr>
                <w:rFonts w:ascii="Times New Roman" w:hAnsi="Times New Roman" w:eastAsia="宋体"/>
                <w:color w:val="000000" w:themeColor="text1"/>
                <w:sz w:val="24"/>
                <w14:textFill>
                  <w14:solidFill>
                    <w14:schemeClr w14:val="tx1"/>
                  </w14:solidFill>
                </w14:textFill>
              </w:rPr>
              <w:t>的要求；</w:t>
            </w:r>
            <w:r>
              <w:rPr>
                <w:rFonts w:hint="eastAsia" w:ascii="Times New Roman" w:hAnsi="Times New Roman" w:eastAsia="宋体"/>
                <w:color w:val="000000" w:themeColor="text1"/>
                <w:sz w:val="24"/>
                <w:lang w:val="en-US" w:eastAsia="zh-CN"/>
                <w14:textFill>
                  <w14:solidFill>
                    <w14:schemeClr w14:val="tx1"/>
                  </w14:solidFill>
                </w14:textFill>
              </w:rPr>
              <w:t>厂</w:t>
            </w:r>
            <w:r>
              <w:rPr>
                <w:rFonts w:ascii="Times New Roman" w:hAnsi="Times New Roman" w:eastAsia="宋体"/>
                <w:color w:val="000000" w:themeColor="text1"/>
                <w:sz w:val="24"/>
                <w14:textFill>
                  <w14:solidFill>
                    <w14:schemeClr w14:val="tx1"/>
                  </w14:solidFill>
                </w14:textFill>
              </w:rPr>
              <w:t>区各设施的爆炸危险区域均在围墙或用地红</w:t>
            </w:r>
            <w:r>
              <w:rPr>
                <w:rFonts w:hint="eastAsia" w:ascii="Times New Roman" w:hAnsi="Times New Roman" w:eastAsia="宋体"/>
                <w:color w:val="000000" w:themeColor="text1"/>
                <w:sz w:val="24"/>
                <w14:textFill>
                  <w14:solidFill>
                    <w14:schemeClr w14:val="tx1"/>
                  </w14:solidFill>
                </w14:textFill>
              </w:rPr>
              <w:t>线内，场区内除必要的硬化面积外，其余部分进行绿化；根据项目与《汽车加油</w:t>
            </w:r>
            <w:r>
              <w:rPr>
                <w:rFonts w:ascii="Times New Roman" w:hAnsi="Times New Roman" w:eastAsia="宋体"/>
                <w:color w:val="000000" w:themeColor="text1"/>
                <w:sz w:val="24"/>
                <w14:textFill>
                  <w14:solidFill>
                    <w14:schemeClr w14:val="tx1"/>
                  </w14:solidFill>
                </w14:textFill>
              </w:rPr>
              <w:t>加气加氢站技术标准</w:t>
            </w:r>
            <w:r>
              <w:rPr>
                <w:rFonts w:hint="eastAsia" w:ascii="Times New Roman" w:hAnsi="Times New Roman" w:eastAsia="宋体"/>
                <w:color w:val="000000" w:themeColor="text1"/>
                <w:sz w:val="24"/>
                <w14:textFill>
                  <w14:solidFill>
                    <w14:schemeClr w14:val="tx1"/>
                  </w14:solidFill>
                </w14:textFill>
              </w:rPr>
              <w:t>》（</w:t>
            </w:r>
            <w:r>
              <w:rPr>
                <w:rFonts w:ascii="Times New Roman" w:hAnsi="Times New Roman" w:eastAsia="宋体"/>
                <w:color w:val="000000" w:themeColor="text1"/>
                <w:sz w:val="24"/>
                <w14:textFill>
                  <w14:solidFill>
                    <w14:schemeClr w14:val="tx1"/>
                  </w14:solidFill>
                </w14:textFill>
              </w:rPr>
              <w:t>GB50156-2021）的分析，油罐、加油机和通气管管口与</w:t>
            </w:r>
            <w:r>
              <w:rPr>
                <w:rFonts w:hint="eastAsia"/>
                <w:color w:val="000000" w:themeColor="text1"/>
                <w:sz w:val="24"/>
                <w:lang w:val="en-US" w:eastAsia="zh-CN"/>
                <w14:textFill>
                  <w14:solidFill>
                    <w14:schemeClr w14:val="tx1"/>
                  </w14:solidFill>
                </w14:textFill>
              </w:rPr>
              <w:t>站</w:t>
            </w:r>
            <w:r>
              <w:rPr>
                <w:rFonts w:ascii="Times New Roman" w:hAnsi="Times New Roman" w:eastAsia="宋体"/>
                <w:color w:val="000000" w:themeColor="text1"/>
                <w:sz w:val="24"/>
                <w14:textFill>
                  <w14:solidFill>
                    <w14:schemeClr w14:val="tx1"/>
                  </w14:solidFill>
                </w14:textFill>
              </w:rPr>
              <w:t>外、</w:t>
            </w:r>
            <w:r>
              <w:rPr>
                <w:rFonts w:hint="eastAsia"/>
                <w:color w:val="000000" w:themeColor="text1"/>
                <w:sz w:val="24"/>
                <w:lang w:val="en-US" w:eastAsia="zh-CN"/>
                <w14:textFill>
                  <w14:solidFill>
                    <w14:schemeClr w14:val="tx1"/>
                  </w14:solidFill>
                </w14:textFill>
              </w:rPr>
              <w:t>站</w:t>
            </w:r>
            <w:r>
              <w:rPr>
                <w:rFonts w:ascii="Times New Roman" w:hAnsi="Times New Roman" w:eastAsia="宋体"/>
                <w:color w:val="000000" w:themeColor="text1"/>
                <w:sz w:val="24"/>
                <w14:textFill>
                  <w14:solidFill>
                    <w14:schemeClr w14:val="tx1"/>
                  </w14:solidFill>
                </w14:textFill>
              </w:rPr>
              <w:t>内建、构筑物的防火距离均满足防火间距要求，项目油罐、加油机和通气管管口与民房、厂房、库房安全距离均可满足要求；</w:t>
            </w:r>
            <w:r>
              <w:rPr>
                <w:rFonts w:hint="eastAsia"/>
                <w:color w:val="000000" w:themeColor="text1"/>
                <w:sz w:val="24"/>
                <w:lang w:val="en-US" w:eastAsia="zh-CN"/>
                <w14:textFill>
                  <w14:solidFill>
                    <w14:schemeClr w14:val="tx1"/>
                  </w14:solidFill>
                </w14:textFill>
              </w:rPr>
              <w:t>站</w:t>
            </w:r>
            <w:r>
              <w:rPr>
                <w:rFonts w:ascii="Times New Roman" w:hAnsi="Times New Roman" w:eastAsia="宋体"/>
                <w:color w:val="000000" w:themeColor="text1"/>
                <w:sz w:val="24"/>
                <w14:textFill>
                  <w14:solidFill>
                    <w14:schemeClr w14:val="tx1"/>
                  </w14:solidFill>
                </w14:textFill>
              </w:rPr>
              <w:t>内各设施之间的防火距离符合有关规范的要求。</w:t>
            </w:r>
          </w:p>
          <w:p w14:paraId="398D90D1">
            <w:pPr>
              <w:ind w:firstLine="480"/>
              <w:rPr>
                <w:rFonts w:hint="default"/>
                <w:color w:val="1F497D" w:themeColor="text2"/>
                <w:sz w:val="24"/>
                <w:lang w:val="en-US" w:eastAsia="zh-CN"/>
                <w14:textFill>
                  <w14:solidFill>
                    <w14:schemeClr w14:val="tx2"/>
                  </w14:solidFill>
                </w14:textFill>
              </w:rPr>
            </w:pPr>
            <w:r>
              <w:rPr>
                <w:rFonts w:hint="eastAsia" w:ascii="Times New Roman" w:hAnsi="Times New Roman" w:eastAsia="宋体"/>
                <w:color w:val="1F497D" w:themeColor="text2"/>
                <w:sz w:val="24"/>
                <w14:textFill>
                  <w14:solidFill>
                    <w14:schemeClr w14:val="tx2"/>
                  </w14:solidFill>
                </w14:textFill>
              </w:rPr>
              <w:t>充电区</w:t>
            </w:r>
            <w:r>
              <w:rPr>
                <w:rFonts w:hint="eastAsia"/>
                <w:color w:val="1F497D" w:themeColor="text2"/>
                <w:sz w:val="24"/>
                <w:lang w:val="en-US" w:eastAsia="zh-CN"/>
                <w14:textFill>
                  <w14:solidFill>
                    <w14:schemeClr w14:val="tx2"/>
                  </w14:solidFill>
                </w14:textFill>
              </w:rPr>
              <w:t>分开设置一个入口和一个出口，并明确指示标识，充电区双车道宽度不小于6m，符合《电动汽车充电站设计规范》（GB50966-2014）中“充电站内的单车道宽度不应小于3.5m,双车道宽度不应小于6m。”的要求。</w:t>
            </w:r>
          </w:p>
          <w:p w14:paraId="7ABCCAB6">
            <w:pPr>
              <w:ind w:firstLine="480"/>
              <w:rPr>
                <w:highlight w:val="none"/>
              </w:rPr>
            </w:pPr>
            <w:r>
              <w:rPr>
                <w:rFonts w:hint="eastAsia"/>
                <w:color w:val="000000" w:themeColor="text1"/>
                <w:sz w:val="24"/>
                <w:lang w:val="en-US" w:eastAsia="zh-CN"/>
                <w14:textFill>
                  <w14:solidFill>
                    <w14:schemeClr w14:val="tx1"/>
                  </w14:solidFill>
                </w14:textFill>
              </w:rPr>
              <w:t>综上所述</w:t>
            </w:r>
            <w:r>
              <w:rPr>
                <w:rFonts w:ascii="Times New Roman" w:hAnsi="Times New Roman" w:eastAsia="宋体"/>
                <w:color w:val="000000" w:themeColor="text1"/>
                <w:sz w:val="24"/>
                <w14:textFill>
                  <w14:solidFill>
                    <w14:schemeClr w14:val="tx1"/>
                  </w14:solidFill>
                </w14:textFill>
              </w:rPr>
              <w:t>，项目总平面布置合理。</w:t>
            </w:r>
          </w:p>
          <w:p w14:paraId="18898B25">
            <w:pPr>
              <w:pStyle w:val="54"/>
              <w:numPr>
                <w:ilvl w:val="0"/>
                <w:numId w:val="0"/>
              </w:numPr>
              <w:ind w:firstLine="482" w:firstLineChars="200"/>
              <w:rPr>
                <w:b/>
                <w:highlight w:val="none"/>
              </w:rPr>
            </w:pPr>
            <w:r>
              <w:rPr>
                <w:rFonts w:hint="eastAsia"/>
                <w:b/>
                <w:highlight w:val="none"/>
                <w:lang w:val="en-US" w:eastAsia="zh-CN"/>
              </w:rPr>
              <w:t>10、</w:t>
            </w:r>
            <w:r>
              <w:rPr>
                <w:rFonts w:hint="eastAsia"/>
                <w:b/>
                <w:highlight w:val="none"/>
              </w:rPr>
              <w:t>项目水平衡</w:t>
            </w:r>
          </w:p>
          <w:p w14:paraId="733B1E64">
            <w:pPr>
              <w:ind w:firstLine="480"/>
              <w:rPr>
                <w:highlight w:val="none"/>
              </w:rPr>
            </w:pPr>
            <w:r>
              <w:rPr>
                <w:rFonts w:hint="eastAsia"/>
                <w:highlight w:val="none"/>
              </w:rPr>
              <w:t>本项目用水</w:t>
            </w:r>
            <w:r>
              <w:rPr>
                <w:highlight w:val="none"/>
              </w:rPr>
              <w:t>主要为生活用水</w:t>
            </w:r>
            <w:r>
              <w:rPr>
                <w:rFonts w:hint="eastAsia"/>
                <w:highlight w:val="none"/>
              </w:rPr>
              <w:t>、地面冲洗用水和洗车用水，生活用水包括员工生活用水</w:t>
            </w:r>
            <w:r>
              <w:rPr>
                <w:rFonts w:hint="eastAsia"/>
                <w:highlight w:val="none"/>
                <w:lang w:val="en-US" w:eastAsia="zh-CN"/>
              </w:rPr>
              <w:t>和外来</w:t>
            </w:r>
            <w:r>
              <w:rPr>
                <w:rFonts w:hint="eastAsia"/>
                <w:highlight w:val="none"/>
              </w:rPr>
              <w:t>人员用水</w:t>
            </w:r>
            <w:r>
              <w:rPr>
                <w:highlight w:val="none"/>
              </w:rPr>
              <w:t>。</w:t>
            </w:r>
          </w:p>
          <w:p w14:paraId="3AA9114A">
            <w:pPr>
              <w:ind w:firstLine="480"/>
              <w:rPr>
                <w:rFonts w:hint="eastAsia"/>
                <w:highlight w:val="none"/>
                <w:lang w:val="en-US" w:eastAsia="zh-CN"/>
              </w:rPr>
            </w:pPr>
            <w:r>
              <w:rPr>
                <w:rFonts w:hint="eastAsia"/>
                <w:highlight w:val="none"/>
                <w:lang w:val="en-US" w:eastAsia="zh-CN"/>
              </w:rPr>
              <w:t>（1）生活用水</w:t>
            </w:r>
          </w:p>
          <w:p w14:paraId="3348846C">
            <w:pPr>
              <w:ind w:firstLine="480"/>
              <w:rPr>
                <w:color w:val="auto"/>
                <w:sz w:val="24"/>
                <w:highlight w:val="none"/>
              </w:rPr>
            </w:pPr>
            <w:r>
              <w:rPr>
                <w:rFonts w:hint="eastAsia"/>
                <w:highlight w:val="none"/>
              </w:rPr>
              <w:t>根据建设单位提供资料，</w:t>
            </w:r>
            <w:r>
              <w:rPr>
                <w:rFonts w:hint="eastAsia"/>
                <w:highlight w:val="none"/>
                <w:lang w:val="en-US" w:eastAsia="zh-CN"/>
              </w:rPr>
              <w:t>本</w:t>
            </w:r>
            <w:r>
              <w:rPr>
                <w:rFonts w:hint="eastAsia"/>
                <w:highlight w:val="none"/>
              </w:rPr>
              <w:t>项目劳动定员</w:t>
            </w:r>
            <w:r>
              <w:rPr>
                <w:rFonts w:hint="eastAsia"/>
                <w:highlight w:val="none"/>
                <w:lang w:val="en-US" w:eastAsia="zh-CN"/>
              </w:rPr>
              <w:t>为7</w:t>
            </w:r>
            <w:r>
              <w:rPr>
                <w:rFonts w:hint="eastAsia"/>
                <w:highlight w:val="none"/>
              </w:rPr>
              <w:t>人，全年工作365天</w:t>
            </w:r>
            <w:r>
              <w:rPr>
                <w:rFonts w:hint="eastAsia"/>
                <w:highlight w:val="none"/>
                <w:lang w:eastAsia="zh-CN"/>
              </w:rPr>
              <w:t>，</w:t>
            </w:r>
            <w:r>
              <w:rPr>
                <w:rFonts w:hint="eastAsia"/>
                <w:highlight w:val="none"/>
                <w:lang w:val="en-US" w:eastAsia="zh-CN"/>
              </w:rPr>
              <w:t>在厂内</w:t>
            </w:r>
            <w:r>
              <w:rPr>
                <w:rFonts w:hint="eastAsia"/>
                <w:highlight w:val="none"/>
              </w:rPr>
              <w:t>食宿。根据江西省人民政府关于印发《生活及服务业用水定额第2部分:服务业、居民生活和建筑业》的通知</w:t>
            </w:r>
            <w:r>
              <w:rPr>
                <w:rFonts w:hint="eastAsia"/>
                <w:highlight w:val="none"/>
                <w:lang w:eastAsia="zh-CN"/>
              </w:rPr>
              <w:t>（赣府发〔2024〕17号）</w:t>
            </w:r>
            <w:r>
              <w:rPr>
                <w:rFonts w:hint="eastAsia"/>
                <w:highlight w:val="none"/>
              </w:rPr>
              <w:t>，</w:t>
            </w:r>
            <w:r>
              <w:rPr>
                <w:rFonts w:hint="eastAsia"/>
                <w:highlight w:val="none"/>
                <w:lang w:val="en-US" w:eastAsia="zh-CN"/>
              </w:rPr>
              <w:t>员工</w:t>
            </w:r>
            <w:r>
              <w:rPr>
                <w:rFonts w:hint="eastAsia"/>
                <w:highlight w:val="none"/>
              </w:rPr>
              <w:t>生活用水定额为1</w:t>
            </w:r>
            <w:r>
              <w:rPr>
                <w:rFonts w:hint="eastAsia"/>
                <w:highlight w:val="none"/>
                <w:lang w:val="en-US" w:eastAsia="zh-CN"/>
              </w:rPr>
              <w:t>6</w:t>
            </w:r>
            <w:r>
              <w:rPr>
                <w:rFonts w:hint="eastAsia"/>
                <w:highlight w:val="none"/>
              </w:rPr>
              <w:t>0L/</w:t>
            </w:r>
            <w:r>
              <w:rPr>
                <w:rFonts w:hint="default" w:ascii="Times New Roman" w:hAnsi="Times New Roman" w:cs="Times New Roman"/>
                <w:highlight w:val="none"/>
              </w:rPr>
              <w:t>人</w:t>
            </w:r>
            <w:r>
              <w:rPr>
                <w:rFonts w:hint="default" w:ascii="Times New Roman" w:hAnsi="Times New Roman" w:cs="Times New Roman"/>
                <w:highlight w:val="none"/>
                <w:lang w:val="en-US" w:eastAsia="zh-CN"/>
              </w:rPr>
              <w:t>·</w:t>
            </w:r>
            <w:r>
              <w:rPr>
                <w:rFonts w:hint="default" w:ascii="Times New Roman" w:hAnsi="Times New Roman" w:cs="Times New Roman"/>
                <w:highlight w:val="none"/>
              </w:rPr>
              <w:t>d</w:t>
            </w:r>
            <w:r>
              <w:rPr>
                <w:highlight w:val="none"/>
              </w:rPr>
              <w:t>，</w:t>
            </w:r>
            <w:r>
              <w:rPr>
                <w:highlight w:val="none"/>
                <w:lang w:val="en-GB"/>
              </w:rPr>
              <w:t>则</w:t>
            </w:r>
            <w:r>
              <w:rPr>
                <w:rFonts w:hint="eastAsia"/>
                <w:highlight w:val="none"/>
                <w:lang w:val="en-US" w:eastAsia="zh-CN"/>
              </w:rPr>
              <w:t>员工</w:t>
            </w:r>
            <w:r>
              <w:rPr>
                <w:highlight w:val="none"/>
                <w:lang w:val="en-GB"/>
              </w:rPr>
              <w:t>生活用水量为</w:t>
            </w:r>
            <w:r>
              <w:rPr>
                <w:rFonts w:hint="eastAsia"/>
                <w:highlight w:val="none"/>
                <w:lang w:val="en-US" w:eastAsia="zh-CN"/>
              </w:rPr>
              <w:t>408.8</w:t>
            </w:r>
            <w:r>
              <w:rPr>
                <w:highlight w:val="none"/>
                <w:lang w:val="en-GB"/>
              </w:rPr>
              <w:t>m</w:t>
            </w:r>
            <w:r>
              <w:rPr>
                <w:highlight w:val="none"/>
                <w:vertAlign w:val="superscript"/>
                <w:lang w:val="en-GB"/>
              </w:rPr>
              <w:t>3</w:t>
            </w:r>
            <w:r>
              <w:rPr>
                <w:highlight w:val="none"/>
                <w:lang w:val="en-GB"/>
              </w:rPr>
              <w:t>/a</w:t>
            </w:r>
            <w:r>
              <w:rPr>
                <w:rFonts w:hint="eastAsia"/>
                <w:highlight w:val="none"/>
                <w:lang w:val="en-GB"/>
              </w:rPr>
              <w:t>、</w:t>
            </w:r>
            <w:r>
              <w:rPr>
                <w:rFonts w:hint="eastAsia"/>
                <w:highlight w:val="none"/>
                <w:lang w:val="en-US" w:eastAsia="zh-CN"/>
              </w:rPr>
              <w:t>1.12</w:t>
            </w:r>
            <w:r>
              <w:rPr>
                <w:rFonts w:hint="eastAsia"/>
                <w:highlight w:val="none"/>
              </w:rPr>
              <w:t>m</w:t>
            </w:r>
            <w:r>
              <w:rPr>
                <w:rFonts w:hint="eastAsia"/>
                <w:highlight w:val="none"/>
                <w:vertAlign w:val="superscript"/>
              </w:rPr>
              <w:t>3</w:t>
            </w:r>
            <w:r>
              <w:rPr>
                <w:rFonts w:hint="eastAsia"/>
                <w:highlight w:val="none"/>
              </w:rPr>
              <w:t>/d</w:t>
            </w:r>
            <w:r>
              <w:rPr>
                <w:highlight w:val="none"/>
                <w:lang w:val="en-GB"/>
              </w:rPr>
              <w:t>，</w:t>
            </w:r>
            <w:r>
              <w:rPr>
                <w:rFonts w:hint="default"/>
                <w:highlight w:val="none"/>
                <w:lang w:val="en-GB"/>
              </w:rPr>
              <w:t>生活污水</w:t>
            </w:r>
            <w:r>
              <w:rPr>
                <w:rFonts w:hint="eastAsia"/>
                <w:highlight w:val="none"/>
                <w:lang w:val="en-GB" w:eastAsia="zh-CN"/>
              </w:rPr>
              <w:t>产生量</w:t>
            </w:r>
            <w:r>
              <w:rPr>
                <w:rFonts w:hint="default"/>
                <w:highlight w:val="none"/>
                <w:lang w:val="en-GB"/>
              </w:rPr>
              <w:t>以生活用水量的80%计</w:t>
            </w:r>
            <w:r>
              <w:rPr>
                <w:highlight w:val="none"/>
                <w:lang w:val="en-GB"/>
              </w:rPr>
              <w:t>，则</w:t>
            </w:r>
            <w:r>
              <w:rPr>
                <w:rFonts w:hint="eastAsia"/>
                <w:highlight w:val="none"/>
                <w:lang w:val="en-US" w:eastAsia="zh-CN"/>
              </w:rPr>
              <w:t>员工</w:t>
            </w:r>
            <w:r>
              <w:rPr>
                <w:highlight w:val="none"/>
                <w:lang w:val="en-GB"/>
              </w:rPr>
              <w:t>生活污水产生量为</w:t>
            </w:r>
            <w:r>
              <w:rPr>
                <w:rFonts w:hint="eastAsia"/>
                <w:highlight w:val="none"/>
                <w:lang w:val="en-US" w:eastAsia="zh-CN"/>
              </w:rPr>
              <w:t>327.04</w:t>
            </w:r>
            <w:r>
              <w:rPr>
                <w:highlight w:val="none"/>
                <w:lang w:val="en-GB"/>
              </w:rPr>
              <w:t>m</w:t>
            </w:r>
            <w:r>
              <w:rPr>
                <w:highlight w:val="none"/>
                <w:vertAlign w:val="superscript"/>
                <w:lang w:val="en-GB"/>
              </w:rPr>
              <w:t>3</w:t>
            </w:r>
            <w:r>
              <w:rPr>
                <w:highlight w:val="none"/>
                <w:lang w:val="en-GB"/>
              </w:rPr>
              <w:t>/a</w:t>
            </w:r>
            <w:r>
              <w:rPr>
                <w:rFonts w:hint="eastAsia"/>
                <w:highlight w:val="none"/>
                <w:lang w:val="en-GB"/>
              </w:rPr>
              <w:t>、</w:t>
            </w:r>
            <w:r>
              <w:rPr>
                <w:rFonts w:hint="eastAsia"/>
                <w:highlight w:val="none"/>
                <w:lang w:val="en-US" w:eastAsia="zh-CN"/>
              </w:rPr>
              <w:t>0.896</w:t>
            </w:r>
            <w:r>
              <w:rPr>
                <w:rFonts w:hint="eastAsia"/>
                <w:highlight w:val="none"/>
              </w:rPr>
              <w:t>m</w:t>
            </w:r>
            <w:r>
              <w:rPr>
                <w:rFonts w:hint="eastAsia"/>
                <w:highlight w:val="none"/>
                <w:vertAlign w:val="superscript"/>
              </w:rPr>
              <w:t>3</w:t>
            </w:r>
            <w:r>
              <w:rPr>
                <w:rFonts w:hint="eastAsia"/>
                <w:highlight w:val="none"/>
              </w:rPr>
              <w:t>/d</w:t>
            </w:r>
            <w:r>
              <w:rPr>
                <w:rFonts w:hint="eastAsia"/>
                <w:highlight w:val="none"/>
                <w:lang w:val="en-GB" w:eastAsia="zh-CN"/>
              </w:rPr>
              <w:t>。</w:t>
            </w:r>
            <w:r>
              <w:rPr>
                <w:rFonts w:hint="eastAsia" w:ascii="宋体" w:hAnsi="宋体"/>
              </w:rPr>
              <w:t>外来人员用水定额为</w:t>
            </w:r>
            <w:r>
              <w:rPr>
                <w:rFonts w:hint="eastAsia"/>
              </w:rPr>
              <w:t>5L/人</w:t>
            </w:r>
            <w:r>
              <w:rPr>
                <w:rFonts w:hint="default" w:ascii="Times New Roman" w:hAnsi="Times New Roman" w:cs="Times New Roman"/>
                <w:highlight w:val="none"/>
                <w:lang w:val="en-US" w:eastAsia="zh-CN"/>
              </w:rPr>
              <w:t>·</w:t>
            </w:r>
            <w:r>
              <w:rPr>
                <w:rFonts w:hint="eastAsia"/>
              </w:rPr>
              <w:t>d（冲厕及盥洗用水），预计每天约</w:t>
            </w:r>
            <w:r>
              <w:rPr>
                <w:rFonts w:hint="eastAsia"/>
                <w:highlight w:val="none"/>
              </w:rPr>
              <w:t>50名顾客</w:t>
            </w:r>
            <w:r>
              <w:rPr>
                <w:rFonts w:hint="eastAsia"/>
              </w:rPr>
              <w:t>使用厕所，则外来人员用水量为91.25m</w:t>
            </w:r>
            <w:r>
              <w:rPr>
                <w:rFonts w:hint="eastAsia"/>
                <w:vertAlign w:val="superscript"/>
              </w:rPr>
              <w:t>3</w:t>
            </w:r>
            <w:r>
              <w:rPr>
                <w:rFonts w:hint="eastAsia"/>
              </w:rPr>
              <w:t>/a</w:t>
            </w:r>
            <w:r>
              <w:rPr>
                <w:rFonts w:hint="eastAsia"/>
                <w:lang w:eastAsia="zh-CN"/>
              </w:rPr>
              <w:t>、</w:t>
            </w:r>
            <w:r>
              <w:rPr>
                <w:rFonts w:hint="eastAsia"/>
                <w:lang w:val="en-US" w:eastAsia="zh-CN"/>
              </w:rPr>
              <w:t>0.25</w:t>
            </w:r>
            <w:r>
              <w:rPr>
                <w:rFonts w:hint="eastAsia"/>
              </w:rPr>
              <w:t>m</w:t>
            </w:r>
            <w:r>
              <w:rPr>
                <w:rFonts w:hint="eastAsia"/>
                <w:vertAlign w:val="superscript"/>
              </w:rPr>
              <w:t>3</w:t>
            </w:r>
            <w:r>
              <w:rPr>
                <w:rFonts w:hint="eastAsia"/>
              </w:rPr>
              <w:t>/</w:t>
            </w:r>
            <w:r>
              <w:rPr>
                <w:rFonts w:hint="eastAsia"/>
                <w:lang w:val="en-US" w:eastAsia="zh-CN"/>
              </w:rPr>
              <w:t>d</w:t>
            </w:r>
            <w:r>
              <w:rPr>
                <w:rFonts w:hint="eastAsia"/>
              </w:rPr>
              <w:t>，污水排水系数</w:t>
            </w:r>
            <w:r>
              <w:rPr>
                <w:rFonts w:hint="eastAsia"/>
                <w:lang w:val="en-US" w:eastAsia="zh-CN"/>
              </w:rPr>
              <w:t>按</w:t>
            </w:r>
            <w:r>
              <w:rPr>
                <w:rFonts w:hint="eastAsia"/>
              </w:rPr>
              <w:t>0.8</w:t>
            </w:r>
            <w:r>
              <w:rPr>
                <w:rFonts w:hint="eastAsia"/>
                <w:lang w:val="en-US" w:eastAsia="zh-CN"/>
              </w:rPr>
              <w:t>计</w:t>
            </w:r>
            <w:r>
              <w:rPr>
                <w:rFonts w:hint="eastAsia"/>
              </w:rPr>
              <w:t>，则外来人员污水</w:t>
            </w:r>
            <w:r>
              <w:rPr>
                <w:rFonts w:hint="eastAsia"/>
                <w:lang w:val="en-US" w:eastAsia="zh-CN"/>
              </w:rPr>
              <w:t>产生</w:t>
            </w:r>
            <w:r>
              <w:rPr>
                <w:rFonts w:hint="eastAsia"/>
              </w:rPr>
              <w:t>量为73m</w:t>
            </w:r>
            <w:r>
              <w:rPr>
                <w:rFonts w:hint="eastAsia"/>
                <w:vertAlign w:val="superscript"/>
              </w:rPr>
              <w:t>3</w:t>
            </w:r>
            <w:r>
              <w:rPr>
                <w:rFonts w:hint="eastAsia"/>
              </w:rPr>
              <w:t>/a</w:t>
            </w:r>
            <w:r>
              <w:rPr>
                <w:rFonts w:hint="eastAsia"/>
                <w:lang w:eastAsia="zh-CN"/>
              </w:rPr>
              <w:t>、</w:t>
            </w:r>
            <w:r>
              <w:rPr>
                <w:rFonts w:hint="eastAsia"/>
                <w:lang w:val="en-US" w:eastAsia="zh-CN"/>
              </w:rPr>
              <w:t>0.2</w:t>
            </w:r>
            <w:r>
              <w:rPr>
                <w:rFonts w:hint="eastAsia"/>
              </w:rPr>
              <w:t>m</w:t>
            </w:r>
            <w:r>
              <w:rPr>
                <w:rFonts w:hint="eastAsia"/>
                <w:vertAlign w:val="superscript"/>
              </w:rPr>
              <w:t>3</w:t>
            </w:r>
            <w:r>
              <w:rPr>
                <w:rFonts w:hint="eastAsia"/>
              </w:rPr>
              <w:t>/</w:t>
            </w:r>
            <w:r>
              <w:rPr>
                <w:rFonts w:hint="eastAsia"/>
                <w:lang w:val="en-US" w:eastAsia="zh-CN"/>
              </w:rPr>
              <w:t>d</w:t>
            </w:r>
            <w:r>
              <w:rPr>
                <w:rFonts w:hint="eastAsia"/>
              </w:rPr>
              <w:t>。</w:t>
            </w:r>
          </w:p>
          <w:p w14:paraId="26708C1C">
            <w:pPr>
              <w:ind w:firstLine="480"/>
              <w:rPr>
                <w:rFonts w:hint="default" w:eastAsia="宋体"/>
                <w:highlight w:val="none"/>
                <w:lang w:val="en-US" w:eastAsia="zh-CN"/>
              </w:rPr>
            </w:pPr>
            <w:r>
              <w:rPr>
                <w:color w:val="auto"/>
                <w:sz w:val="24"/>
                <w:highlight w:val="none"/>
              </w:rPr>
              <w:t>综上</w:t>
            </w:r>
            <w:r>
              <w:rPr>
                <w:rFonts w:hint="eastAsia"/>
                <w:color w:val="auto"/>
                <w:sz w:val="24"/>
                <w:highlight w:val="none"/>
                <w:lang w:val="en-US" w:eastAsia="zh-CN"/>
              </w:rPr>
              <w:t>所述</w:t>
            </w:r>
            <w:r>
              <w:rPr>
                <w:color w:val="auto"/>
                <w:sz w:val="24"/>
                <w:highlight w:val="none"/>
              </w:rPr>
              <w:t>，</w:t>
            </w:r>
            <w:r>
              <w:rPr>
                <w:rFonts w:hint="eastAsia"/>
                <w:color w:val="auto"/>
                <w:sz w:val="24"/>
                <w:highlight w:val="none"/>
                <w:lang w:val="en-US" w:eastAsia="zh-CN"/>
              </w:rPr>
              <w:t>本</w:t>
            </w:r>
            <w:r>
              <w:rPr>
                <w:color w:val="auto"/>
                <w:sz w:val="24"/>
                <w:highlight w:val="none"/>
              </w:rPr>
              <w:t>项目生活</w:t>
            </w:r>
            <w:r>
              <w:rPr>
                <w:rFonts w:hint="eastAsia"/>
                <w:color w:val="auto"/>
                <w:sz w:val="24"/>
                <w:highlight w:val="none"/>
                <w:lang w:val="en-US" w:eastAsia="zh-CN"/>
              </w:rPr>
              <w:t>用水</w:t>
            </w:r>
            <w:r>
              <w:rPr>
                <w:color w:val="auto"/>
                <w:sz w:val="24"/>
                <w:highlight w:val="none"/>
              </w:rPr>
              <w:t>量为</w:t>
            </w:r>
            <w:r>
              <w:rPr>
                <w:rFonts w:hint="eastAsia"/>
                <w:color w:val="auto"/>
                <w:sz w:val="24"/>
                <w:highlight w:val="none"/>
                <w:lang w:val="en-US" w:eastAsia="zh-CN"/>
              </w:rPr>
              <w:t>500.05</w:t>
            </w:r>
            <w:r>
              <w:rPr>
                <w:color w:val="auto"/>
                <w:sz w:val="24"/>
                <w:highlight w:val="none"/>
              </w:rPr>
              <w:t>m</w:t>
            </w:r>
            <w:r>
              <w:rPr>
                <w:color w:val="auto"/>
                <w:sz w:val="24"/>
                <w:highlight w:val="none"/>
                <w:vertAlign w:val="superscript"/>
              </w:rPr>
              <w:t>3</w:t>
            </w:r>
            <w:r>
              <w:rPr>
                <w:color w:val="auto"/>
                <w:sz w:val="24"/>
                <w:highlight w:val="none"/>
              </w:rPr>
              <w:t>/a</w:t>
            </w:r>
            <w:r>
              <w:rPr>
                <w:rFonts w:hint="eastAsia"/>
                <w:color w:val="auto"/>
                <w:sz w:val="24"/>
                <w:highlight w:val="none"/>
                <w:lang w:eastAsia="zh-CN"/>
              </w:rPr>
              <w:t>、</w:t>
            </w:r>
            <w:r>
              <w:rPr>
                <w:rFonts w:hint="eastAsia"/>
                <w:color w:val="auto"/>
                <w:sz w:val="24"/>
                <w:highlight w:val="none"/>
                <w:lang w:val="en-US" w:eastAsia="zh-CN"/>
              </w:rPr>
              <w:t>1.37</w:t>
            </w:r>
            <w:r>
              <w:rPr>
                <w:color w:val="auto"/>
                <w:sz w:val="24"/>
                <w:highlight w:val="none"/>
              </w:rPr>
              <w:t>m</w:t>
            </w:r>
            <w:r>
              <w:rPr>
                <w:color w:val="auto"/>
                <w:sz w:val="24"/>
                <w:highlight w:val="none"/>
                <w:vertAlign w:val="superscript"/>
              </w:rPr>
              <w:t>3</w:t>
            </w:r>
            <w:r>
              <w:rPr>
                <w:color w:val="auto"/>
                <w:sz w:val="24"/>
                <w:highlight w:val="none"/>
              </w:rPr>
              <w:t>/d</w:t>
            </w:r>
            <w:r>
              <w:rPr>
                <w:rFonts w:hint="eastAsia"/>
                <w:color w:val="auto"/>
                <w:sz w:val="24"/>
                <w:highlight w:val="none"/>
                <w:lang w:eastAsia="zh-CN"/>
              </w:rPr>
              <w:t>，</w:t>
            </w:r>
            <w:r>
              <w:rPr>
                <w:rFonts w:hint="eastAsia"/>
                <w:color w:val="auto"/>
                <w:sz w:val="24"/>
                <w:highlight w:val="none"/>
                <w:lang w:val="en-US" w:eastAsia="zh-CN"/>
              </w:rPr>
              <w:t>生活污水产生量为400.04</w:t>
            </w:r>
            <w:r>
              <w:rPr>
                <w:color w:val="auto"/>
                <w:sz w:val="24"/>
                <w:highlight w:val="none"/>
              </w:rPr>
              <w:t>m</w:t>
            </w:r>
            <w:r>
              <w:rPr>
                <w:color w:val="auto"/>
                <w:sz w:val="24"/>
                <w:highlight w:val="none"/>
                <w:vertAlign w:val="superscript"/>
              </w:rPr>
              <w:t>3</w:t>
            </w:r>
            <w:r>
              <w:rPr>
                <w:color w:val="auto"/>
                <w:sz w:val="24"/>
                <w:highlight w:val="none"/>
              </w:rPr>
              <w:t>/a</w:t>
            </w:r>
            <w:r>
              <w:rPr>
                <w:rFonts w:hint="eastAsia"/>
                <w:color w:val="auto"/>
                <w:sz w:val="24"/>
                <w:highlight w:val="none"/>
                <w:lang w:val="en-US" w:eastAsia="zh-CN"/>
              </w:rPr>
              <w:t>、1.096</w:t>
            </w:r>
            <w:r>
              <w:rPr>
                <w:color w:val="auto"/>
                <w:sz w:val="24"/>
                <w:highlight w:val="none"/>
              </w:rPr>
              <w:t>m</w:t>
            </w:r>
            <w:r>
              <w:rPr>
                <w:color w:val="auto"/>
                <w:sz w:val="24"/>
                <w:highlight w:val="none"/>
                <w:vertAlign w:val="superscript"/>
              </w:rPr>
              <w:t>3</w:t>
            </w:r>
            <w:r>
              <w:rPr>
                <w:color w:val="auto"/>
                <w:sz w:val="24"/>
                <w:highlight w:val="none"/>
              </w:rPr>
              <w:t>/d。</w:t>
            </w:r>
            <w:r>
              <w:rPr>
                <w:rFonts w:hint="eastAsia"/>
                <w:color w:val="auto"/>
                <w:sz w:val="24"/>
                <w:highlight w:val="none"/>
                <w:lang w:val="en-US" w:eastAsia="zh-CN"/>
              </w:rPr>
              <w:t>生活污水</w:t>
            </w:r>
            <w:r>
              <w:rPr>
                <w:rFonts w:hint="eastAsia"/>
                <w:color w:val="auto"/>
                <w:szCs w:val="21"/>
                <w:highlight w:val="none"/>
                <w:lang w:val="en-US" w:eastAsia="zh-CN"/>
              </w:rPr>
              <w:t>经油水分离器+化粪池预处理后达红心村生活污水处理站接管标准，经污水管网排入红心村生活污水处理站进一步处理后，满足《城镇污水处理厂污染物排放标准》（GB18918-2002）及其修改单</w:t>
            </w:r>
            <w:r>
              <w:rPr>
                <w:rFonts w:hint="eastAsia"/>
                <w:color w:val="auto"/>
                <w:highlight w:val="none"/>
                <w:lang w:val="en-US" w:eastAsia="zh-CN"/>
              </w:rPr>
              <w:t>中</w:t>
            </w:r>
            <w:r>
              <w:rPr>
                <w:rFonts w:hint="eastAsia"/>
                <w:color w:val="auto"/>
                <w:szCs w:val="21"/>
                <w:highlight w:val="none"/>
                <w:lang w:val="en-US" w:eastAsia="zh-CN"/>
              </w:rPr>
              <w:t>一级B标准排放</w:t>
            </w:r>
            <w:r>
              <w:rPr>
                <w:rFonts w:hint="eastAsia" w:cs="Times New Roman"/>
                <w:color w:val="auto"/>
                <w:highlight w:val="none"/>
                <w:u w:val="none"/>
                <w:lang w:val="en-US" w:eastAsia="zh-CN"/>
              </w:rPr>
              <w:t>，最终排入赛城湖</w:t>
            </w:r>
            <w:r>
              <w:rPr>
                <w:rFonts w:hint="eastAsia"/>
                <w:color w:val="auto"/>
                <w:szCs w:val="21"/>
                <w:highlight w:val="none"/>
                <w:lang w:val="en-US" w:eastAsia="zh-CN"/>
              </w:rPr>
              <w:t>。</w:t>
            </w:r>
          </w:p>
          <w:p w14:paraId="2A0A442B">
            <w:pPr>
              <w:ind w:firstLine="480"/>
              <w:rPr>
                <w:rFonts w:hint="default"/>
                <w:highlight w:val="none"/>
                <w:lang w:val="en-US" w:eastAsia="zh-CN"/>
              </w:rPr>
            </w:pPr>
            <w:r>
              <w:rPr>
                <w:rFonts w:hint="eastAsia"/>
                <w:highlight w:val="none"/>
                <w:lang w:val="en-US" w:eastAsia="zh-CN"/>
              </w:rPr>
              <w:t>（2）地面冲洗用水</w:t>
            </w:r>
          </w:p>
          <w:p w14:paraId="6DBE8B80">
            <w:pPr>
              <w:ind w:firstLine="480"/>
              <w:rPr>
                <w:rFonts w:hint="default" w:eastAsia="宋体"/>
                <w:highlight w:val="none"/>
                <w:lang w:val="en-US" w:eastAsia="zh-CN"/>
              </w:rPr>
            </w:pPr>
            <w:r>
              <w:rPr>
                <w:rFonts w:hint="eastAsia"/>
                <w:highlight w:val="none"/>
                <w:lang w:val="en-US" w:eastAsia="zh-CN"/>
              </w:rPr>
              <w:t>本项目</w:t>
            </w:r>
            <w:r>
              <w:rPr>
                <w:rFonts w:hint="eastAsia"/>
                <w:highlight w:val="none"/>
              </w:rPr>
              <w:t>经营</w:t>
            </w:r>
            <w:r>
              <w:rPr>
                <w:rFonts w:hint="eastAsia"/>
                <w:highlight w:val="none"/>
                <w:lang w:val="en-US" w:eastAsia="zh-CN"/>
              </w:rPr>
              <w:t>销售</w:t>
            </w:r>
            <w:r>
              <w:rPr>
                <w:rFonts w:hint="eastAsia"/>
                <w:highlight w:val="none"/>
              </w:rPr>
              <w:t>成品油，在贮存和加油过程原则上没有废水排放，只有在</w:t>
            </w:r>
            <w:r>
              <w:rPr>
                <w:rFonts w:hint="eastAsia"/>
                <w:highlight w:val="none"/>
                <w:lang w:val="en-US" w:eastAsia="zh-CN"/>
              </w:rPr>
              <w:t>冲</w:t>
            </w:r>
            <w:r>
              <w:rPr>
                <w:rFonts w:hint="eastAsia"/>
                <w:highlight w:val="none"/>
              </w:rPr>
              <w:t>洗地面时，才</w:t>
            </w:r>
            <w:r>
              <w:rPr>
                <w:rFonts w:hint="eastAsia"/>
                <w:highlight w:val="none"/>
                <w:lang w:val="en-US" w:eastAsia="zh-CN"/>
              </w:rPr>
              <w:t>会</w:t>
            </w:r>
            <w:r>
              <w:rPr>
                <w:rFonts w:hint="eastAsia"/>
                <w:highlight w:val="none"/>
              </w:rPr>
              <w:t>有废水产生，参考《给水排水标准规范实施手册》（中国建筑工业出版社），石油工业冲洗地面用水量按3L/m</w:t>
            </w:r>
            <w:r>
              <w:rPr>
                <w:rFonts w:hint="eastAsia"/>
                <w:highlight w:val="none"/>
                <w:vertAlign w:val="superscript"/>
              </w:rPr>
              <w:t>2</w:t>
            </w:r>
            <w:r>
              <w:rPr>
                <w:rFonts w:hint="default" w:ascii="Times New Roman" w:hAnsi="Times New Roman" w:cs="Times New Roman"/>
                <w:highlight w:val="none"/>
                <w:lang w:val="en-US" w:eastAsia="zh-CN"/>
              </w:rPr>
              <w:t>·</w:t>
            </w:r>
            <w:r>
              <w:rPr>
                <w:rFonts w:hint="eastAsia"/>
                <w:highlight w:val="none"/>
              </w:rPr>
              <w:t>次，本</w:t>
            </w:r>
            <w:r>
              <w:rPr>
                <w:rFonts w:hint="eastAsia"/>
                <w:highlight w:val="none"/>
                <w:lang w:val="en-US" w:eastAsia="zh-CN"/>
              </w:rPr>
              <w:t>项目</w:t>
            </w:r>
            <w:r>
              <w:rPr>
                <w:rFonts w:hint="eastAsia"/>
                <w:highlight w:val="none"/>
              </w:rPr>
              <w:t>冲洗区面积</w:t>
            </w:r>
            <w:r>
              <w:rPr>
                <w:rFonts w:hint="eastAsia"/>
                <w:highlight w:val="none"/>
                <w:lang w:val="en-US" w:eastAsia="zh-CN"/>
              </w:rPr>
              <w:t>约</w:t>
            </w:r>
            <w:r>
              <w:rPr>
                <w:rFonts w:hint="eastAsia"/>
                <w:highlight w:val="none"/>
              </w:rPr>
              <w:t>为</w:t>
            </w:r>
            <w:r>
              <w:rPr>
                <w:rFonts w:hint="eastAsia"/>
                <w:bCs/>
                <w:highlight w:val="none"/>
                <w:lang w:val="en-US" w:eastAsia="zh-CN"/>
              </w:rPr>
              <w:t>656.5</w:t>
            </w:r>
            <w:r>
              <w:rPr>
                <w:rFonts w:hint="eastAsia"/>
                <w:highlight w:val="none"/>
              </w:rPr>
              <w:t>m</w:t>
            </w:r>
            <w:r>
              <w:rPr>
                <w:rFonts w:hint="eastAsia"/>
                <w:highlight w:val="none"/>
                <w:vertAlign w:val="superscript"/>
              </w:rPr>
              <w:t>2</w:t>
            </w:r>
            <w:r>
              <w:rPr>
                <w:rFonts w:hint="eastAsia"/>
                <w:highlight w:val="none"/>
              </w:rPr>
              <w:t>，不定期冲洗，以</w:t>
            </w:r>
            <w:r>
              <w:rPr>
                <w:rFonts w:hint="eastAsia"/>
                <w:highlight w:val="none"/>
                <w:lang w:val="en-US" w:eastAsia="zh-CN"/>
              </w:rPr>
              <w:t>半月</w:t>
            </w:r>
            <w:r>
              <w:rPr>
                <w:rFonts w:hint="eastAsia"/>
                <w:highlight w:val="none"/>
              </w:rPr>
              <w:t>清洗1次</w:t>
            </w:r>
            <w:r>
              <w:rPr>
                <w:rFonts w:hint="eastAsia"/>
                <w:highlight w:val="none"/>
                <w:lang w:eastAsia="zh-CN"/>
              </w:rPr>
              <w:t>、</w:t>
            </w:r>
            <w:r>
              <w:rPr>
                <w:rFonts w:hint="eastAsia"/>
                <w:highlight w:val="none"/>
                <w:lang w:val="en-US" w:eastAsia="zh-CN"/>
              </w:rPr>
              <w:t>每年清洗24次计，</w:t>
            </w:r>
            <w:r>
              <w:rPr>
                <w:rFonts w:hint="eastAsia"/>
                <w:highlight w:val="none"/>
              </w:rPr>
              <w:t>则地面冲洗用水量为</w:t>
            </w:r>
            <w:r>
              <w:rPr>
                <w:rFonts w:hint="eastAsia"/>
                <w:highlight w:val="none"/>
                <w:lang w:val="en-US" w:eastAsia="zh-CN"/>
              </w:rPr>
              <w:t>1.97</w:t>
            </w:r>
            <w:r>
              <w:rPr>
                <w:color w:val="000000"/>
                <w:highlight w:val="none"/>
              </w:rPr>
              <w:t>m</w:t>
            </w:r>
            <w:r>
              <w:rPr>
                <w:color w:val="000000"/>
                <w:highlight w:val="none"/>
                <w:vertAlign w:val="superscript"/>
              </w:rPr>
              <w:t>3</w:t>
            </w:r>
            <w:r>
              <w:rPr>
                <w:color w:val="000000"/>
                <w:highlight w:val="none"/>
              </w:rPr>
              <w:t>/</w:t>
            </w:r>
            <w:r>
              <w:rPr>
                <w:rFonts w:hint="eastAsia"/>
                <w:color w:val="000000"/>
                <w:highlight w:val="none"/>
                <w:lang w:val="en-US" w:eastAsia="zh-CN"/>
              </w:rPr>
              <w:t>次、47.28</w:t>
            </w:r>
            <w:r>
              <w:rPr>
                <w:color w:val="000000"/>
                <w:highlight w:val="none"/>
              </w:rPr>
              <w:t>m</w:t>
            </w:r>
            <w:r>
              <w:rPr>
                <w:color w:val="000000"/>
                <w:highlight w:val="none"/>
                <w:vertAlign w:val="superscript"/>
              </w:rPr>
              <w:t>3</w:t>
            </w:r>
            <w:r>
              <w:rPr>
                <w:color w:val="000000"/>
                <w:highlight w:val="none"/>
              </w:rPr>
              <w:t>/a</w:t>
            </w:r>
            <w:r>
              <w:rPr>
                <w:rFonts w:hint="eastAsia"/>
                <w:color w:val="000000"/>
                <w:highlight w:val="none"/>
                <w:lang w:eastAsia="zh-CN"/>
              </w:rPr>
              <w:t>、</w:t>
            </w:r>
            <w:r>
              <w:rPr>
                <w:rFonts w:hint="eastAsia"/>
                <w:color w:val="000000"/>
                <w:highlight w:val="none"/>
                <w:lang w:val="en-US" w:eastAsia="zh-CN"/>
              </w:rPr>
              <w:t>0.13</w:t>
            </w:r>
            <w:r>
              <w:rPr>
                <w:color w:val="000000"/>
                <w:highlight w:val="none"/>
              </w:rPr>
              <w:t>m</w:t>
            </w:r>
            <w:r>
              <w:rPr>
                <w:color w:val="000000"/>
                <w:highlight w:val="none"/>
                <w:vertAlign w:val="superscript"/>
              </w:rPr>
              <w:t>3</w:t>
            </w:r>
            <w:r>
              <w:rPr>
                <w:color w:val="000000"/>
                <w:highlight w:val="none"/>
              </w:rPr>
              <w:t>/</w:t>
            </w:r>
            <w:r>
              <w:rPr>
                <w:rFonts w:hint="eastAsia"/>
                <w:color w:val="000000"/>
                <w:highlight w:val="none"/>
                <w:lang w:val="en-US" w:eastAsia="zh-CN"/>
              </w:rPr>
              <w:t>d</w:t>
            </w:r>
            <w:r>
              <w:rPr>
                <w:rFonts w:hint="eastAsia"/>
                <w:highlight w:val="none"/>
              </w:rPr>
              <w:t>，蒸发损耗量按</w:t>
            </w:r>
            <w:r>
              <w:rPr>
                <w:rFonts w:hint="eastAsia"/>
                <w:highlight w:val="none"/>
                <w:lang w:val="en-US" w:eastAsia="zh-CN"/>
              </w:rPr>
              <w:t>20</w:t>
            </w:r>
            <w:r>
              <w:rPr>
                <w:rFonts w:hint="eastAsia"/>
                <w:highlight w:val="none"/>
              </w:rPr>
              <w:t>%计，</w:t>
            </w:r>
            <w:r>
              <w:rPr>
                <w:rFonts w:hint="eastAsia"/>
                <w:highlight w:val="none"/>
                <w:lang w:val="en-US" w:eastAsia="zh-CN"/>
              </w:rPr>
              <w:t>则地面冲洗废水产生量为1.576</w:t>
            </w:r>
            <w:r>
              <w:rPr>
                <w:color w:val="000000"/>
                <w:highlight w:val="none"/>
              </w:rPr>
              <w:t>m</w:t>
            </w:r>
            <w:r>
              <w:rPr>
                <w:color w:val="000000"/>
                <w:highlight w:val="none"/>
                <w:vertAlign w:val="superscript"/>
              </w:rPr>
              <w:t>3</w:t>
            </w:r>
            <w:r>
              <w:rPr>
                <w:color w:val="000000"/>
                <w:highlight w:val="none"/>
              </w:rPr>
              <w:t>/</w:t>
            </w:r>
            <w:r>
              <w:rPr>
                <w:rFonts w:hint="eastAsia"/>
                <w:color w:val="000000"/>
                <w:highlight w:val="none"/>
                <w:lang w:val="en-US" w:eastAsia="zh-CN"/>
              </w:rPr>
              <w:t>次、</w:t>
            </w:r>
            <w:r>
              <w:rPr>
                <w:rFonts w:hint="eastAsia"/>
                <w:highlight w:val="none"/>
                <w:lang w:val="en-US" w:eastAsia="zh-CN"/>
              </w:rPr>
              <w:t>37.824</w:t>
            </w:r>
            <w:r>
              <w:rPr>
                <w:color w:val="000000"/>
                <w:highlight w:val="none"/>
              </w:rPr>
              <w:t>m</w:t>
            </w:r>
            <w:r>
              <w:rPr>
                <w:color w:val="000000"/>
                <w:highlight w:val="none"/>
                <w:vertAlign w:val="superscript"/>
              </w:rPr>
              <w:t>3</w:t>
            </w:r>
            <w:r>
              <w:rPr>
                <w:color w:val="000000"/>
                <w:highlight w:val="none"/>
              </w:rPr>
              <w:t>/a</w:t>
            </w:r>
            <w:r>
              <w:rPr>
                <w:rFonts w:hint="eastAsia"/>
                <w:color w:val="000000"/>
                <w:highlight w:val="none"/>
                <w:lang w:eastAsia="zh-CN"/>
              </w:rPr>
              <w:t>、</w:t>
            </w:r>
            <w:r>
              <w:rPr>
                <w:rFonts w:hint="eastAsia"/>
                <w:color w:val="000000"/>
                <w:highlight w:val="none"/>
                <w:lang w:val="en-US" w:eastAsia="zh-CN"/>
              </w:rPr>
              <w:t>0.104</w:t>
            </w:r>
            <w:r>
              <w:rPr>
                <w:color w:val="000000"/>
                <w:highlight w:val="none"/>
              </w:rPr>
              <w:t>m</w:t>
            </w:r>
            <w:r>
              <w:rPr>
                <w:color w:val="000000"/>
                <w:highlight w:val="none"/>
                <w:vertAlign w:val="superscript"/>
              </w:rPr>
              <w:t>3</w:t>
            </w:r>
            <w:r>
              <w:rPr>
                <w:color w:val="000000"/>
                <w:highlight w:val="none"/>
              </w:rPr>
              <w:t>/</w:t>
            </w:r>
            <w:r>
              <w:rPr>
                <w:rFonts w:hint="eastAsia"/>
                <w:color w:val="000000"/>
                <w:highlight w:val="none"/>
                <w:lang w:val="en-US" w:eastAsia="zh-CN"/>
              </w:rPr>
              <w:t>d</w:t>
            </w:r>
            <w:r>
              <w:rPr>
                <w:rFonts w:hint="eastAsia"/>
                <w:highlight w:val="none"/>
              </w:rPr>
              <w:t>。</w:t>
            </w:r>
            <w:r>
              <w:rPr>
                <w:rFonts w:hint="eastAsia"/>
                <w:color w:val="auto"/>
                <w:highlight w:val="none"/>
                <w:lang w:val="en-US" w:eastAsia="zh-CN"/>
              </w:rPr>
              <w:t>地面冲洗废水经隔油池隔油预处理后</w:t>
            </w:r>
            <w:r>
              <w:rPr>
                <w:rFonts w:hint="eastAsia"/>
                <w:color w:val="auto"/>
                <w:szCs w:val="21"/>
                <w:highlight w:val="none"/>
                <w:lang w:val="en-US" w:eastAsia="zh-CN"/>
              </w:rPr>
              <w:t>，排入厂区一体化（MBR）洗车废水处理</w:t>
            </w:r>
            <w:r>
              <w:rPr>
                <w:rFonts w:hint="eastAsia"/>
                <w:lang w:val="en-US" w:eastAsia="zh-CN"/>
              </w:rPr>
              <w:t>设施</w:t>
            </w:r>
            <w:r>
              <w:rPr>
                <w:rFonts w:hint="eastAsia"/>
                <w:color w:val="auto"/>
                <w:szCs w:val="21"/>
                <w:highlight w:val="none"/>
                <w:lang w:val="en-US" w:eastAsia="zh-CN"/>
              </w:rPr>
              <w:t>进一步处理后满足《城市污水再生利用 城市杂用水水质》（GB/T18920-2020）中车辆冲洗水质标准要求后回用于车辆冲洗，不外排。</w:t>
            </w:r>
          </w:p>
          <w:p w14:paraId="7CC9744D">
            <w:pPr>
              <w:ind w:firstLine="480"/>
              <w:rPr>
                <w:rFonts w:hint="default"/>
                <w:highlight w:val="none"/>
                <w:lang w:val="en-US" w:eastAsia="zh-CN"/>
              </w:rPr>
            </w:pPr>
            <w:r>
              <w:rPr>
                <w:rFonts w:hint="eastAsia"/>
                <w:highlight w:val="none"/>
                <w:lang w:val="en-US" w:eastAsia="zh-CN"/>
              </w:rPr>
              <w:t>（3）洗车用水</w:t>
            </w:r>
          </w:p>
          <w:p w14:paraId="241BA9AC">
            <w:pPr>
              <w:ind w:firstLine="480"/>
              <w:rPr>
                <w:rFonts w:hint="eastAsia"/>
                <w:color w:val="FF0000"/>
                <w:highlight w:val="none"/>
              </w:rPr>
            </w:pPr>
            <w:r>
              <w:rPr>
                <w:rFonts w:hint="eastAsia" w:ascii="Times New Roman" w:hAnsi="Times New Roman" w:eastAsia="宋体"/>
                <w:color w:val="000000" w:themeColor="text1"/>
                <w:sz w:val="24"/>
                <w:lang w:val="en-US" w:eastAsia="zh-CN"/>
                <w14:textFill>
                  <w14:solidFill>
                    <w14:schemeClr w14:val="tx1"/>
                  </w14:solidFill>
                </w14:textFill>
              </w:rPr>
              <w:t>本项目设置</w:t>
            </w:r>
            <w:r>
              <w:rPr>
                <w:rFonts w:hint="eastAsia" w:ascii="Times New Roman" w:hAnsi="Times New Roman" w:eastAsia="宋体"/>
                <w:color w:val="000000" w:themeColor="text1"/>
                <w:sz w:val="24"/>
                <w14:textFill>
                  <w14:solidFill>
                    <w14:schemeClr w14:val="tx1"/>
                  </w14:solidFill>
                </w14:textFill>
              </w:rPr>
              <w:t>一台</w:t>
            </w:r>
            <w:r>
              <w:rPr>
                <w:rFonts w:hint="eastAsia" w:ascii="Times New Roman" w:hAnsi="Times New Roman" w:eastAsia="宋体"/>
                <w:color w:val="000000" w:themeColor="text1"/>
                <w:sz w:val="24"/>
                <w:lang w:val="en-US" w:eastAsia="zh-CN"/>
                <w14:textFill>
                  <w14:solidFill>
                    <w14:schemeClr w14:val="tx1"/>
                  </w14:solidFill>
                </w14:textFill>
              </w:rPr>
              <w:t>全</w:t>
            </w:r>
            <w:r>
              <w:rPr>
                <w:rFonts w:hint="eastAsia" w:ascii="Times New Roman" w:hAnsi="Times New Roman" w:eastAsia="宋体"/>
                <w:color w:val="000000" w:themeColor="text1"/>
                <w:sz w:val="24"/>
                <w14:textFill>
                  <w14:solidFill>
                    <w14:schemeClr w14:val="tx1"/>
                  </w14:solidFill>
                </w14:textFill>
              </w:rPr>
              <w:t>自动洗车</w:t>
            </w:r>
            <w:r>
              <w:rPr>
                <w:rFonts w:hint="eastAsia" w:ascii="Times New Roman" w:hAnsi="Times New Roman" w:eastAsia="宋体"/>
                <w:color w:val="000000" w:themeColor="text1"/>
                <w:sz w:val="24"/>
                <w:lang w:val="en-US" w:eastAsia="zh-CN"/>
                <w14:textFill>
                  <w14:solidFill>
                    <w14:schemeClr w14:val="tx1"/>
                  </w14:solidFill>
                </w14:textFill>
              </w:rPr>
              <w:t>机</w:t>
            </w:r>
            <w:r>
              <w:rPr>
                <w:rFonts w:hint="eastAsia" w:ascii="Times New Roman" w:hAnsi="Times New Roman" w:eastAsia="宋体"/>
                <w:color w:val="000000" w:themeColor="text1"/>
                <w:sz w:val="24"/>
                <w14:textFill>
                  <w14:solidFill>
                    <w14:schemeClr w14:val="tx1"/>
                  </w14:solidFill>
                </w14:textFill>
              </w:rPr>
              <w:t>，主要用于小型车、SUV及其他7座以下车型自动洗车服务</w:t>
            </w:r>
            <w:r>
              <w:rPr>
                <w:rFonts w:hint="eastAsia"/>
                <w:highlight w:val="none"/>
                <w:lang w:val="en-US" w:eastAsia="zh-CN"/>
              </w:rPr>
              <w:t>，根据建设单位提供资料，</w:t>
            </w:r>
            <w:r>
              <w:rPr>
                <w:rFonts w:hint="eastAsia"/>
                <w:highlight w:val="none"/>
              </w:rPr>
              <w:t>本项目洗车量</w:t>
            </w:r>
            <w:r>
              <w:rPr>
                <w:rFonts w:hint="eastAsia"/>
                <w:highlight w:val="none"/>
                <w:lang w:val="en-US" w:eastAsia="zh-CN"/>
              </w:rPr>
              <w:t>按20</w:t>
            </w:r>
            <w:r>
              <w:rPr>
                <w:rFonts w:hint="eastAsia"/>
                <w:highlight w:val="none"/>
              </w:rPr>
              <w:t>辆</w:t>
            </w:r>
            <w:r>
              <w:rPr>
                <w:rFonts w:hint="eastAsia"/>
                <w:highlight w:val="none"/>
                <w:lang w:val="en-US" w:eastAsia="zh-CN"/>
              </w:rPr>
              <w:t>/天计</w:t>
            </w:r>
            <w:r>
              <w:rPr>
                <w:rFonts w:hint="eastAsia"/>
                <w:highlight w:val="none"/>
                <w:lang w:eastAsia="zh-CN"/>
              </w:rPr>
              <w:t>。</w:t>
            </w:r>
            <w:r>
              <w:rPr>
                <w:rFonts w:hint="eastAsia"/>
                <w:highlight w:val="none"/>
              </w:rPr>
              <w:t>根据江西省人民政府关于印发《生活及服务业用水定额第2部分</w:t>
            </w:r>
            <w:r>
              <w:rPr>
                <w:rFonts w:hint="eastAsia"/>
                <w:highlight w:val="none"/>
                <w:lang w:eastAsia="zh-CN"/>
              </w:rPr>
              <w:t>：</w:t>
            </w:r>
            <w:r>
              <w:rPr>
                <w:rFonts w:hint="eastAsia"/>
                <w:highlight w:val="none"/>
              </w:rPr>
              <w:t>服务业、居民生活和建筑业》的通知</w:t>
            </w:r>
            <w:r>
              <w:rPr>
                <w:rFonts w:hint="eastAsia"/>
                <w:highlight w:val="none"/>
                <w:lang w:eastAsia="zh-CN"/>
              </w:rPr>
              <w:t>（赣府发〔2024〕17号）</w:t>
            </w:r>
            <w:r>
              <w:rPr>
                <w:color w:val="auto"/>
                <w:sz w:val="24"/>
                <w:highlight w:val="none"/>
              </w:rPr>
              <w:t>，洗车</w:t>
            </w:r>
            <w:r>
              <w:rPr>
                <w:rFonts w:hint="eastAsia"/>
                <w:color w:val="auto"/>
                <w:sz w:val="24"/>
                <w:highlight w:val="none"/>
                <w:lang w:val="en-US" w:eastAsia="zh-CN"/>
              </w:rPr>
              <w:t>用</w:t>
            </w:r>
            <w:r>
              <w:rPr>
                <w:color w:val="auto"/>
                <w:sz w:val="24"/>
                <w:highlight w:val="none"/>
              </w:rPr>
              <w:t>水量</w:t>
            </w:r>
            <w:r>
              <w:rPr>
                <w:rFonts w:hint="eastAsia"/>
                <w:color w:val="auto"/>
                <w:sz w:val="24"/>
                <w:highlight w:val="none"/>
                <w:lang w:val="en-US" w:eastAsia="zh-CN"/>
              </w:rPr>
              <w:t>按35</w:t>
            </w:r>
            <w:r>
              <w:rPr>
                <w:color w:val="auto"/>
                <w:sz w:val="24"/>
                <w:highlight w:val="none"/>
              </w:rPr>
              <w:t>L/辆·次计</w:t>
            </w:r>
            <w:r>
              <w:rPr>
                <w:rFonts w:hint="eastAsia"/>
                <w:highlight w:val="none"/>
              </w:rPr>
              <w:t>，则</w:t>
            </w:r>
            <w:r>
              <w:rPr>
                <w:rFonts w:hint="eastAsia"/>
                <w:highlight w:val="none"/>
                <w:lang w:val="en-US" w:eastAsia="zh-CN"/>
              </w:rPr>
              <w:t>洗车</w:t>
            </w:r>
            <w:r>
              <w:rPr>
                <w:rFonts w:hint="eastAsia"/>
                <w:highlight w:val="none"/>
              </w:rPr>
              <w:t>用水</w:t>
            </w:r>
            <w:r>
              <w:rPr>
                <w:rFonts w:hint="eastAsia"/>
                <w:highlight w:val="none"/>
                <w:lang w:val="en-US" w:eastAsia="zh-CN"/>
              </w:rPr>
              <w:t>总</w:t>
            </w:r>
            <w:r>
              <w:rPr>
                <w:rFonts w:hint="eastAsia"/>
                <w:highlight w:val="none"/>
              </w:rPr>
              <w:t>量为</w:t>
            </w:r>
            <w:r>
              <w:rPr>
                <w:rFonts w:hint="eastAsia"/>
                <w:highlight w:val="none"/>
                <w:lang w:val="en-US" w:eastAsia="zh-CN"/>
              </w:rPr>
              <w:t>255.5</w:t>
            </w:r>
            <w:r>
              <w:rPr>
                <w:rFonts w:hint="eastAsia"/>
                <w:highlight w:val="none"/>
              </w:rPr>
              <w:t>m</w:t>
            </w:r>
            <w:r>
              <w:rPr>
                <w:rFonts w:hint="eastAsia"/>
                <w:highlight w:val="none"/>
                <w:vertAlign w:val="superscript"/>
              </w:rPr>
              <w:t>3</w:t>
            </w:r>
            <w:r>
              <w:rPr>
                <w:rFonts w:hint="eastAsia"/>
                <w:highlight w:val="none"/>
              </w:rPr>
              <w:t>/a</w:t>
            </w:r>
            <w:r>
              <w:rPr>
                <w:rFonts w:hint="eastAsia"/>
                <w:highlight w:val="none"/>
                <w:lang w:eastAsia="zh-CN"/>
              </w:rPr>
              <w:t>、</w:t>
            </w:r>
            <w:r>
              <w:rPr>
                <w:rFonts w:hint="eastAsia"/>
                <w:highlight w:val="none"/>
                <w:lang w:val="en-US" w:eastAsia="zh-CN"/>
              </w:rPr>
              <w:t>0.7</w:t>
            </w:r>
            <w:r>
              <w:rPr>
                <w:rFonts w:hint="eastAsia"/>
                <w:highlight w:val="none"/>
              </w:rPr>
              <w:t>m</w:t>
            </w:r>
            <w:r>
              <w:rPr>
                <w:rFonts w:hint="eastAsia"/>
                <w:highlight w:val="none"/>
                <w:vertAlign w:val="superscript"/>
              </w:rPr>
              <w:t>3</w:t>
            </w:r>
            <w:r>
              <w:rPr>
                <w:rFonts w:hint="eastAsia"/>
                <w:highlight w:val="none"/>
              </w:rPr>
              <w:t>/</w:t>
            </w:r>
            <w:r>
              <w:rPr>
                <w:rFonts w:hint="eastAsia"/>
                <w:highlight w:val="none"/>
                <w:lang w:val="en-US" w:eastAsia="zh-CN"/>
              </w:rPr>
              <w:t>d</w:t>
            </w:r>
            <w:r>
              <w:rPr>
                <w:rFonts w:hint="eastAsia"/>
                <w:highlight w:val="none"/>
              </w:rPr>
              <w:t>，</w:t>
            </w:r>
            <w:r>
              <w:rPr>
                <w:rFonts w:hint="eastAsia"/>
                <w:color w:val="000000"/>
                <w:highlight w:val="none"/>
                <w:lang w:val="en-US" w:eastAsia="zh-CN"/>
              </w:rPr>
              <w:t>洗车用水</w:t>
            </w:r>
            <w:r>
              <w:rPr>
                <w:rFonts w:hint="eastAsia"/>
                <w:highlight w:val="none"/>
              </w:rPr>
              <w:t>蒸发损耗量按</w:t>
            </w:r>
            <w:r>
              <w:rPr>
                <w:rFonts w:hint="eastAsia"/>
                <w:highlight w:val="none"/>
                <w:lang w:val="en-US" w:eastAsia="zh-CN"/>
              </w:rPr>
              <w:t>20</w:t>
            </w:r>
            <w:r>
              <w:rPr>
                <w:rFonts w:hint="eastAsia"/>
                <w:highlight w:val="none"/>
              </w:rPr>
              <w:t>%计</w:t>
            </w:r>
            <w:r>
              <w:rPr>
                <w:rFonts w:hint="eastAsia"/>
                <w:highlight w:val="none"/>
                <w:lang w:eastAsia="zh-CN"/>
              </w:rPr>
              <w:t>，</w:t>
            </w:r>
            <w:r>
              <w:rPr>
                <w:rFonts w:hint="eastAsia"/>
                <w:highlight w:val="none"/>
                <w:lang w:val="en-US" w:eastAsia="zh-CN"/>
              </w:rPr>
              <w:t>地面冲洗废水回用水量为37.824</w:t>
            </w:r>
            <w:r>
              <w:rPr>
                <w:color w:val="000000"/>
                <w:highlight w:val="none"/>
              </w:rPr>
              <w:t>m</w:t>
            </w:r>
            <w:r>
              <w:rPr>
                <w:color w:val="000000"/>
                <w:highlight w:val="none"/>
                <w:vertAlign w:val="superscript"/>
              </w:rPr>
              <w:t>3</w:t>
            </w:r>
            <w:r>
              <w:rPr>
                <w:color w:val="000000"/>
                <w:highlight w:val="none"/>
              </w:rPr>
              <w:t>/a</w:t>
            </w:r>
            <w:r>
              <w:rPr>
                <w:rFonts w:hint="eastAsia"/>
                <w:color w:val="000000"/>
                <w:highlight w:val="none"/>
                <w:lang w:eastAsia="zh-CN"/>
              </w:rPr>
              <w:t>，</w:t>
            </w:r>
            <w:r>
              <w:rPr>
                <w:rFonts w:hint="eastAsia"/>
                <w:color w:val="000000"/>
                <w:highlight w:val="none"/>
                <w:lang w:val="en-US" w:eastAsia="zh-CN"/>
              </w:rPr>
              <w:t>故洗车用水量为13.276</w:t>
            </w:r>
            <w:r>
              <w:rPr>
                <w:color w:val="000000"/>
                <w:highlight w:val="none"/>
              </w:rPr>
              <w:t>m</w:t>
            </w:r>
            <w:r>
              <w:rPr>
                <w:color w:val="000000"/>
                <w:highlight w:val="none"/>
                <w:vertAlign w:val="superscript"/>
              </w:rPr>
              <w:t>3</w:t>
            </w:r>
            <w:r>
              <w:rPr>
                <w:color w:val="000000"/>
                <w:highlight w:val="none"/>
              </w:rPr>
              <w:t>/a</w:t>
            </w:r>
            <w:r>
              <w:rPr>
                <w:rFonts w:hint="eastAsia"/>
                <w:color w:val="000000"/>
                <w:highlight w:val="none"/>
                <w:lang w:eastAsia="zh-CN"/>
              </w:rPr>
              <w:t>、</w:t>
            </w:r>
            <w:r>
              <w:rPr>
                <w:rFonts w:hint="eastAsia"/>
                <w:color w:val="000000"/>
                <w:highlight w:val="none"/>
                <w:lang w:val="en-US" w:eastAsia="zh-CN"/>
              </w:rPr>
              <w:t>0.036</w:t>
            </w:r>
            <w:r>
              <w:rPr>
                <w:rFonts w:hint="eastAsia"/>
                <w:highlight w:val="none"/>
              </w:rPr>
              <w:t>m</w:t>
            </w:r>
            <w:r>
              <w:rPr>
                <w:rFonts w:hint="eastAsia"/>
                <w:highlight w:val="none"/>
                <w:vertAlign w:val="superscript"/>
              </w:rPr>
              <w:t>3</w:t>
            </w:r>
            <w:r>
              <w:rPr>
                <w:rFonts w:hint="eastAsia"/>
                <w:highlight w:val="none"/>
              </w:rPr>
              <w:t>/</w:t>
            </w:r>
            <w:r>
              <w:rPr>
                <w:rFonts w:hint="eastAsia"/>
                <w:highlight w:val="none"/>
                <w:lang w:val="en-US" w:eastAsia="zh-CN"/>
              </w:rPr>
              <w:t>d，洗车废水产生量为204.4</w:t>
            </w:r>
            <w:r>
              <w:rPr>
                <w:rFonts w:hint="eastAsia"/>
                <w:highlight w:val="none"/>
              </w:rPr>
              <w:t>m</w:t>
            </w:r>
            <w:r>
              <w:rPr>
                <w:rFonts w:hint="eastAsia"/>
                <w:highlight w:val="none"/>
                <w:vertAlign w:val="superscript"/>
              </w:rPr>
              <w:t>3</w:t>
            </w:r>
            <w:r>
              <w:rPr>
                <w:rFonts w:hint="eastAsia"/>
                <w:highlight w:val="none"/>
              </w:rPr>
              <w:t>/a</w:t>
            </w:r>
            <w:r>
              <w:rPr>
                <w:rFonts w:hint="eastAsia"/>
                <w:highlight w:val="none"/>
                <w:lang w:eastAsia="zh-CN"/>
              </w:rPr>
              <w:t>、</w:t>
            </w:r>
            <w:r>
              <w:rPr>
                <w:rFonts w:hint="eastAsia"/>
                <w:highlight w:val="none"/>
                <w:lang w:val="en-US" w:eastAsia="zh-CN"/>
              </w:rPr>
              <w:t>0.56</w:t>
            </w:r>
            <w:r>
              <w:rPr>
                <w:rFonts w:hint="eastAsia"/>
                <w:highlight w:val="none"/>
              </w:rPr>
              <w:t>m</w:t>
            </w:r>
            <w:r>
              <w:rPr>
                <w:rFonts w:hint="eastAsia"/>
                <w:highlight w:val="none"/>
                <w:vertAlign w:val="superscript"/>
              </w:rPr>
              <w:t>3</w:t>
            </w:r>
            <w:r>
              <w:rPr>
                <w:rFonts w:hint="eastAsia"/>
                <w:highlight w:val="none"/>
              </w:rPr>
              <w:t>/</w:t>
            </w:r>
            <w:r>
              <w:rPr>
                <w:rFonts w:hint="eastAsia"/>
                <w:highlight w:val="none"/>
                <w:lang w:val="en-US" w:eastAsia="zh-CN"/>
              </w:rPr>
              <w:t>d</w:t>
            </w:r>
            <w:r>
              <w:rPr>
                <w:rFonts w:hint="eastAsia"/>
                <w:highlight w:val="none"/>
              </w:rPr>
              <w:t>。洗车废水</w:t>
            </w:r>
            <w:r>
              <w:rPr>
                <w:rFonts w:hint="eastAsia"/>
                <w:color w:val="auto"/>
                <w:szCs w:val="21"/>
                <w:highlight w:val="none"/>
                <w:lang w:val="en-US" w:eastAsia="zh-CN"/>
              </w:rPr>
              <w:t>排入厂区一体化（MBR）洗车废水处理</w:t>
            </w:r>
            <w:r>
              <w:rPr>
                <w:rFonts w:hint="eastAsia"/>
                <w:lang w:val="en-US" w:eastAsia="zh-CN"/>
              </w:rPr>
              <w:t>设施</w:t>
            </w:r>
            <w:r>
              <w:rPr>
                <w:rFonts w:hint="eastAsia"/>
                <w:color w:val="auto"/>
                <w:szCs w:val="21"/>
                <w:highlight w:val="none"/>
                <w:lang w:val="en-US" w:eastAsia="zh-CN"/>
              </w:rPr>
              <w:t>进一步处理后满足《城市污水再生利用 城市杂用水水质》（GB/T18920-2020）中车辆冲洗水质标准要求后回用于洗车，不外排。</w:t>
            </w:r>
          </w:p>
          <w:p w14:paraId="4A3B4574">
            <w:pPr>
              <w:ind w:firstLine="480"/>
              <w:rPr>
                <w:sz w:val="24"/>
                <w:highlight w:val="none"/>
              </w:rPr>
            </w:pPr>
            <w:r>
              <w:rPr>
                <w:rFonts w:hint="eastAsia"/>
                <w:sz w:val="24"/>
                <w:highlight w:val="none"/>
                <w:lang w:eastAsia="zh-CN"/>
              </w:rPr>
              <w:t>本</w:t>
            </w:r>
            <w:r>
              <w:rPr>
                <w:sz w:val="24"/>
                <w:highlight w:val="none"/>
              </w:rPr>
              <w:t>项目水平衡详见</w:t>
            </w:r>
            <w:r>
              <w:rPr>
                <w:rFonts w:hint="eastAsia"/>
                <w:sz w:val="24"/>
                <w:highlight w:val="none"/>
              </w:rPr>
              <w:t>图2-1</w:t>
            </w:r>
            <w:r>
              <w:rPr>
                <w:sz w:val="24"/>
                <w:highlight w:val="none"/>
              </w:rPr>
              <w:t>。</w:t>
            </w:r>
          </w:p>
          <w:p w14:paraId="0593F3E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sz w:val="21"/>
                <w:highlight w:val="none"/>
              </w:rPr>
            </w:pPr>
            <w:r>
              <w:rPr>
                <w:sz w:val="21"/>
                <w:highlight w:val="none"/>
              </w:rPr>
              <w:object>
                <v:shape id="_x0000_i1025" o:spt="75" type="#_x0000_t75" style="height:221.25pt;width:450.75pt;" o:ole="t" filled="f" o:preferrelative="t" stroked="f" coordsize="21600,21600">
                  <v:path/>
                  <v:fill on="f" focussize="0,0"/>
                  <v:stroke on="f"/>
                  <v:imagedata r:id="rId23" o:title=""/>
                  <o:lock v:ext="edit" aspectratio="f"/>
                  <w10:wrap type="none"/>
                  <w10:anchorlock/>
                </v:shape>
                <o:OLEObject Type="Embed" ProgID="Visio.Drawing.11" ShapeID="_x0000_i1025" DrawAspect="Content" ObjectID="_1468075725" r:id="rId22">
                  <o:LockedField>false</o:LockedField>
                </o:OLEObject>
              </w:object>
            </w:r>
          </w:p>
          <w:p w14:paraId="5E434C1D">
            <w:pPr>
              <w:pStyle w:val="49"/>
              <w:keepNext w:val="0"/>
              <w:keepLines w:val="0"/>
              <w:pageBreakBefore w:val="0"/>
              <w:widowControl w:val="0"/>
              <w:kinsoku/>
              <w:wordWrap/>
              <w:overflowPunct/>
              <w:topLinePunct w:val="0"/>
              <w:autoSpaceDE/>
              <w:autoSpaceDN/>
              <w:bidi w:val="0"/>
              <w:adjustRightInd/>
              <w:snapToGrid/>
              <w:textAlignment w:val="auto"/>
              <w:rPr>
                <w:b/>
                <w:highlight w:val="none"/>
              </w:rPr>
            </w:pPr>
            <w:r>
              <w:rPr>
                <w:b/>
                <w:highlight w:val="none"/>
              </w:rPr>
              <w:t>图2-</w:t>
            </w:r>
            <w:r>
              <w:rPr>
                <w:rFonts w:hint="eastAsia"/>
                <w:b/>
                <w:highlight w:val="none"/>
                <w:lang w:val="en-US" w:eastAsia="zh-CN"/>
              </w:rPr>
              <w:t xml:space="preserve">2   </w:t>
            </w:r>
            <w:r>
              <w:rPr>
                <w:b/>
                <w:highlight w:val="none"/>
              </w:rPr>
              <w:t>项目水平衡图</w:t>
            </w:r>
            <w:r>
              <w:rPr>
                <w:rFonts w:hint="eastAsia"/>
                <w:b/>
                <w:highlight w:val="none"/>
                <w:lang w:val="en-US" w:eastAsia="zh-CN"/>
              </w:rPr>
              <w:t xml:space="preserve">    </w:t>
            </w:r>
            <w:r>
              <w:rPr>
                <w:b/>
                <w:highlight w:val="none"/>
              </w:rPr>
              <w:t>（m</w:t>
            </w:r>
            <w:r>
              <w:rPr>
                <w:b/>
                <w:highlight w:val="none"/>
                <w:vertAlign w:val="superscript"/>
              </w:rPr>
              <w:t>3</w:t>
            </w:r>
            <w:r>
              <w:rPr>
                <w:b/>
                <w:highlight w:val="none"/>
              </w:rPr>
              <w:t>/</w:t>
            </w:r>
            <w:r>
              <w:rPr>
                <w:rFonts w:hint="eastAsia"/>
                <w:b/>
                <w:highlight w:val="none"/>
                <w:lang w:val="en-US" w:eastAsia="zh-CN"/>
              </w:rPr>
              <w:t>a</w:t>
            </w:r>
            <w:r>
              <w:rPr>
                <w:b/>
                <w:highlight w:val="none"/>
              </w:rPr>
              <w:t>）</w:t>
            </w:r>
          </w:p>
        </w:tc>
      </w:tr>
      <w:tr w14:paraId="7FDDF1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454" w:type="dxa"/>
            <w:vAlign w:val="center"/>
          </w:tcPr>
          <w:p w14:paraId="419BCD44">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pPr>
            <w:r>
              <w:rPr>
                <w:rFonts w:hint="eastAsia"/>
              </w:rPr>
              <w:t>工艺流程和产排污环节</w:t>
            </w:r>
          </w:p>
        </w:tc>
        <w:tc>
          <w:tcPr>
            <w:tcW w:w="9412" w:type="dxa"/>
            <w:vAlign w:val="center"/>
          </w:tcPr>
          <w:p w14:paraId="27BBC043">
            <w:pPr>
              <w:pStyle w:val="54"/>
              <w:keepNext w:val="0"/>
              <w:keepLines w:val="0"/>
              <w:pageBreakBefore w:val="0"/>
              <w:widowControl w:val="0"/>
              <w:numPr>
                <w:ilvl w:val="0"/>
                <w:numId w:val="0"/>
              </w:numPr>
              <w:kinsoku/>
              <w:wordWrap/>
              <w:overflowPunct/>
              <w:topLinePunct w:val="0"/>
              <w:autoSpaceDE/>
              <w:autoSpaceDN/>
              <w:bidi w:val="0"/>
              <w:adjustRightInd/>
              <w:snapToGrid/>
              <w:ind w:leftChars="0" w:firstLine="482" w:firstLineChars="200"/>
              <w:textAlignment w:val="auto"/>
              <w:rPr>
                <w:b/>
              </w:rPr>
            </w:pPr>
            <w:r>
              <w:rPr>
                <w:rFonts w:hint="eastAsia"/>
                <w:b/>
                <w:lang w:val="en-US" w:eastAsia="zh-CN"/>
              </w:rPr>
              <w:t>1、</w:t>
            </w:r>
            <w:r>
              <w:rPr>
                <w:rFonts w:hint="eastAsia"/>
                <w:b/>
              </w:rPr>
              <w:t>施工期工艺流程和产排污环节</w:t>
            </w:r>
          </w:p>
          <w:p w14:paraId="4474852B">
            <w:pPr>
              <w:ind w:firstLine="480"/>
              <w:rPr>
                <w:rFonts w:hint="eastAsia" w:eastAsia="宋体"/>
                <w:lang w:eastAsia="zh-CN"/>
              </w:rPr>
            </w:pPr>
            <w:r>
              <w:t>根据现场踏勘，</w:t>
            </w:r>
            <w:r>
              <w:rPr>
                <w:rFonts w:hint="eastAsia"/>
                <w:lang w:val="en-US" w:eastAsia="zh-CN"/>
              </w:rPr>
              <w:t>本项目</w:t>
            </w:r>
            <w:r>
              <w:rPr>
                <w:rFonts w:hint="eastAsia"/>
              </w:rPr>
              <w:t>土建施工未进行，施工期内容主要包括基础施工、主体工程、装修工程及设备安装等辅助工程。各施工阶段产排污分析如下</w:t>
            </w:r>
            <w:r>
              <w:rPr>
                <w:rFonts w:hint="eastAsia"/>
                <w:lang w:eastAsia="zh-CN"/>
              </w:rPr>
              <w:t>：</w:t>
            </w:r>
          </w:p>
          <w:p w14:paraId="4E9B8BB8">
            <w:pPr>
              <w:pStyle w:val="54"/>
              <w:numPr>
                <w:ilvl w:val="0"/>
                <w:numId w:val="0"/>
              </w:numPr>
              <w:ind w:left="420" w:leftChars="0"/>
              <w:rPr>
                <w:b/>
                <w:bCs/>
              </w:rPr>
            </w:pPr>
            <w:r>
              <w:rPr>
                <w:rFonts w:hint="eastAsia"/>
                <w:b w:val="0"/>
                <w:bCs/>
                <w:lang w:eastAsia="zh-CN"/>
              </w:rPr>
              <w:t>（</w:t>
            </w:r>
            <w:r>
              <w:rPr>
                <w:rFonts w:hint="eastAsia"/>
                <w:b w:val="0"/>
                <w:bCs/>
                <w:lang w:val="en-US" w:eastAsia="zh-CN"/>
              </w:rPr>
              <w:t>1</w:t>
            </w:r>
            <w:r>
              <w:rPr>
                <w:rFonts w:hint="eastAsia"/>
                <w:b w:val="0"/>
                <w:bCs/>
                <w:lang w:eastAsia="zh-CN"/>
              </w:rPr>
              <w:t>）</w:t>
            </w:r>
            <w:r>
              <w:rPr>
                <w:rFonts w:hint="eastAsia"/>
                <w:b w:val="0"/>
                <w:bCs/>
              </w:rPr>
              <w:t>基础施工</w:t>
            </w:r>
          </w:p>
          <w:p w14:paraId="6A20C6E6">
            <w:pPr>
              <w:ind w:firstLine="480"/>
            </w:pPr>
            <w:r>
              <w:rPr>
                <w:rFonts w:hint="eastAsia"/>
              </w:rPr>
              <w:t>基础施工包括土方（挖方、填方）、地基处理（岩土工程）等。施工过程中挖掘机、推土机、打夯机、振捣机、装载机等运行时将主要产生施工噪声、施工扬尘、生态破坏和水土流失。</w:t>
            </w:r>
          </w:p>
          <w:p w14:paraId="61EE995A">
            <w:pPr>
              <w:pStyle w:val="54"/>
              <w:numPr>
                <w:ilvl w:val="0"/>
                <w:numId w:val="0"/>
              </w:numPr>
              <w:ind w:left="420" w:leftChars="0"/>
              <w:rPr>
                <w:b/>
                <w:bCs/>
              </w:rPr>
            </w:pPr>
            <w:r>
              <w:rPr>
                <w:rFonts w:hint="eastAsia"/>
                <w:b w:val="0"/>
                <w:bCs/>
                <w:lang w:val="en-US" w:eastAsia="zh-CN"/>
              </w:rPr>
              <w:t>（2）</w:t>
            </w:r>
            <w:r>
              <w:rPr>
                <w:rFonts w:hint="eastAsia"/>
                <w:b w:val="0"/>
                <w:bCs/>
              </w:rPr>
              <w:t>主体工程</w:t>
            </w:r>
          </w:p>
          <w:p w14:paraId="030A855B">
            <w:pPr>
              <w:ind w:firstLine="480"/>
            </w:pPr>
            <w:r>
              <w:rPr>
                <w:rFonts w:hint="eastAsia"/>
              </w:rPr>
              <w:t>混凝土输送泵、混凝土振捣棒、钢筋切割机等施工器械的运行将产生噪声；在挖土、堆场、建材搬运和汽车运输过程中会产生扬尘等环境问题；主体工程开挖产生水土流失和生态破坏；施工期产生施工人员生活污水、生活垃圾和工程养护废水。</w:t>
            </w:r>
          </w:p>
          <w:p w14:paraId="188A4C9C">
            <w:pPr>
              <w:pStyle w:val="54"/>
              <w:numPr>
                <w:ilvl w:val="0"/>
                <w:numId w:val="0"/>
              </w:numPr>
              <w:ind w:left="420" w:leftChars="0"/>
              <w:rPr>
                <w:b/>
                <w:bCs/>
              </w:rPr>
            </w:pPr>
            <w:r>
              <w:rPr>
                <w:rFonts w:hint="eastAsia"/>
                <w:b w:val="0"/>
                <w:bCs/>
                <w:lang w:eastAsia="zh-CN"/>
              </w:rPr>
              <w:t>（</w:t>
            </w:r>
            <w:r>
              <w:rPr>
                <w:rFonts w:hint="eastAsia"/>
                <w:b w:val="0"/>
                <w:bCs/>
                <w:lang w:val="en-US" w:eastAsia="zh-CN"/>
              </w:rPr>
              <w:t>3</w:t>
            </w:r>
            <w:r>
              <w:rPr>
                <w:rFonts w:hint="eastAsia"/>
                <w:b w:val="0"/>
                <w:bCs/>
                <w:lang w:eastAsia="zh-CN"/>
              </w:rPr>
              <w:t>）</w:t>
            </w:r>
            <w:r>
              <w:rPr>
                <w:rFonts w:hint="eastAsia"/>
                <w:b w:val="0"/>
                <w:bCs/>
              </w:rPr>
              <w:t>装修工程及设备安装等辅助工程</w:t>
            </w:r>
          </w:p>
          <w:p w14:paraId="5D955A48">
            <w:pPr>
              <w:ind w:firstLine="480"/>
            </w:pPr>
            <w:r>
              <w:rPr>
                <w:rFonts w:hint="eastAsia"/>
              </w:rPr>
              <w:t>在对建筑物的室内外进行装修时（如表面粉刷、油漆、喷涂、镶贴装饰等），钻机、电锤、切割机等产生噪声；油漆、喷涂、建筑及装饰材料等产生废气；装修及设备安装产生施工垃圾。</w:t>
            </w:r>
          </w:p>
          <w:p w14:paraId="7CE5F8B9">
            <w:pPr>
              <w:ind w:firstLine="480"/>
              <w:rPr>
                <w:rFonts w:hint="eastAsia"/>
              </w:rPr>
            </w:pPr>
            <w:r>
              <w:rPr>
                <w:rFonts w:hint="eastAsia"/>
              </w:rPr>
              <w:t>从上述污染工序分析可知，施工期环境污染问题主要包括：施工期生态破坏和水土流失</w:t>
            </w:r>
            <w:r>
              <w:rPr>
                <w:rFonts w:hint="eastAsia"/>
                <w:lang w:eastAsia="zh-CN"/>
              </w:rPr>
              <w:t>、</w:t>
            </w:r>
            <w:r>
              <w:rPr>
                <w:rFonts w:hint="eastAsia"/>
              </w:rPr>
              <w:t>施工扬尘和废气</w:t>
            </w:r>
            <w:r>
              <w:rPr>
                <w:rFonts w:hint="eastAsia"/>
                <w:lang w:eastAsia="zh-CN"/>
              </w:rPr>
              <w:t>、</w:t>
            </w:r>
            <w:r>
              <w:rPr>
                <w:rFonts w:hint="eastAsia"/>
              </w:rPr>
              <w:t>施工噪声</w:t>
            </w:r>
            <w:r>
              <w:rPr>
                <w:rFonts w:hint="eastAsia"/>
                <w:lang w:eastAsia="zh-CN"/>
              </w:rPr>
              <w:t>、</w:t>
            </w:r>
            <w:r>
              <w:rPr>
                <w:rFonts w:hint="eastAsia"/>
                <w:lang w:val="en-US" w:eastAsia="zh-CN"/>
              </w:rPr>
              <w:t>施工</w:t>
            </w:r>
            <w:r>
              <w:rPr>
                <w:rFonts w:hint="eastAsia"/>
              </w:rPr>
              <w:t>生活污水和工程养护废水</w:t>
            </w:r>
            <w:r>
              <w:rPr>
                <w:rFonts w:hint="eastAsia"/>
                <w:lang w:eastAsia="zh-CN"/>
              </w:rPr>
              <w:t>、</w:t>
            </w:r>
            <w:r>
              <w:rPr>
                <w:rFonts w:hint="eastAsia"/>
              </w:rPr>
              <w:t>施工</w:t>
            </w:r>
            <w:r>
              <w:rPr>
                <w:rFonts w:hint="eastAsia"/>
                <w:lang w:val="en-US" w:eastAsia="zh-CN"/>
              </w:rPr>
              <w:t>生活</w:t>
            </w:r>
            <w:r>
              <w:rPr>
                <w:rFonts w:hint="eastAsia"/>
              </w:rPr>
              <w:t>垃圾。这些污染几乎发生于整个施工过程</w:t>
            </w:r>
            <w:r>
              <w:rPr>
                <w:rFonts w:hint="eastAsia"/>
                <w:lang w:val="en-US" w:eastAsia="zh-CN"/>
              </w:rPr>
              <w:t>中</w:t>
            </w:r>
            <w:r>
              <w:rPr>
                <w:rFonts w:hint="eastAsia"/>
              </w:rPr>
              <w:t>，但不同污染因子在不同施工段污染强度不同。</w:t>
            </w:r>
          </w:p>
          <w:p w14:paraId="52D0BC61">
            <w:pPr>
              <w:ind w:firstLine="480"/>
            </w:pPr>
            <w:r>
              <w:rPr>
                <w:rFonts w:hint="eastAsia"/>
                <w:lang w:val="en-US" w:eastAsia="zh-CN"/>
              </w:rPr>
              <w:t>本项目</w:t>
            </w:r>
            <w:r>
              <w:rPr>
                <w:rFonts w:hint="eastAsia"/>
              </w:rPr>
              <w:t>施工期工艺流程及产污节点</w:t>
            </w:r>
            <w:r>
              <w:rPr>
                <w:rFonts w:hint="eastAsia"/>
                <w:lang w:val="en-US" w:eastAsia="zh-CN"/>
              </w:rPr>
              <w:t>详</w:t>
            </w:r>
            <w:r>
              <w:rPr>
                <w:rFonts w:hint="eastAsia"/>
              </w:rPr>
              <w:t>见图</w:t>
            </w:r>
            <w:r>
              <w:rPr>
                <w:rFonts w:hint="eastAsia"/>
                <w:lang w:val="en-US" w:eastAsia="zh-CN"/>
              </w:rPr>
              <w:t>2-1</w:t>
            </w:r>
            <w:r>
              <w:rPr>
                <w:rFonts w:hint="eastAsia"/>
              </w:rPr>
              <w:t>。</w:t>
            </w:r>
          </w:p>
          <w:p w14:paraId="0BFA87A7">
            <w:pPr>
              <w:pStyle w:val="49"/>
            </w:pPr>
            <w:r>
              <w:object>
                <v:shape id="_x0000_i1026" o:spt="75" type="#_x0000_t75" style="height:108pt;width:456.75pt;" o:ole="t" filled="f" o:preferrelative="t" stroked="f" coordsize="21600,21600">
                  <v:path/>
                  <v:fill on="f" focussize="0,0"/>
                  <v:stroke on="f"/>
                  <v:imagedata r:id="rId25" o:title=""/>
                  <o:lock v:ext="edit" aspectratio="f"/>
                  <w10:wrap type="none"/>
                  <w10:anchorlock/>
                </v:shape>
                <o:OLEObject Type="Embed" ProgID="Visio.Drawing.11" ShapeID="_x0000_i1026" DrawAspect="Content" ObjectID="_1468075726" r:id="rId24">
                  <o:LockedField>false</o:LockedField>
                </o:OLEObject>
              </w:object>
            </w:r>
          </w:p>
          <w:p w14:paraId="74D4622B">
            <w:pPr>
              <w:pStyle w:val="49"/>
              <w:keepNext w:val="0"/>
              <w:keepLines w:val="0"/>
              <w:pageBreakBefore w:val="0"/>
              <w:widowControl w:val="0"/>
              <w:kinsoku/>
              <w:wordWrap/>
              <w:overflowPunct/>
              <w:topLinePunct w:val="0"/>
              <w:autoSpaceDE/>
              <w:autoSpaceDN/>
              <w:bidi w:val="0"/>
              <w:adjustRightInd/>
              <w:snapToGrid/>
              <w:textAlignment w:val="auto"/>
              <w:rPr>
                <w:b/>
              </w:rPr>
            </w:pPr>
            <w:r>
              <w:rPr>
                <w:rFonts w:hint="eastAsia"/>
                <w:b/>
              </w:rPr>
              <w:t>图2-</w:t>
            </w:r>
            <w:r>
              <w:rPr>
                <w:rFonts w:hint="eastAsia"/>
                <w:b/>
                <w:lang w:val="en-US" w:eastAsia="zh-CN"/>
              </w:rPr>
              <w:t xml:space="preserve">3   </w:t>
            </w:r>
            <w:r>
              <w:rPr>
                <w:rFonts w:hint="eastAsia"/>
                <w:b/>
              </w:rPr>
              <w:t>施工期工艺流程及产污节点图</w:t>
            </w:r>
          </w:p>
          <w:p w14:paraId="67A41388">
            <w:pPr>
              <w:pStyle w:val="54"/>
              <w:keepNext w:val="0"/>
              <w:keepLines w:val="0"/>
              <w:pageBreakBefore w:val="0"/>
              <w:widowControl w:val="0"/>
              <w:numPr>
                <w:ilvl w:val="0"/>
                <w:numId w:val="0"/>
              </w:numPr>
              <w:kinsoku/>
              <w:wordWrap/>
              <w:overflowPunct/>
              <w:topLinePunct w:val="0"/>
              <w:autoSpaceDE/>
              <w:autoSpaceDN/>
              <w:bidi w:val="0"/>
              <w:adjustRightInd/>
              <w:snapToGrid/>
              <w:ind w:leftChars="0" w:firstLine="482" w:firstLineChars="200"/>
              <w:textAlignment w:val="auto"/>
              <w:rPr>
                <w:b/>
              </w:rPr>
            </w:pPr>
            <w:r>
              <w:rPr>
                <w:rFonts w:hint="eastAsia"/>
                <w:b/>
                <w:lang w:val="en-US" w:eastAsia="zh-CN"/>
              </w:rPr>
              <w:t>2、</w:t>
            </w:r>
            <w:r>
              <w:rPr>
                <w:rFonts w:hint="eastAsia"/>
                <w:b/>
              </w:rPr>
              <w:t>运营期工艺流程和产排污环节</w:t>
            </w:r>
          </w:p>
          <w:p w14:paraId="18A1CE91">
            <w:pPr>
              <w:pStyle w:val="54"/>
              <w:numPr>
                <w:ilvl w:val="0"/>
                <w:numId w:val="0"/>
              </w:numPr>
              <w:ind w:left="420" w:leftChars="0"/>
              <w:rPr>
                <w:rFonts w:hint="eastAsia"/>
                <w:b w:val="0"/>
                <w:bCs/>
                <w:lang w:val="en-US" w:eastAsia="zh-CN"/>
              </w:rPr>
            </w:pPr>
            <w:r>
              <w:rPr>
                <w:rFonts w:hint="eastAsia"/>
                <w:b w:val="0"/>
                <w:bCs/>
                <w:lang w:eastAsia="zh-CN"/>
              </w:rPr>
              <w:t>（</w:t>
            </w:r>
            <w:r>
              <w:rPr>
                <w:rFonts w:hint="eastAsia"/>
                <w:b w:val="0"/>
                <w:bCs/>
                <w:lang w:val="en-US" w:eastAsia="zh-CN"/>
              </w:rPr>
              <w:t>1</w:t>
            </w:r>
            <w:r>
              <w:rPr>
                <w:rFonts w:hint="eastAsia"/>
                <w:b w:val="0"/>
                <w:bCs/>
                <w:lang w:eastAsia="zh-CN"/>
              </w:rPr>
              <w:t>）</w:t>
            </w:r>
            <w:r>
              <w:rPr>
                <w:rFonts w:hint="eastAsia"/>
                <w:b w:val="0"/>
                <w:bCs/>
              </w:rPr>
              <w:t>加油</w:t>
            </w:r>
            <w:r>
              <w:rPr>
                <w:rFonts w:hint="eastAsia"/>
                <w:b w:val="0"/>
                <w:bCs/>
                <w:lang w:val="en-US" w:eastAsia="zh-CN"/>
              </w:rPr>
              <w:t>生产</w:t>
            </w:r>
            <w:r>
              <w:rPr>
                <w:rFonts w:hint="eastAsia"/>
                <w:b w:val="0"/>
                <w:bCs/>
              </w:rPr>
              <w:t>工艺流程</w:t>
            </w:r>
            <w:r>
              <w:rPr>
                <w:rFonts w:hint="eastAsia"/>
                <w:b w:val="0"/>
                <w:bCs/>
                <w:lang w:val="en-US" w:eastAsia="zh-CN"/>
              </w:rPr>
              <w:t>和产排污环节如下：</w:t>
            </w:r>
          </w:p>
          <w:p w14:paraId="14378402">
            <w:pPr>
              <w:pStyle w:val="49"/>
            </w:pPr>
            <w:r>
              <w:object>
                <v:shape id="_x0000_i1027" o:spt="75" type="#_x0000_t75" style="height:126pt;width:414.75pt;" o:ole="t" filled="f" o:preferrelative="t" stroked="f" coordsize="21600,21600">
                  <v:path/>
                  <v:fill on="f" focussize="0,0"/>
                  <v:stroke on="f"/>
                  <v:imagedata r:id="rId27" o:title=""/>
                  <o:lock v:ext="edit" aspectratio="f"/>
                  <w10:wrap type="none"/>
                  <w10:anchorlock/>
                </v:shape>
                <o:OLEObject Type="Embed" ProgID="Visio.Drawing.11" ShapeID="_x0000_i1027" DrawAspect="Content" ObjectID="_1468075727" r:id="rId26">
                  <o:LockedField>false</o:LockedField>
                </o:OLEObject>
              </w:object>
            </w:r>
          </w:p>
          <w:p w14:paraId="5E65F5F0">
            <w:pPr>
              <w:pStyle w:val="49"/>
              <w:rPr>
                <w:b/>
              </w:rPr>
            </w:pPr>
            <w:r>
              <w:rPr>
                <w:rFonts w:hint="eastAsia"/>
                <w:b/>
              </w:rPr>
              <w:t>图2-</w:t>
            </w:r>
            <w:r>
              <w:rPr>
                <w:rFonts w:hint="eastAsia"/>
                <w:b/>
                <w:lang w:val="en-US" w:eastAsia="zh-CN"/>
              </w:rPr>
              <w:t xml:space="preserve">4   </w:t>
            </w:r>
            <w:r>
              <w:rPr>
                <w:rFonts w:hint="eastAsia"/>
                <w:b/>
              </w:rPr>
              <w:t>加油生产工艺流程及产排污节点图</w:t>
            </w:r>
          </w:p>
          <w:p w14:paraId="4242AB43">
            <w:pPr>
              <w:pStyle w:val="54"/>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rFonts w:ascii="Times New Roman" w:hAnsi="Times New Roman" w:eastAsia="宋体"/>
                <w:color w:val="000000" w:themeColor="text1"/>
                <w:sz w:val="24"/>
                <w14:textFill>
                  <w14:solidFill>
                    <w14:schemeClr w14:val="tx1"/>
                  </w14:solidFill>
                </w14:textFill>
              </w:rPr>
            </w:pPr>
            <w:r>
              <w:rPr>
                <w:rFonts w:hint="eastAsia"/>
                <w:lang w:val="en-US" w:eastAsia="zh-CN"/>
              </w:rPr>
              <w:t>1）</w:t>
            </w:r>
            <w:r>
              <w:rPr>
                <w:rFonts w:hint="eastAsia"/>
              </w:rPr>
              <w:t>卸油</w:t>
            </w:r>
            <w:r>
              <w:rPr>
                <w:rFonts w:hint="eastAsia"/>
                <w:lang w:eastAsia="zh-CN"/>
              </w:rPr>
              <w:t>：</w:t>
            </w:r>
            <w:r>
              <w:rPr>
                <w:rFonts w:hint="eastAsia" w:ascii="Times New Roman" w:hAnsi="Times New Roman" w:eastAsia="宋体"/>
                <w:color w:val="auto"/>
                <w:sz w:val="24"/>
              </w:rPr>
              <w:t>本项目成品油由</w:t>
            </w:r>
            <w:r>
              <w:rPr>
                <w:rFonts w:hint="eastAsia"/>
                <w:color w:val="auto"/>
                <w:sz w:val="24"/>
                <w:lang w:val="en-US" w:eastAsia="zh-CN"/>
              </w:rPr>
              <w:t>油</w:t>
            </w:r>
            <w:r>
              <w:rPr>
                <w:rFonts w:hint="eastAsia" w:ascii="Times New Roman" w:hAnsi="Times New Roman" w:eastAsia="宋体"/>
                <w:color w:val="auto"/>
                <w:sz w:val="24"/>
              </w:rPr>
              <w:t>罐车运输，采用密闭卸油方式从</w:t>
            </w:r>
            <w:r>
              <w:rPr>
                <w:rFonts w:hint="eastAsia"/>
                <w:color w:val="auto"/>
                <w:sz w:val="24"/>
                <w:lang w:val="en-US" w:eastAsia="zh-CN"/>
              </w:rPr>
              <w:t>油</w:t>
            </w:r>
            <w:r>
              <w:rPr>
                <w:rFonts w:hint="eastAsia" w:ascii="Times New Roman" w:hAnsi="Times New Roman" w:eastAsia="宋体"/>
                <w:color w:val="auto"/>
                <w:sz w:val="24"/>
              </w:rPr>
              <w:t>罐车自流卸入成品油罐</w:t>
            </w:r>
            <w:r>
              <w:rPr>
                <w:rFonts w:hint="eastAsia"/>
                <w:color w:val="auto"/>
                <w:sz w:val="24"/>
                <w:lang w:val="en-US" w:eastAsia="zh-CN"/>
              </w:rPr>
              <w:t>贮</w:t>
            </w:r>
            <w:r>
              <w:rPr>
                <w:rFonts w:hint="eastAsia" w:ascii="Times New Roman" w:hAnsi="Times New Roman" w:eastAsia="宋体"/>
                <w:color w:val="auto"/>
                <w:sz w:val="24"/>
              </w:rPr>
              <w:t>存。本项目汽油罐和柴油罐均采用地埋</w:t>
            </w:r>
            <w:r>
              <w:rPr>
                <w:rFonts w:hint="eastAsia"/>
                <w:color w:val="auto"/>
                <w:sz w:val="24"/>
                <w:lang w:val="en-US" w:eastAsia="zh-CN"/>
              </w:rPr>
              <w:t>卧</w:t>
            </w:r>
            <w:r>
              <w:rPr>
                <w:rFonts w:hint="eastAsia" w:ascii="Times New Roman" w:hAnsi="Times New Roman" w:eastAsia="宋体"/>
                <w:color w:val="auto"/>
                <w:sz w:val="24"/>
              </w:rPr>
              <w:t>式S</w:t>
            </w:r>
            <w:r>
              <w:rPr>
                <w:rFonts w:ascii="Times New Roman" w:hAnsi="Times New Roman" w:eastAsia="宋体"/>
                <w:color w:val="auto"/>
                <w:sz w:val="24"/>
              </w:rPr>
              <w:t>F</w:t>
            </w:r>
            <w:r>
              <w:rPr>
                <w:rFonts w:hint="eastAsia" w:ascii="Times New Roman" w:hAnsi="Times New Roman" w:eastAsia="宋体"/>
                <w:color w:val="auto"/>
                <w:sz w:val="24"/>
              </w:rPr>
              <w:t>双层油罐。每</w:t>
            </w:r>
            <w:r>
              <w:rPr>
                <w:rFonts w:hint="eastAsia"/>
                <w:color w:val="auto"/>
                <w:sz w:val="24"/>
                <w:lang w:val="en-US" w:eastAsia="zh-CN"/>
              </w:rPr>
              <w:t>座油</w:t>
            </w:r>
            <w:r>
              <w:rPr>
                <w:rFonts w:hint="eastAsia" w:ascii="Times New Roman" w:hAnsi="Times New Roman" w:eastAsia="宋体"/>
                <w:color w:val="auto"/>
                <w:sz w:val="24"/>
              </w:rPr>
              <w:t>罐设置油品渗漏在线监测系统</w:t>
            </w:r>
            <w:r>
              <w:rPr>
                <w:rFonts w:hint="eastAsia"/>
                <w:color w:val="auto"/>
                <w:sz w:val="24"/>
                <w:lang w:eastAsia="zh-CN"/>
              </w:rPr>
              <w:t>，</w:t>
            </w:r>
            <w:r>
              <w:rPr>
                <w:rFonts w:hint="eastAsia" w:ascii="Times New Roman" w:hAnsi="Times New Roman" w:eastAsia="宋体"/>
                <w:color w:val="auto"/>
                <w:sz w:val="24"/>
              </w:rPr>
              <w:t>按汽油各种标号设置，项目汽油和柴油均采用浸没式卸油方式，卸油管出</w:t>
            </w:r>
            <w:r>
              <w:rPr>
                <w:rFonts w:hint="eastAsia"/>
                <w:color w:val="auto"/>
                <w:sz w:val="24"/>
                <w:lang w:eastAsia="zh-CN"/>
              </w:rPr>
              <w:t>油</w:t>
            </w:r>
            <w:r>
              <w:rPr>
                <w:rFonts w:hint="eastAsia" w:ascii="Times New Roman" w:hAnsi="Times New Roman" w:eastAsia="宋体"/>
                <w:color w:val="auto"/>
                <w:sz w:val="24"/>
              </w:rPr>
              <w:t>口距罐底高度小于2</w:t>
            </w:r>
            <w:r>
              <w:rPr>
                <w:rFonts w:ascii="Times New Roman" w:hAnsi="Times New Roman" w:eastAsia="宋体"/>
                <w:color w:val="auto"/>
                <w:sz w:val="24"/>
              </w:rPr>
              <w:t>00</w:t>
            </w:r>
            <w:r>
              <w:rPr>
                <w:rFonts w:hint="eastAsia" w:ascii="Times New Roman" w:hAnsi="Times New Roman" w:eastAsia="宋体"/>
                <w:color w:val="auto"/>
                <w:sz w:val="24"/>
              </w:rPr>
              <w:t>mm，</w:t>
            </w:r>
            <w:r>
              <w:rPr>
                <w:rFonts w:hint="eastAsia" w:ascii="Times New Roman" w:hAnsi="Times New Roman" w:eastAsia="宋体"/>
                <w:color w:val="000000" w:themeColor="text1"/>
                <w:sz w:val="24"/>
                <w14:textFill>
                  <w14:solidFill>
                    <w14:schemeClr w14:val="tx1"/>
                  </w14:solidFill>
                </w14:textFill>
              </w:rPr>
              <w:t>油罐车用静电软管连接埋地</w:t>
            </w:r>
            <w:r>
              <w:rPr>
                <w:rFonts w:hint="eastAsia"/>
                <w:color w:val="000000" w:themeColor="text1"/>
                <w:sz w:val="24"/>
                <w:lang w:val="en-US" w:eastAsia="zh-CN"/>
                <w14:textFill>
                  <w14:solidFill>
                    <w14:schemeClr w14:val="tx1"/>
                  </w14:solidFill>
                </w14:textFill>
              </w:rPr>
              <w:t>油</w:t>
            </w:r>
            <w:r>
              <w:rPr>
                <w:rFonts w:hint="eastAsia" w:ascii="Times New Roman" w:hAnsi="Times New Roman" w:eastAsia="宋体"/>
                <w:color w:val="000000" w:themeColor="text1"/>
                <w:sz w:val="24"/>
                <w14:textFill>
                  <w14:solidFill>
                    <w14:schemeClr w14:val="tx1"/>
                  </w14:solidFill>
                </w14:textFill>
              </w:rPr>
              <w:t>罐卸油阀门，按大于</w:t>
            </w:r>
            <w:r>
              <w:rPr>
                <w:rFonts w:ascii="Times New Roman" w:hAnsi="Times New Roman" w:eastAsia="宋体"/>
                <w:color w:val="000000" w:themeColor="text1"/>
                <w:sz w:val="24"/>
                <w14:textFill>
                  <w14:solidFill>
                    <w14:schemeClr w14:val="tx1"/>
                  </w14:solidFill>
                </w14:textFill>
              </w:rPr>
              <w:t>2‰的坡度坡向油罐，采取单管分品种独立卸油方式，配备快速接头和卸油软管，利用位差，油</w:t>
            </w:r>
            <w:r>
              <w:rPr>
                <w:rFonts w:hint="eastAsia"/>
                <w:color w:val="000000" w:themeColor="text1"/>
                <w:sz w:val="24"/>
                <w:lang w:val="en-US" w:eastAsia="zh-CN"/>
                <w14:textFill>
                  <w14:solidFill>
                    <w14:schemeClr w14:val="tx1"/>
                  </w14:solidFill>
                </w14:textFill>
              </w:rPr>
              <w:t>品</w:t>
            </w:r>
            <w:r>
              <w:rPr>
                <w:rFonts w:ascii="Times New Roman" w:hAnsi="Times New Roman" w:eastAsia="宋体"/>
                <w:color w:val="000000" w:themeColor="text1"/>
                <w:sz w:val="24"/>
                <w14:textFill>
                  <w14:solidFill>
                    <w14:schemeClr w14:val="tx1"/>
                  </w14:solidFill>
                </w14:textFill>
              </w:rPr>
              <w:t>自流到地下</w:t>
            </w:r>
            <w:r>
              <w:rPr>
                <w:rFonts w:hint="eastAsia"/>
                <w:color w:val="000000" w:themeColor="text1"/>
                <w:sz w:val="24"/>
                <w:lang w:val="en-US" w:eastAsia="zh-CN"/>
                <w14:textFill>
                  <w14:solidFill>
                    <w14:schemeClr w14:val="tx1"/>
                  </w14:solidFill>
                </w14:textFill>
              </w:rPr>
              <w:t>油</w:t>
            </w:r>
            <w:r>
              <w:rPr>
                <w:rFonts w:ascii="Times New Roman" w:hAnsi="Times New Roman" w:eastAsia="宋体"/>
                <w:color w:val="000000" w:themeColor="text1"/>
                <w:sz w:val="24"/>
                <w14:textFill>
                  <w14:solidFill>
                    <w14:schemeClr w14:val="tx1"/>
                  </w14:solidFill>
                </w14:textFill>
              </w:rPr>
              <w:t>罐中。通气管道、油气回收管道以大于1%的坡度坡向油罐。</w:t>
            </w:r>
          </w:p>
          <w:p w14:paraId="315E51A1">
            <w:pPr>
              <w:pStyle w:val="54"/>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rFonts w:ascii="Times New Roman" w:hAnsi="Times New Roman" w:eastAsia="宋体"/>
                <w:color w:val="FF0000"/>
                <w:sz w:val="24"/>
              </w:rPr>
            </w:pPr>
            <w:r>
              <w:rPr>
                <w:rFonts w:hint="eastAsia"/>
                <w:color w:val="FF0000"/>
              </w:rPr>
              <w:t>油</w:t>
            </w:r>
            <w:r>
              <w:rPr>
                <w:rFonts w:hint="eastAsia"/>
                <w:color w:val="FF0000"/>
                <w:lang w:val="en-US" w:eastAsia="zh-CN"/>
              </w:rPr>
              <w:t>罐</w:t>
            </w:r>
            <w:r>
              <w:rPr>
                <w:rFonts w:hint="eastAsia"/>
                <w:color w:val="FF0000"/>
              </w:rPr>
              <w:t>车到达</w:t>
            </w:r>
            <w:r>
              <w:rPr>
                <w:rFonts w:hint="eastAsia"/>
                <w:color w:val="FF0000"/>
                <w:lang w:val="en-US" w:eastAsia="zh-CN"/>
              </w:rPr>
              <w:t>项目厂区卸油</w:t>
            </w:r>
            <w:r>
              <w:rPr>
                <w:rFonts w:hint="eastAsia"/>
                <w:color w:val="FF0000"/>
              </w:rPr>
              <w:t>区后，在</w:t>
            </w:r>
            <w:r>
              <w:rPr>
                <w:rFonts w:hint="eastAsia"/>
                <w:color w:val="FF0000"/>
                <w:lang w:val="en-US" w:eastAsia="zh-CN"/>
              </w:rPr>
              <w:t>卸油</w:t>
            </w:r>
            <w:r>
              <w:rPr>
                <w:rFonts w:hint="eastAsia"/>
                <w:color w:val="FF0000"/>
              </w:rPr>
              <w:t>区附近停稳熄火，先接好静电接地装置，待油罐车熄火并静止15min后，将连通软管与油罐车的卸油口、储</w:t>
            </w:r>
            <w:r>
              <w:rPr>
                <w:rFonts w:hint="eastAsia"/>
                <w:color w:val="FF0000"/>
                <w:lang w:val="en-US" w:eastAsia="zh-CN"/>
              </w:rPr>
              <w:t>油</w:t>
            </w:r>
            <w:r>
              <w:rPr>
                <w:rFonts w:hint="eastAsia"/>
                <w:color w:val="FF0000"/>
              </w:rPr>
              <w:t>罐的进油口利用密闭快速接头连接好，经计量后准备接卸。卸油前，核对</w:t>
            </w:r>
            <w:r>
              <w:rPr>
                <w:rFonts w:hint="eastAsia"/>
                <w:color w:val="FF0000"/>
                <w:lang w:val="en-US" w:eastAsia="zh-CN"/>
              </w:rPr>
              <w:t>油</w:t>
            </w:r>
            <w:r>
              <w:rPr>
                <w:rFonts w:hint="eastAsia"/>
                <w:color w:val="FF0000"/>
              </w:rPr>
              <w:t>罐车与</w:t>
            </w:r>
            <w:r>
              <w:rPr>
                <w:rFonts w:hint="eastAsia"/>
                <w:color w:val="FF0000"/>
                <w:lang w:val="en-US" w:eastAsia="zh-CN"/>
              </w:rPr>
              <w:t>储</w:t>
            </w:r>
            <w:r>
              <w:rPr>
                <w:rFonts w:hint="eastAsia"/>
                <w:color w:val="FF0000"/>
              </w:rPr>
              <w:t>油罐中油品的品名、牌号是否一致，各项准备工作检查无误后，开始自流卸油。油品卸完后，拆卸油罐车连接端头，并将卸油管抬高使管内油料流入</w:t>
            </w:r>
            <w:r>
              <w:rPr>
                <w:rFonts w:hint="eastAsia"/>
                <w:color w:val="FF0000"/>
                <w:lang w:val="en-US" w:eastAsia="zh-CN"/>
              </w:rPr>
              <w:t>储油</w:t>
            </w:r>
            <w:r>
              <w:rPr>
                <w:rFonts w:hint="eastAsia"/>
                <w:color w:val="FF0000"/>
              </w:rPr>
              <w:t>罐内并防止溅出，盖严</w:t>
            </w:r>
            <w:r>
              <w:rPr>
                <w:rFonts w:hint="eastAsia"/>
                <w:color w:val="FF0000"/>
                <w:lang w:val="en-US" w:eastAsia="zh-CN"/>
              </w:rPr>
              <w:t>储油</w:t>
            </w:r>
            <w:r>
              <w:rPr>
                <w:rFonts w:hint="eastAsia"/>
                <w:color w:val="FF0000"/>
              </w:rPr>
              <w:t>罐</w:t>
            </w:r>
            <w:r>
              <w:rPr>
                <w:rFonts w:hint="eastAsia"/>
                <w:color w:val="FF0000"/>
                <w:lang w:val="en-US" w:eastAsia="zh-CN"/>
              </w:rPr>
              <w:t>罐</w:t>
            </w:r>
            <w:r>
              <w:rPr>
                <w:rFonts w:hint="eastAsia"/>
                <w:color w:val="FF0000"/>
              </w:rPr>
              <w:t>口处的卸油帽，拆除静电接地装置，卸油完毕</w:t>
            </w:r>
            <w:r>
              <w:rPr>
                <w:rFonts w:hint="eastAsia"/>
                <w:color w:val="FF0000"/>
                <w:lang w:val="en-US" w:eastAsia="zh-CN"/>
              </w:rPr>
              <w:t>油</w:t>
            </w:r>
            <w:r>
              <w:rPr>
                <w:rFonts w:hint="eastAsia"/>
                <w:color w:val="FF0000"/>
              </w:rPr>
              <w:t>罐车静止15min后，发动油罐车缓慢驶离</w:t>
            </w:r>
            <w:r>
              <w:rPr>
                <w:rFonts w:hint="eastAsia"/>
                <w:color w:val="FF0000"/>
                <w:lang w:val="en-US" w:eastAsia="zh-CN"/>
              </w:rPr>
              <w:t>储罐</w:t>
            </w:r>
            <w:r>
              <w:rPr>
                <w:rFonts w:hint="eastAsia"/>
                <w:color w:val="FF0000"/>
              </w:rPr>
              <w:t>区。</w:t>
            </w:r>
          </w:p>
          <w:p w14:paraId="1C04DEC2">
            <w:pPr>
              <w:ind w:firstLine="480"/>
              <w:rPr>
                <w:rFonts w:hint="default" w:eastAsia="宋体"/>
                <w:lang w:val="en-US" w:eastAsia="zh-CN"/>
              </w:rPr>
            </w:pPr>
            <w:r>
              <w:rPr>
                <w:rFonts w:hint="eastAsia"/>
                <w:lang w:val="en-US" w:eastAsia="zh-CN"/>
              </w:rPr>
              <w:t>2）</w:t>
            </w:r>
            <w:r>
              <w:rPr>
                <w:rFonts w:hint="eastAsia"/>
              </w:rPr>
              <w:t>储油</w:t>
            </w:r>
            <w:r>
              <w:rPr>
                <w:rFonts w:hint="eastAsia"/>
                <w:lang w:eastAsia="zh-CN"/>
              </w:rPr>
              <w:t>：</w:t>
            </w:r>
            <w:r>
              <w:rPr>
                <w:rFonts w:hint="eastAsia" w:ascii="Times New Roman" w:hAnsi="Times New Roman" w:eastAsia="宋体"/>
                <w:color w:val="000000" w:themeColor="text1"/>
                <w:sz w:val="24"/>
                <w14:textFill>
                  <w14:solidFill>
                    <w14:schemeClr w14:val="tx1"/>
                  </w14:solidFill>
                </w14:textFill>
              </w:rPr>
              <w:t>油品在</w:t>
            </w:r>
            <w:r>
              <w:rPr>
                <w:rFonts w:hint="eastAsia"/>
                <w:color w:val="000000" w:themeColor="text1"/>
                <w:sz w:val="24"/>
                <w:lang w:val="en-US" w:eastAsia="zh-CN"/>
                <w14:textFill>
                  <w14:solidFill>
                    <w14:schemeClr w14:val="tx1"/>
                  </w14:solidFill>
                </w14:textFill>
              </w:rPr>
              <w:t>油</w:t>
            </w:r>
            <w:r>
              <w:rPr>
                <w:rFonts w:hint="eastAsia" w:ascii="Times New Roman" w:hAnsi="Times New Roman" w:eastAsia="宋体"/>
                <w:color w:val="000000" w:themeColor="text1"/>
                <w:sz w:val="24"/>
                <w14:textFill>
                  <w14:solidFill>
                    <w14:schemeClr w14:val="tx1"/>
                  </w14:solidFill>
                </w14:textFill>
              </w:rPr>
              <w:t>罐中常压</w:t>
            </w:r>
            <w:r>
              <w:rPr>
                <w:rFonts w:hint="eastAsia"/>
                <w:color w:val="auto"/>
                <w:sz w:val="24"/>
                <w:lang w:val="en-US" w:eastAsia="zh-CN"/>
              </w:rPr>
              <w:t>贮</w:t>
            </w:r>
            <w:r>
              <w:rPr>
                <w:rFonts w:hint="eastAsia" w:ascii="Times New Roman" w:hAnsi="Times New Roman" w:eastAsia="宋体"/>
                <w:color w:val="000000" w:themeColor="text1"/>
                <w:sz w:val="24"/>
                <w14:textFill>
                  <w14:solidFill>
                    <w14:schemeClr w14:val="tx1"/>
                  </w14:solidFill>
                </w14:textFill>
              </w:rPr>
              <w:t>存。项目地埋卧式SF双层油罐进行清洗、防腐处理后设置，并考虑油罐在地下水位以下时采取防止油罐上浮的抗浮措施。直埋地下油罐的外表面进行防腐处理后采用回填不少于</w:t>
            </w:r>
            <w:r>
              <w:rPr>
                <w:rFonts w:ascii="Times New Roman" w:hAnsi="Times New Roman" w:eastAsia="宋体"/>
                <w:color w:val="000000" w:themeColor="text1"/>
                <w:sz w:val="24"/>
                <w14:textFill>
                  <w14:solidFill>
                    <w14:schemeClr w14:val="tx1"/>
                  </w14:solidFill>
                </w14:textFill>
              </w:rPr>
              <w:t>0.3m级配砂石保护层保护卸油罐向下延伸至罐内距罐底0.2m处，设置通气管，</w:t>
            </w:r>
            <w:r>
              <w:rPr>
                <w:rFonts w:hint="eastAsia" w:ascii="Times New Roman" w:hAnsi="Times New Roman" w:eastAsia="宋体"/>
                <w:color w:val="auto"/>
                <w:sz w:val="24"/>
              </w:rPr>
              <w:t>项目汽油罐和柴油罐的通气管分开设置，</w:t>
            </w:r>
            <w:r>
              <w:rPr>
                <w:rFonts w:ascii="Times New Roman" w:hAnsi="Times New Roman" w:eastAsia="宋体"/>
                <w:color w:val="auto"/>
                <w:sz w:val="24"/>
              </w:rPr>
              <w:t>管口高出地面4m</w:t>
            </w:r>
            <w:r>
              <w:rPr>
                <w:rFonts w:hint="eastAsia"/>
                <w:color w:val="auto"/>
                <w:sz w:val="24"/>
                <w:lang w:val="en-US" w:eastAsia="zh-CN"/>
              </w:rPr>
              <w:t>以上</w:t>
            </w:r>
            <w:r>
              <w:rPr>
                <w:rFonts w:hint="eastAsia" w:ascii="Times New Roman" w:hAnsi="Times New Roman" w:eastAsia="宋体"/>
                <w:color w:val="auto"/>
                <w:sz w:val="24"/>
              </w:rPr>
              <w:t>，通气管的公称直径为5</w:t>
            </w:r>
            <w:r>
              <w:rPr>
                <w:rFonts w:ascii="Times New Roman" w:hAnsi="Times New Roman" w:eastAsia="宋体"/>
                <w:color w:val="auto"/>
                <w:sz w:val="24"/>
              </w:rPr>
              <w:t>0</w:t>
            </w:r>
            <w:r>
              <w:rPr>
                <w:rFonts w:hint="eastAsia" w:ascii="Times New Roman" w:hAnsi="Times New Roman" w:eastAsia="宋体"/>
                <w:color w:val="auto"/>
                <w:sz w:val="24"/>
              </w:rPr>
              <w:t>mm，</w:t>
            </w:r>
            <w:r>
              <w:rPr>
                <w:rFonts w:ascii="Times New Roman" w:hAnsi="Times New Roman" w:eastAsia="宋体"/>
                <w:color w:val="auto"/>
                <w:sz w:val="24"/>
              </w:rPr>
              <w:t>通气管</w:t>
            </w:r>
            <w:r>
              <w:rPr>
                <w:rFonts w:hint="eastAsia" w:ascii="Times New Roman" w:hAnsi="Times New Roman" w:eastAsia="宋体"/>
                <w:color w:val="auto"/>
                <w:sz w:val="24"/>
              </w:rPr>
              <w:t>管口</w:t>
            </w:r>
            <w:r>
              <w:rPr>
                <w:rFonts w:ascii="Times New Roman" w:hAnsi="Times New Roman" w:eastAsia="宋体"/>
                <w:color w:val="auto"/>
                <w:sz w:val="24"/>
              </w:rPr>
              <w:t>设阻火器和机械呼吸阀，</w:t>
            </w:r>
            <w:r>
              <w:rPr>
                <w:rFonts w:hint="eastAsia" w:ascii="Times New Roman" w:hAnsi="Times New Roman" w:eastAsia="宋体"/>
                <w:color w:val="auto"/>
                <w:sz w:val="24"/>
              </w:rPr>
              <w:t>呼吸阀的工作正压为2k</w:t>
            </w:r>
            <w:r>
              <w:rPr>
                <w:rFonts w:ascii="Times New Roman" w:hAnsi="Times New Roman" w:eastAsia="宋体"/>
                <w:color w:val="auto"/>
                <w:sz w:val="24"/>
              </w:rPr>
              <w:t>Pa~3</w:t>
            </w:r>
            <w:r>
              <w:rPr>
                <w:rFonts w:hint="eastAsia" w:ascii="Times New Roman" w:hAnsi="Times New Roman" w:eastAsia="宋体"/>
                <w:color w:val="auto"/>
                <w:sz w:val="24"/>
              </w:rPr>
              <w:t>k</w:t>
            </w:r>
            <w:r>
              <w:rPr>
                <w:rFonts w:ascii="Times New Roman" w:hAnsi="Times New Roman" w:eastAsia="宋体"/>
                <w:color w:val="auto"/>
                <w:sz w:val="24"/>
              </w:rPr>
              <w:t>Pa</w:t>
            </w:r>
            <w:r>
              <w:rPr>
                <w:rFonts w:hint="eastAsia" w:ascii="Times New Roman" w:hAnsi="Times New Roman" w:eastAsia="宋体"/>
                <w:color w:val="auto"/>
                <w:sz w:val="24"/>
              </w:rPr>
              <w:t>，工作负压为</w:t>
            </w:r>
            <w:r>
              <w:rPr>
                <w:rFonts w:ascii="Times New Roman" w:hAnsi="Times New Roman" w:eastAsia="宋体"/>
                <w:color w:val="auto"/>
                <w:sz w:val="24"/>
              </w:rPr>
              <w:t>1.5</w:t>
            </w:r>
            <w:r>
              <w:rPr>
                <w:rFonts w:hint="eastAsia" w:ascii="Times New Roman" w:hAnsi="Times New Roman" w:eastAsia="宋体"/>
                <w:color w:val="auto"/>
                <w:sz w:val="24"/>
              </w:rPr>
              <w:t>k</w:t>
            </w:r>
            <w:r>
              <w:rPr>
                <w:rFonts w:ascii="Times New Roman" w:hAnsi="Times New Roman" w:eastAsia="宋体"/>
                <w:color w:val="auto"/>
                <w:sz w:val="24"/>
              </w:rPr>
              <w:t>Pa~2</w:t>
            </w:r>
            <w:r>
              <w:rPr>
                <w:rFonts w:hint="eastAsia" w:ascii="Times New Roman" w:hAnsi="Times New Roman" w:eastAsia="宋体"/>
                <w:color w:val="auto"/>
                <w:sz w:val="24"/>
              </w:rPr>
              <w:t>k</w:t>
            </w:r>
            <w:r>
              <w:rPr>
                <w:rFonts w:ascii="Times New Roman" w:hAnsi="Times New Roman" w:eastAsia="宋体"/>
                <w:color w:val="auto"/>
                <w:sz w:val="24"/>
              </w:rPr>
              <w:t>Pa</w:t>
            </w:r>
            <w:r>
              <w:rPr>
                <w:rFonts w:hint="eastAsia" w:ascii="Times New Roman" w:hAnsi="Times New Roman" w:eastAsia="宋体"/>
                <w:color w:val="auto"/>
                <w:sz w:val="24"/>
              </w:rPr>
              <w:t>。</w:t>
            </w:r>
          </w:p>
          <w:p w14:paraId="4E0EF7EC">
            <w:pPr>
              <w:spacing w:line="360"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lang w:val="en-US" w:eastAsia="zh-CN"/>
              </w:rPr>
              <w:t>3）</w:t>
            </w:r>
            <w:r>
              <w:rPr>
                <w:rFonts w:hint="eastAsia"/>
              </w:rPr>
              <w:t>加油</w:t>
            </w:r>
            <w:r>
              <w:rPr>
                <w:rFonts w:hint="eastAsia"/>
                <w:lang w:eastAsia="zh-CN"/>
              </w:rPr>
              <w:t>：</w:t>
            </w:r>
            <w:r>
              <w:rPr>
                <w:rFonts w:hint="eastAsia" w:ascii="Times New Roman" w:hAnsi="Times New Roman" w:eastAsia="宋体"/>
                <w:color w:val="000000" w:themeColor="text1"/>
                <w:sz w:val="24"/>
                <w14:textFill>
                  <w14:solidFill>
                    <w14:schemeClr w14:val="tx1"/>
                  </w14:solidFill>
                </w14:textFill>
              </w:rPr>
              <w:t>加油站的加油机均为潜油泵式税控加油机。工作人员根据顾客需要的品种和数量在加油机上预置，确认无误后提枪加油。提枪加油时，控制系统启动安装在油罐入孔上的潜油泵将油品经加油枪向汽车油箱加油，加油完毕后收枪复位控制系统终止潜油泵运行。</w:t>
            </w:r>
          </w:p>
          <w:p w14:paraId="70E6C92D">
            <w:pPr>
              <w:pStyle w:val="54"/>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pPr>
            <w:r>
              <w:rPr>
                <w:rFonts w:hint="eastAsia" w:ascii="Times New Roman" w:hAnsi="Times New Roman" w:eastAsia="宋体"/>
                <w:color w:val="000000" w:themeColor="text1"/>
                <w:sz w:val="24"/>
                <w14:textFill>
                  <w14:solidFill>
                    <w14:schemeClr w14:val="tx1"/>
                  </w14:solidFill>
                </w14:textFill>
              </w:rPr>
              <w:t>加油机内部中央部位安装加油油气回收管道，汽油罐的入孔盖上安装的真空泵将该管道内的油蒸汽抽到汽油</w:t>
            </w:r>
            <w:r>
              <w:rPr>
                <w:rFonts w:hint="eastAsia"/>
                <w:color w:val="000000" w:themeColor="text1"/>
                <w:sz w:val="24"/>
                <w:lang w:eastAsia="zh-CN"/>
                <w14:textFill>
                  <w14:solidFill>
                    <w14:schemeClr w14:val="tx1"/>
                  </w14:solidFill>
                </w14:textFill>
              </w:rPr>
              <w:t>罐</w:t>
            </w:r>
            <w:r>
              <w:rPr>
                <w:rFonts w:hint="eastAsia" w:ascii="Times New Roman" w:hAnsi="Times New Roman" w:eastAsia="宋体"/>
                <w:color w:val="000000" w:themeColor="text1"/>
                <w:sz w:val="24"/>
                <w14:textFill>
                  <w14:solidFill>
                    <w14:schemeClr w14:val="tx1"/>
                  </w14:solidFill>
                </w14:textFill>
              </w:rPr>
              <w:t>内。</w:t>
            </w:r>
          </w:p>
          <w:p w14:paraId="382A1FBB">
            <w:pPr>
              <w:spacing w:line="360" w:lineRule="auto"/>
              <w:ind w:firstLine="480" w:firstLineChars="200"/>
              <w:rPr>
                <w:rFonts w:ascii="Times New Roman" w:hAnsi="Times New Roman" w:eastAsia="宋体"/>
                <w:color w:val="auto"/>
                <w:sz w:val="24"/>
              </w:rPr>
            </w:pPr>
            <w:r>
              <w:rPr>
                <w:rFonts w:hint="eastAsia"/>
                <w:lang w:val="en-US" w:eastAsia="zh-CN"/>
              </w:rPr>
              <w:t>4）油气回收系统回收流程</w:t>
            </w:r>
            <w:r>
              <w:rPr>
                <w:rFonts w:hint="eastAsia"/>
                <w:lang w:eastAsia="zh-CN"/>
              </w:rPr>
              <w:t>：</w:t>
            </w:r>
            <w:r>
              <w:rPr>
                <w:rFonts w:hint="eastAsia" w:ascii="Times New Roman" w:hAnsi="Times New Roman" w:eastAsia="宋体"/>
                <w:color w:val="auto"/>
                <w:sz w:val="24"/>
              </w:rPr>
              <w:t>根据《加油站大气污染物排放标准》（G</w:t>
            </w:r>
            <w:r>
              <w:rPr>
                <w:rFonts w:ascii="Times New Roman" w:hAnsi="Times New Roman" w:eastAsia="宋体"/>
                <w:color w:val="auto"/>
                <w:sz w:val="24"/>
              </w:rPr>
              <w:t>B20952-2020</w:t>
            </w:r>
            <w:r>
              <w:rPr>
                <w:rFonts w:hint="eastAsia" w:ascii="Times New Roman" w:hAnsi="Times New Roman" w:eastAsia="宋体"/>
                <w:color w:val="auto"/>
                <w:sz w:val="24"/>
              </w:rPr>
              <w:t>），卸油油气回收系统是将油品运输</w:t>
            </w:r>
            <w:r>
              <w:rPr>
                <w:rFonts w:hint="eastAsia"/>
                <w:color w:val="auto"/>
                <w:sz w:val="24"/>
                <w:lang w:val="en-US" w:eastAsia="zh-CN"/>
              </w:rPr>
              <w:t>油</w:t>
            </w:r>
            <w:r>
              <w:rPr>
                <w:rFonts w:hint="eastAsia" w:ascii="Times New Roman" w:hAnsi="Times New Roman" w:eastAsia="宋体"/>
                <w:color w:val="auto"/>
                <w:sz w:val="24"/>
              </w:rPr>
              <w:t>罐车卸汽油时产生的油气，通过密闭方式收集进入油品运输</w:t>
            </w:r>
            <w:r>
              <w:rPr>
                <w:rFonts w:hint="eastAsia"/>
                <w:color w:val="auto"/>
                <w:sz w:val="24"/>
                <w:lang w:val="en-US" w:eastAsia="zh-CN"/>
              </w:rPr>
              <w:t>油</w:t>
            </w:r>
            <w:r>
              <w:rPr>
                <w:rFonts w:hint="eastAsia" w:ascii="Times New Roman" w:hAnsi="Times New Roman" w:eastAsia="宋体"/>
                <w:color w:val="auto"/>
                <w:sz w:val="24"/>
              </w:rPr>
              <w:t>罐车罐内的系统；加油油气回收系统是将给汽车油箱加汽油时产生的油气，通过密闭方式收集进入埋地油罐的系统。油气处理装置是针对油气回收系统收集的油气通过采用吸附、吸收、冷凝、膜分离等方法对油气进行回收处理的装置。由于《加油站大气污染物排放标准》（G</w:t>
            </w:r>
            <w:r>
              <w:rPr>
                <w:rFonts w:ascii="Times New Roman" w:hAnsi="Times New Roman" w:eastAsia="宋体"/>
                <w:color w:val="auto"/>
                <w:sz w:val="24"/>
              </w:rPr>
              <w:t>B20952-2020</w:t>
            </w:r>
            <w:r>
              <w:rPr>
                <w:rFonts w:hint="eastAsia" w:ascii="Times New Roman" w:hAnsi="Times New Roman" w:eastAsia="宋体"/>
                <w:color w:val="auto"/>
                <w:sz w:val="24"/>
              </w:rPr>
              <w:t>），未对柴油卸油、加油回收</w:t>
            </w:r>
            <w:r>
              <w:rPr>
                <w:rFonts w:hint="eastAsia"/>
                <w:color w:val="auto"/>
                <w:sz w:val="24"/>
                <w:lang w:eastAsia="zh-CN"/>
              </w:rPr>
              <w:t>作</w:t>
            </w:r>
            <w:r>
              <w:rPr>
                <w:rFonts w:hint="eastAsia" w:ascii="Times New Roman" w:hAnsi="Times New Roman" w:eastAsia="宋体"/>
                <w:color w:val="auto"/>
                <w:sz w:val="24"/>
              </w:rPr>
              <w:t>要求，</w:t>
            </w:r>
            <w:r>
              <w:rPr>
                <w:rFonts w:hint="eastAsia"/>
                <w:color w:val="FF0000"/>
                <w:sz w:val="24"/>
                <w:lang w:val="en-US" w:eastAsia="zh-CN"/>
              </w:rPr>
              <w:t>因此，</w:t>
            </w:r>
            <w:r>
              <w:rPr>
                <w:rFonts w:hint="eastAsia" w:ascii="Times New Roman" w:hAnsi="Times New Roman" w:eastAsia="宋体"/>
                <w:color w:val="FF0000"/>
                <w:sz w:val="24"/>
              </w:rPr>
              <w:t>项目仅设置汽油卸油、加油油气回收系统。</w:t>
            </w:r>
          </w:p>
          <w:p w14:paraId="61B25C8A">
            <w:pPr>
              <w:ind w:firstLine="480"/>
              <w:rPr>
                <w:rFonts w:hint="eastAsia" w:ascii="Times New Roman" w:hAnsi="Times New Roman" w:eastAsia="宋体"/>
                <w:color w:val="auto"/>
                <w:sz w:val="24"/>
              </w:rPr>
            </w:pPr>
            <w:r>
              <w:rPr>
                <w:rFonts w:hint="eastAsia" w:ascii="Times New Roman" w:hAnsi="Times New Roman" w:eastAsia="宋体"/>
                <w:color w:val="auto"/>
                <w:sz w:val="24"/>
              </w:rPr>
              <w:t>根据《加油站大气污染物排放标准》（G</w:t>
            </w:r>
            <w:r>
              <w:rPr>
                <w:rFonts w:ascii="Times New Roman" w:hAnsi="Times New Roman" w:eastAsia="宋体"/>
                <w:color w:val="auto"/>
                <w:sz w:val="24"/>
              </w:rPr>
              <w:t>B20952-2020</w:t>
            </w:r>
            <w:r>
              <w:rPr>
                <w:rFonts w:hint="eastAsia" w:ascii="Times New Roman" w:hAnsi="Times New Roman" w:eastAsia="宋体"/>
                <w:color w:val="auto"/>
                <w:sz w:val="24"/>
              </w:rPr>
              <w:t>），“省级生态环境主管部门根据加油站规模、年汽油销售量、加油站对周边环境影响、加油站挥发性有机物控制要求自行确定油气处理装置的安装范围”。根据《重点行业挥发性有机物综合治理方案》（环大气</w:t>
            </w:r>
            <w:r>
              <w:rPr>
                <w:rFonts w:hint="eastAsia" w:ascii="Times New Roman" w:hAnsi="Times New Roman" w:eastAsia="宋体"/>
                <w:color w:val="auto"/>
                <w:sz w:val="24"/>
                <w:lang w:eastAsia="zh-CN"/>
              </w:rPr>
              <w:t>〔</w:t>
            </w:r>
            <w:r>
              <w:rPr>
                <w:rFonts w:ascii="Times New Roman" w:hAnsi="Times New Roman" w:eastAsia="宋体"/>
                <w:color w:val="auto"/>
                <w:sz w:val="24"/>
              </w:rPr>
              <w:t>2019</w:t>
            </w:r>
            <w:r>
              <w:rPr>
                <w:rFonts w:hint="eastAsia" w:ascii="Times New Roman" w:hAnsi="Times New Roman" w:eastAsia="宋体"/>
                <w:color w:val="auto"/>
                <w:sz w:val="24"/>
                <w:lang w:eastAsia="zh-CN"/>
              </w:rPr>
              <w:t>〕</w:t>
            </w:r>
            <w:r>
              <w:rPr>
                <w:rFonts w:ascii="Times New Roman" w:hAnsi="Times New Roman" w:eastAsia="宋体"/>
                <w:color w:val="auto"/>
                <w:sz w:val="24"/>
              </w:rPr>
              <w:t>53</w:t>
            </w:r>
            <w:r>
              <w:rPr>
                <w:rFonts w:hint="eastAsia" w:ascii="Times New Roman" w:hAnsi="Times New Roman" w:eastAsia="宋体"/>
                <w:color w:val="auto"/>
                <w:sz w:val="24"/>
              </w:rPr>
              <w:t>号），“重点区域加快推进年销售汽油量大于</w:t>
            </w:r>
            <w:r>
              <w:rPr>
                <w:rFonts w:ascii="Times New Roman" w:hAnsi="Times New Roman" w:eastAsia="宋体"/>
                <w:color w:val="auto"/>
                <w:sz w:val="24"/>
              </w:rPr>
              <w:t>5000吨的加油站安装油气回收自动监控设备，并与生态环境部门联网</w:t>
            </w:r>
            <w:r>
              <w:rPr>
                <w:rFonts w:hint="eastAsia" w:ascii="Times New Roman" w:hAnsi="Times New Roman" w:eastAsia="宋体"/>
                <w:color w:val="auto"/>
                <w:sz w:val="24"/>
              </w:rPr>
              <w:t>”。根据《江西省储油库、加油站和油罐车油气回收综合治理工作方案》，“新建储油库、加油站和新购置的油罐车，必须配备油气回收设施并符合三项强制性排放标准规定”，仅要求配备油气回收设施，未对油气处理装置进行要求。本项目年销售9</w:t>
            </w:r>
            <w:r>
              <w:rPr>
                <w:rFonts w:ascii="Times New Roman" w:hAnsi="Times New Roman" w:eastAsia="宋体"/>
                <w:color w:val="auto"/>
                <w:sz w:val="24"/>
              </w:rPr>
              <w:t>2#</w:t>
            </w:r>
            <w:r>
              <w:rPr>
                <w:rFonts w:hint="eastAsia" w:ascii="Times New Roman" w:hAnsi="Times New Roman" w:eastAsia="宋体"/>
                <w:color w:val="auto"/>
                <w:sz w:val="24"/>
              </w:rPr>
              <w:t>汽油</w:t>
            </w:r>
            <w:r>
              <w:rPr>
                <w:rFonts w:hint="eastAsia"/>
                <w:color w:val="auto"/>
                <w:sz w:val="24"/>
                <w:lang w:val="en-US" w:eastAsia="zh-CN"/>
              </w:rPr>
              <w:t>734.4</w:t>
            </w:r>
            <w:r>
              <w:rPr>
                <w:rFonts w:hint="eastAsia" w:ascii="Times New Roman" w:hAnsi="Times New Roman" w:eastAsia="宋体"/>
                <w:color w:val="auto"/>
                <w:sz w:val="24"/>
              </w:rPr>
              <w:t>t</w:t>
            </w:r>
            <w:r>
              <w:rPr>
                <w:rFonts w:ascii="Times New Roman" w:hAnsi="Times New Roman" w:eastAsia="宋体"/>
                <w:color w:val="auto"/>
                <w:sz w:val="24"/>
              </w:rPr>
              <w:t>/a</w:t>
            </w:r>
            <w:r>
              <w:rPr>
                <w:rFonts w:hint="eastAsia" w:ascii="Times New Roman" w:hAnsi="Times New Roman" w:eastAsia="宋体"/>
                <w:color w:val="auto"/>
                <w:sz w:val="24"/>
              </w:rPr>
              <w:t>、9</w:t>
            </w:r>
            <w:r>
              <w:rPr>
                <w:rFonts w:ascii="Times New Roman" w:hAnsi="Times New Roman" w:eastAsia="宋体"/>
                <w:color w:val="auto"/>
                <w:sz w:val="24"/>
              </w:rPr>
              <w:t>5#</w:t>
            </w:r>
            <w:r>
              <w:rPr>
                <w:rFonts w:hint="eastAsia" w:ascii="Times New Roman" w:hAnsi="Times New Roman" w:eastAsia="宋体"/>
                <w:color w:val="auto"/>
                <w:sz w:val="24"/>
              </w:rPr>
              <w:t>汽油</w:t>
            </w:r>
            <w:r>
              <w:rPr>
                <w:rFonts w:hint="eastAsia"/>
                <w:color w:val="auto"/>
                <w:sz w:val="24"/>
                <w:lang w:val="en-US" w:eastAsia="zh-CN"/>
              </w:rPr>
              <w:t>765</w:t>
            </w:r>
            <w:r>
              <w:rPr>
                <w:rFonts w:hint="eastAsia" w:ascii="Times New Roman" w:hAnsi="Times New Roman" w:eastAsia="宋体"/>
                <w:color w:val="auto"/>
                <w:sz w:val="24"/>
              </w:rPr>
              <w:t>t</w:t>
            </w:r>
            <w:r>
              <w:rPr>
                <w:rFonts w:ascii="Times New Roman" w:hAnsi="Times New Roman" w:eastAsia="宋体"/>
                <w:color w:val="auto"/>
                <w:sz w:val="24"/>
              </w:rPr>
              <w:t>/a</w:t>
            </w:r>
            <w:r>
              <w:rPr>
                <w:rFonts w:hint="eastAsia" w:ascii="Times New Roman" w:hAnsi="Times New Roman" w:eastAsia="宋体"/>
                <w:color w:val="auto"/>
                <w:sz w:val="24"/>
              </w:rPr>
              <w:t>，汽油年销售量未超过5</w:t>
            </w:r>
            <w:r>
              <w:rPr>
                <w:rFonts w:ascii="Times New Roman" w:hAnsi="Times New Roman" w:eastAsia="宋体"/>
                <w:color w:val="auto"/>
                <w:sz w:val="24"/>
              </w:rPr>
              <w:t>000</w:t>
            </w:r>
            <w:r>
              <w:rPr>
                <w:rFonts w:hint="eastAsia" w:ascii="Times New Roman" w:hAnsi="Times New Roman" w:eastAsia="宋体"/>
                <w:color w:val="auto"/>
                <w:sz w:val="24"/>
              </w:rPr>
              <w:t>t</w:t>
            </w:r>
            <w:r>
              <w:rPr>
                <w:rFonts w:ascii="Times New Roman" w:hAnsi="Times New Roman" w:eastAsia="宋体"/>
                <w:color w:val="auto"/>
                <w:sz w:val="24"/>
              </w:rPr>
              <w:t>/a</w:t>
            </w:r>
            <w:r>
              <w:rPr>
                <w:rFonts w:hint="eastAsia" w:ascii="Times New Roman" w:hAnsi="Times New Roman" w:eastAsia="宋体"/>
                <w:color w:val="auto"/>
                <w:sz w:val="24"/>
              </w:rPr>
              <w:t>，因</w:t>
            </w:r>
            <w:r>
              <w:rPr>
                <w:rFonts w:hint="eastAsia"/>
                <w:color w:val="auto"/>
                <w:sz w:val="24"/>
                <w:lang w:val="en-US" w:eastAsia="zh-CN"/>
              </w:rPr>
              <w:t>此，</w:t>
            </w:r>
            <w:r>
              <w:rPr>
                <w:rFonts w:hint="eastAsia" w:ascii="Times New Roman" w:hAnsi="Times New Roman" w:eastAsia="宋体"/>
                <w:color w:val="auto"/>
                <w:sz w:val="24"/>
              </w:rPr>
              <w:t>项目仅设置汽油卸油、加油油气回收系统，预留油气处理装置管线，每</w:t>
            </w:r>
            <w:r>
              <w:rPr>
                <w:rFonts w:hint="eastAsia"/>
                <w:color w:val="auto"/>
                <w:sz w:val="24"/>
                <w:lang w:val="en-US" w:eastAsia="zh-CN"/>
              </w:rPr>
              <w:t>座</w:t>
            </w:r>
            <w:r>
              <w:rPr>
                <w:rFonts w:hint="eastAsia" w:ascii="Times New Roman" w:hAnsi="Times New Roman" w:eastAsia="宋体"/>
                <w:color w:val="auto"/>
                <w:sz w:val="24"/>
              </w:rPr>
              <w:t>油罐设置油品渗漏在线监测系统。</w:t>
            </w:r>
          </w:p>
          <w:p w14:paraId="7D3CABC0">
            <w:pPr>
              <w:spacing w:line="360"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b w:val="0"/>
                <w:bCs w:val="0"/>
                <w:color w:val="000000" w:themeColor="text1"/>
                <w:sz w:val="24"/>
                <w14:textFill>
                  <w14:solidFill>
                    <w14:schemeClr w14:val="tx1"/>
                  </w14:solidFill>
                </w14:textFill>
              </w:rPr>
              <w:t>卸油油气回收系统：</w:t>
            </w:r>
            <w:r>
              <w:rPr>
                <w:rFonts w:hint="eastAsia" w:ascii="Times New Roman" w:hAnsi="Times New Roman" w:eastAsia="宋体"/>
                <w:color w:val="000000" w:themeColor="text1"/>
                <w:sz w:val="24"/>
                <w14:textFill>
                  <w14:solidFill>
                    <w14:schemeClr w14:val="tx1"/>
                  </w14:solidFill>
                </w14:textFill>
              </w:rPr>
              <w:t>埋地油罐的气相空间与</w:t>
            </w:r>
            <w:r>
              <w:rPr>
                <w:rFonts w:hint="eastAsia"/>
                <w:color w:val="000000" w:themeColor="text1"/>
                <w:sz w:val="24"/>
                <w:lang w:val="en-US" w:eastAsia="zh-CN"/>
                <w14:textFill>
                  <w14:solidFill>
                    <w14:schemeClr w14:val="tx1"/>
                  </w14:solidFill>
                </w14:textFill>
              </w:rPr>
              <w:t>油罐</w:t>
            </w:r>
            <w:r>
              <w:rPr>
                <w:rFonts w:hint="eastAsia" w:ascii="Times New Roman" w:hAnsi="Times New Roman" w:eastAsia="宋体"/>
                <w:color w:val="000000" w:themeColor="text1"/>
                <w:sz w:val="24"/>
                <w14:textFill>
                  <w14:solidFill>
                    <w14:schemeClr w14:val="tx1"/>
                  </w14:solidFill>
                </w14:textFill>
              </w:rPr>
              <w:t>车的气相空间通过卸油点的油气回收气相工艺管线及气相软管连通，在卸油过程将汽油储罐中的油气回收到油罐车内。本</w:t>
            </w:r>
            <w:r>
              <w:rPr>
                <w:rFonts w:hint="eastAsia"/>
                <w:color w:val="000000" w:themeColor="text1"/>
                <w:sz w:val="24"/>
                <w:lang w:val="en-US" w:eastAsia="zh-CN"/>
                <w14:textFill>
                  <w14:solidFill>
                    <w14:schemeClr w14:val="tx1"/>
                  </w14:solidFill>
                </w14:textFill>
              </w:rPr>
              <w:t>项目</w:t>
            </w:r>
            <w:r>
              <w:rPr>
                <w:rFonts w:hint="eastAsia" w:ascii="Times New Roman" w:hAnsi="Times New Roman" w:eastAsia="宋体"/>
                <w:color w:val="000000" w:themeColor="text1"/>
                <w:sz w:val="24"/>
                <w14:textFill>
                  <w14:solidFill>
                    <w14:schemeClr w14:val="tx1"/>
                  </w14:solidFill>
                </w14:textFill>
              </w:rPr>
              <w:t>在密闭卸油点处设立了油气回收专用接头，当采用卸油油气回收时，通过导静电耐油软管将密闭卸油点处的油气回收接头与油罐车上的油气回收管道相连，当油罐内液面上升时，液面之上的油气在压力作用下流入油罐车内</w:t>
            </w:r>
            <w:r>
              <w:rPr>
                <w:rFonts w:hint="eastAsia"/>
                <w:color w:val="000000" w:themeColor="text1"/>
                <w:sz w:val="24"/>
                <w:lang w:eastAsia="zh-CN"/>
                <w14:textFill>
                  <w14:solidFill>
                    <w14:schemeClr w14:val="tx1"/>
                  </w14:solidFill>
                </w14:textFill>
              </w:rPr>
              <w:t>，</w:t>
            </w:r>
            <w:r>
              <w:rPr>
                <w:rFonts w:hint="eastAsia" w:ascii="Times New Roman" w:hAnsi="Times New Roman" w:eastAsia="宋体"/>
                <w:color w:val="000000" w:themeColor="text1"/>
                <w:sz w:val="24"/>
                <w14:textFill>
                  <w14:solidFill>
                    <w14:schemeClr w14:val="tx1"/>
                  </w14:solidFill>
                </w14:textFill>
              </w:rPr>
              <w:t>可以达到回收等体积的油气的效果。</w:t>
            </w:r>
          </w:p>
          <w:p w14:paraId="416A90C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auto"/>
                <w:sz w:val="24"/>
              </w:rPr>
              <w:t>根据《汽车加油加气加氢站技术标准》（G</w:t>
            </w:r>
            <w:r>
              <w:rPr>
                <w:rFonts w:ascii="Times New Roman" w:hAnsi="Times New Roman" w:eastAsia="宋体"/>
                <w:color w:val="auto"/>
                <w:sz w:val="24"/>
              </w:rPr>
              <w:t>B50156-2021</w:t>
            </w:r>
            <w:r>
              <w:rPr>
                <w:rFonts w:hint="eastAsia" w:ascii="Times New Roman" w:hAnsi="Times New Roman" w:eastAsia="宋体"/>
                <w:color w:val="auto"/>
                <w:sz w:val="24"/>
              </w:rPr>
              <w:t>）要求，每</w:t>
            </w:r>
            <w:r>
              <w:rPr>
                <w:rFonts w:hint="eastAsia"/>
                <w:color w:val="auto"/>
                <w:sz w:val="24"/>
                <w:lang w:val="en-US" w:eastAsia="zh-CN"/>
              </w:rPr>
              <w:t>座</w:t>
            </w:r>
            <w:r>
              <w:rPr>
                <w:rFonts w:hint="eastAsia" w:ascii="Times New Roman" w:hAnsi="Times New Roman" w:eastAsia="宋体"/>
                <w:color w:val="auto"/>
                <w:sz w:val="24"/>
              </w:rPr>
              <w:t>油罐设置有高液位报警功能的液位监测系统，油罐卸油采取防满溢措施，油</w:t>
            </w:r>
            <w:r>
              <w:rPr>
                <w:rFonts w:hint="eastAsia"/>
                <w:color w:val="auto"/>
                <w:sz w:val="24"/>
                <w:lang w:val="en-US" w:eastAsia="zh-CN"/>
              </w:rPr>
              <w:t>品</w:t>
            </w:r>
            <w:r>
              <w:rPr>
                <w:rFonts w:hint="eastAsia" w:ascii="Times New Roman" w:hAnsi="Times New Roman" w:eastAsia="宋体"/>
                <w:color w:val="auto"/>
                <w:sz w:val="24"/>
              </w:rPr>
              <w:t>达到油罐容量的9</w:t>
            </w:r>
            <w:r>
              <w:rPr>
                <w:rFonts w:ascii="Times New Roman" w:hAnsi="Times New Roman" w:eastAsia="宋体"/>
                <w:color w:val="auto"/>
                <w:sz w:val="24"/>
              </w:rPr>
              <w:t>0%</w:t>
            </w:r>
            <w:r>
              <w:rPr>
                <w:rFonts w:hint="eastAsia" w:ascii="Times New Roman" w:hAnsi="Times New Roman" w:eastAsia="宋体"/>
                <w:color w:val="auto"/>
                <w:sz w:val="24"/>
              </w:rPr>
              <w:t>时，触动高液位报警装置，油</w:t>
            </w:r>
            <w:r>
              <w:rPr>
                <w:rFonts w:hint="eastAsia"/>
                <w:color w:val="auto"/>
                <w:sz w:val="24"/>
                <w:lang w:val="en-US" w:eastAsia="zh-CN"/>
              </w:rPr>
              <w:t>品</w:t>
            </w:r>
            <w:r>
              <w:rPr>
                <w:rFonts w:hint="eastAsia" w:ascii="Times New Roman" w:hAnsi="Times New Roman" w:eastAsia="宋体"/>
                <w:color w:val="auto"/>
                <w:sz w:val="24"/>
              </w:rPr>
              <w:t>达到油罐容量的9</w:t>
            </w:r>
            <w:r>
              <w:rPr>
                <w:rFonts w:ascii="Times New Roman" w:hAnsi="Times New Roman" w:eastAsia="宋体"/>
                <w:color w:val="auto"/>
                <w:sz w:val="24"/>
              </w:rPr>
              <w:t>5%</w:t>
            </w:r>
            <w:r>
              <w:rPr>
                <w:rFonts w:hint="eastAsia" w:ascii="Times New Roman" w:hAnsi="Times New Roman" w:eastAsia="宋体"/>
                <w:color w:val="auto"/>
                <w:sz w:val="24"/>
              </w:rPr>
              <w:t>时，自动停止油</w:t>
            </w:r>
            <w:r>
              <w:rPr>
                <w:rFonts w:hint="eastAsia"/>
                <w:color w:val="auto"/>
                <w:sz w:val="24"/>
                <w:lang w:val="en-US" w:eastAsia="zh-CN"/>
              </w:rPr>
              <w:t>品</w:t>
            </w:r>
            <w:r>
              <w:rPr>
                <w:rFonts w:hint="eastAsia" w:ascii="Times New Roman" w:hAnsi="Times New Roman" w:eastAsia="宋体"/>
                <w:color w:val="auto"/>
                <w:sz w:val="24"/>
              </w:rPr>
              <w:t>继续进罐，高液位报警装置位于工作人员便于察觉的地点。</w:t>
            </w:r>
            <w:r>
              <w:rPr>
                <w:rFonts w:hint="eastAsia" w:ascii="Times New Roman" w:hAnsi="Times New Roman" w:eastAsia="宋体"/>
                <w:color w:val="000000" w:themeColor="text1"/>
                <w:sz w:val="24"/>
                <w14:textFill>
                  <w14:solidFill>
                    <w14:schemeClr w14:val="tx1"/>
                  </w14:solidFill>
                </w14:textFill>
              </w:rPr>
              <w:t>卸油油气回收示意图详见图2</w:t>
            </w:r>
            <w:r>
              <w:rPr>
                <w:rFonts w:ascii="Times New Roman" w:hAnsi="Times New Roman" w:eastAsia="宋体"/>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5</w:t>
            </w:r>
            <w:r>
              <w:rPr>
                <w:rFonts w:hint="eastAsia" w:ascii="Times New Roman" w:hAnsi="Times New Roman" w:eastAsia="宋体"/>
                <w:color w:val="000000" w:themeColor="text1"/>
                <w:sz w:val="24"/>
                <w14:textFill>
                  <w14:solidFill>
                    <w14:schemeClr w14:val="tx1"/>
                  </w14:solidFill>
                </w14:textFill>
              </w:rPr>
              <w:t>。</w:t>
            </w:r>
          </w:p>
          <w:p w14:paraId="133E8EDD">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rPr>
            </w:pPr>
            <w:r>
              <w:drawing>
                <wp:inline distT="0" distB="0" distL="0" distR="0">
                  <wp:extent cx="4423410" cy="2202180"/>
                  <wp:effectExtent l="0" t="0" r="1524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423410" cy="2202180"/>
                          </a:xfrm>
                          <a:prstGeom prst="rect">
                            <a:avLst/>
                          </a:prstGeom>
                          <a:noFill/>
                          <a:ln>
                            <a:noFill/>
                          </a:ln>
                          <a:effectLst/>
                        </pic:spPr>
                      </pic:pic>
                    </a:graphicData>
                  </a:graphic>
                </wp:inline>
              </w:drawing>
            </w:r>
          </w:p>
          <w:p w14:paraId="4DEBE89B">
            <w:pPr>
              <w:pStyle w:val="49"/>
              <w:keepNext w:val="0"/>
              <w:keepLines w:val="0"/>
              <w:pageBreakBefore w:val="0"/>
              <w:widowControl w:val="0"/>
              <w:kinsoku/>
              <w:wordWrap/>
              <w:overflowPunct/>
              <w:topLinePunct w:val="0"/>
              <w:autoSpaceDE/>
              <w:autoSpaceDN/>
              <w:bidi w:val="0"/>
              <w:adjustRightInd/>
              <w:snapToGrid/>
              <w:textAlignment w:val="auto"/>
              <w:rPr>
                <w:b/>
              </w:rPr>
            </w:pPr>
            <w:r>
              <w:rPr>
                <w:rFonts w:hint="eastAsia"/>
                <w:b/>
              </w:rPr>
              <w:t>图2-</w:t>
            </w:r>
            <w:r>
              <w:rPr>
                <w:rFonts w:hint="eastAsia"/>
                <w:b/>
                <w:lang w:val="en-US" w:eastAsia="zh-CN"/>
              </w:rPr>
              <w:t xml:space="preserve">5   </w:t>
            </w:r>
            <w:r>
              <w:rPr>
                <w:b/>
              </w:rPr>
              <w:t>卸油油气回收</w:t>
            </w:r>
            <w:r>
              <w:rPr>
                <w:rFonts w:hint="eastAsia"/>
                <w:b/>
                <w:lang w:val="en-US" w:eastAsia="zh-CN"/>
              </w:rPr>
              <w:t>系统</w:t>
            </w:r>
            <w:r>
              <w:rPr>
                <w:b/>
              </w:rPr>
              <w:t>示意图</w:t>
            </w:r>
          </w:p>
          <w:p w14:paraId="49F02160">
            <w:pPr>
              <w:spacing w:line="360"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b w:val="0"/>
                <w:bCs w:val="0"/>
                <w:color w:val="000000" w:themeColor="text1"/>
                <w:sz w:val="24"/>
                <w14:textFill>
                  <w14:solidFill>
                    <w14:schemeClr w14:val="tx1"/>
                  </w14:solidFill>
                </w14:textFill>
              </w:rPr>
              <w:t>加油油气回收：</w:t>
            </w:r>
            <w:r>
              <w:rPr>
                <w:rFonts w:hint="eastAsia" w:ascii="Times New Roman" w:hAnsi="Times New Roman" w:eastAsia="宋体"/>
                <w:color w:val="000000" w:themeColor="text1"/>
                <w:sz w:val="24"/>
                <w14:textFill>
                  <w14:solidFill>
                    <w14:schemeClr w14:val="tx1"/>
                  </w14:solidFill>
                </w14:textFill>
              </w:rPr>
              <w:t>本</w:t>
            </w:r>
            <w:r>
              <w:rPr>
                <w:rFonts w:hint="eastAsia"/>
                <w:color w:val="000000" w:themeColor="text1"/>
                <w:sz w:val="24"/>
                <w:lang w:val="en-US" w:eastAsia="zh-CN"/>
                <w14:textFill>
                  <w14:solidFill>
                    <w14:schemeClr w14:val="tx1"/>
                  </w14:solidFill>
                </w14:textFill>
              </w:rPr>
              <w:t>项目</w:t>
            </w:r>
            <w:r>
              <w:rPr>
                <w:rFonts w:hint="eastAsia" w:ascii="Times New Roman" w:hAnsi="Times New Roman" w:eastAsia="宋体"/>
                <w:color w:val="000000" w:themeColor="text1"/>
                <w:sz w:val="24"/>
                <w14:textFill>
                  <w14:solidFill>
                    <w14:schemeClr w14:val="tx1"/>
                  </w14:solidFill>
                </w14:textFill>
              </w:rPr>
              <w:t>采用分散式加油油气回收系统管线，当采用加油油气回收时使用油气回收型加油枪，并在加油机内安装真空泵。真空泵控制板与加油机脉冲发生器连接，当加油枪加油时，获得脉冲信号，真空泵启动，通过加油枪回收油气。加油机的油气回收管线进入相应标号油罐，起到回收加油油气的作用。</w:t>
            </w:r>
          </w:p>
          <w:p w14:paraId="01CA400C">
            <w:pPr>
              <w:spacing w:line="360" w:lineRule="auto"/>
              <w:ind w:firstLine="480" w:firstLineChars="200"/>
              <w:rPr>
                <w:rFonts w:hint="eastAsia"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auto"/>
                <w:sz w:val="24"/>
              </w:rPr>
              <w:t>本项目采用真空辅助式油气回收系统，汽油加油机和油罐之间设有油气回收管道，采取防止油气反向流至加油枪的措施，在加油机底部与油气回收立管的连接处，安装一个用于检测液阻和系统密闭性的丝接三通。加油油气回收管道坡度不小于1</w:t>
            </w:r>
            <w:r>
              <w:rPr>
                <w:rFonts w:ascii="Times New Roman" w:hAnsi="Times New Roman" w:eastAsia="宋体"/>
                <w:color w:val="auto"/>
                <w:sz w:val="24"/>
              </w:rPr>
              <w:t>%</w:t>
            </w:r>
            <w:r>
              <w:rPr>
                <w:rFonts w:hint="eastAsia" w:ascii="Times New Roman" w:hAnsi="Times New Roman" w:eastAsia="宋体"/>
                <w:color w:val="auto"/>
                <w:sz w:val="24"/>
              </w:rPr>
              <w:t>。</w:t>
            </w:r>
            <w:r>
              <w:rPr>
                <w:rFonts w:hint="eastAsia"/>
                <w:color w:val="auto"/>
                <w:sz w:val="24"/>
                <w:lang w:val="en-US" w:eastAsia="zh-CN"/>
              </w:rPr>
              <w:t>加油油气回收</w:t>
            </w:r>
            <w:r>
              <w:rPr>
                <w:rFonts w:hint="eastAsia" w:ascii="Times New Roman" w:hAnsi="Times New Roman" w:eastAsia="宋体"/>
                <w:color w:val="000000" w:themeColor="text1"/>
                <w:sz w:val="24"/>
                <w14:textFill>
                  <w14:solidFill>
                    <w14:schemeClr w14:val="tx1"/>
                  </w14:solidFill>
                </w14:textFill>
              </w:rPr>
              <w:t>示意图</w:t>
            </w:r>
            <w:r>
              <w:rPr>
                <w:rFonts w:hint="eastAsia"/>
                <w:color w:val="000000" w:themeColor="text1"/>
                <w:sz w:val="24"/>
                <w:lang w:val="en-US" w:eastAsia="zh-CN"/>
                <w14:textFill>
                  <w14:solidFill>
                    <w14:schemeClr w14:val="tx1"/>
                  </w14:solidFill>
                </w14:textFill>
              </w:rPr>
              <w:t>详见</w:t>
            </w:r>
            <w:r>
              <w:rPr>
                <w:rFonts w:hint="eastAsia" w:ascii="Times New Roman" w:hAnsi="Times New Roman" w:eastAsia="宋体"/>
                <w:color w:val="000000" w:themeColor="text1"/>
                <w:sz w:val="24"/>
                <w14:textFill>
                  <w14:solidFill>
                    <w14:schemeClr w14:val="tx1"/>
                  </w14:solidFill>
                </w14:textFill>
              </w:rPr>
              <w:t>图</w:t>
            </w:r>
            <w:r>
              <w:rPr>
                <w:rFonts w:ascii="Times New Roman" w:hAnsi="Times New Roman" w:eastAsia="宋体"/>
                <w:color w:val="000000" w:themeColor="text1"/>
                <w:sz w:val="24"/>
                <w14:textFill>
                  <w14:solidFill>
                    <w14:schemeClr w14:val="tx1"/>
                  </w14:solidFill>
                </w14:textFill>
              </w:rPr>
              <w:t>2-</w:t>
            </w:r>
            <w:r>
              <w:rPr>
                <w:rFonts w:hint="eastAsia"/>
                <w:color w:val="000000" w:themeColor="text1"/>
                <w:sz w:val="24"/>
                <w:lang w:val="en-US" w:eastAsia="zh-CN"/>
                <w14:textFill>
                  <w14:solidFill>
                    <w14:schemeClr w14:val="tx1"/>
                  </w14:solidFill>
                </w14:textFill>
              </w:rPr>
              <w:t>6</w:t>
            </w:r>
            <w:r>
              <w:rPr>
                <w:rFonts w:hint="eastAsia" w:ascii="Times New Roman" w:hAnsi="Times New Roman" w:eastAsia="宋体"/>
                <w:color w:val="000000" w:themeColor="text1"/>
                <w:sz w:val="24"/>
                <w14:textFill>
                  <w14:solidFill>
                    <w14:schemeClr w14:val="tx1"/>
                  </w14:solidFill>
                </w14:textFill>
              </w:rPr>
              <w:t>。</w:t>
            </w:r>
          </w:p>
          <w:p w14:paraId="16F6C677">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color w:val="auto"/>
                <w:sz w:val="24"/>
                <w:lang w:val="en-US" w:eastAsia="zh-CN"/>
              </w:rPr>
            </w:pPr>
            <w:r>
              <w:rPr>
                <w:rFonts w:hint="eastAsia"/>
                <w:color w:val="auto"/>
                <w:sz w:val="24"/>
                <w:lang w:val="en-US" w:eastAsia="zh-CN"/>
              </w:rPr>
              <w:drawing>
                <wp:inline distT="0" distB="0" distL="114300" distR="114300">
                  <wp:extent cx="5894705" cy="4504055"/>
                  <wp:effectExtent l="0" t="0" r="10795" b="10795"/>
                  <wp:docPr id="10" name="图片 10" descr="加油油气回收系统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加油油气回收系统1"/>
                          <pic:cNvPicPr>
                            <a:picLocks noChangeAspect="1"/>
                          </pic:cNvPicPr>
                        </pic:nvPicPr>
                        <pic:blipFill>
                          <a:blip r:embed="rId29"/>
                          <a:stretch>
                            <a:fillRect/>
                          </a:stretch>
                        </pic:blipFill>
                        <pic:spPr>
                          <a:xfrm>
                            <a:off x="0" y="0"/>
                            <a:ext cx="5894705" cy="4504055"/>
                          </a:xfrm>
                          <a:prstGeom prst="rect">
                            <a:avLst/>
                          </a:prstGeom>
                        </pic:spPr>
                      </pic:pic>
                    </a:graphicData>
                  </a:graphic>
                </wp:inline>
              </w:drawing>
            </w:r>
          </w:p>
          <w:p w14:paraId="2CA4242E">
            <w:pPr>
              <w:pStyle w:val="49"/>
              <w:keepNext w:val="0"/>
              <w:keepLines w:val="0"/>
              <w:pageBreakBefore w:val="0"/>
              <w:widowControl w:val="0"/>
              <w:kinsoku/>
              <w:wordWrap/>
              <w:overflowPunct/>
              <w:topLinePunct w:val="0"/>
              <w:autoSpaceDE/>
              <w:autoSpaceDN/>
              <w:bidi w:val="0"/>
              <w:adjustRightInd/>
              <w:snapToGrid/>
              <w:textAlignment w:val="auto"/>
              <w:rPr>
                <w:b/>
                <w:color w:val="FF0000"/>
              </w:rPr>
            </w:pPr>
            <w:r>
              <w:rPr>
                <w:rFonts w:hint="eastAsia"/>
                <w:b/>
                <w:color w:val="FF0000"/>
              </w:rPr>
              <w:t>图2-</w:t>
            </w:r>
            <w:r>
              <w:rPr>
                <w:rFonts w:hint="eastAsia"/>
                <w:b/>
                <w:color w:val="FF0000"/>
                <w:lang w:val="en-US" w:eastAsia="zh-CN"/>
              </w:rPr>
              <w:t>6   加</w:t>
            </w:r>
            <w:r>
              <w:rPr>
                <w:b/>
                <w:color w:val="FF0000"/>
              </w:rPr>
              <w:t>油油气回收</w:t>
            </w:r>
            <w:r>
              <w:rPr>
                <w:rFonts w:hint="eastAsia"/>
                <w:b/>
                <w:color w:val="FF0000"/>
                <w:lang w:val="en-US" w:eastAsia="zh-CN"/>
              </w:rPr>
              <w:t>系统</w:t>
            </w:r>
            <w:r>
              <w:rPr>
                <w:b/>
                <w:color w:val="FF0000"/>
              </w:rPr>
              <w:t>示意图</w:t>
            </w:r>
          </w:p>
          <w:p w14:paraId="0FBADDA8">
            <w:pPr>
              <w:ind w:firstLine="480"/>
            </w:pPr>
            <w:r>
              <w:rPr>
                <w:rFonts w:hint="eastAsia"/>
              </w:rPr>
              <w:t>在启动卸油油气回收及加油油气回收系统时，需将汽油罐的通气管连通。启动油气回收系统时为了防止在卸油过程中串油，需在汽油罐卸油</w:t>
            </w:r>
            <w:r>
              <w:rPr>
                <w:rFonts w:hint="eastAsia"/>
                <w:lang w:val="en-US" w:eastAsia="zh-CN"/>
              </w:rPr>
              <w:t>管</w:t>
            </w:r>
            <w:r>
              <w:rPr>
                <w:rFonts w:hint="eastAsia"/>
              </w:rPr>
              <w:t>线上安装卸油防溢阀。同时为了保证整个系统的封闭性，连通的汽油通气管需设阻火型机械呼吸阀和防雨型阻火器，并应安装球阀。阻火型机械呼吸阀的球阀为常开状态，当</w:t>
            </w:r>
            <w:r>
              <w:rPr>
                <w:rFonts w:hint="eastAsia"/>
                <w:lang w:val="en-US" w:eastAsia="zh-CN"/>
              </w:rPr>
              <w:t>油</w:t>
            </w:r>
            <w:r>
              <w:rPr>
                <w:rFonts w:hint="eastAsia"/>
              </w:rPr>
              <w:t>罐内气压过高时，机械呼吸阀打开，集中排出油气，当</w:t>
            </w:r>
            <w:r>
              <w:rPr>
                <w:rFonts w:hint="eastAsia"/>
                <w:lang w:val="en-US" w:eastAsia="zh-CN"/>
              </w:rPr>
              <w:t>油</w:t>
            </w:r>
            <w:r>
              <w:rPr>
                <w:rFonts w:hint="eastAsia"/>
              </w:rPr>
              <w:t>罐内气压过低时，机械呼吸阀打开，空气可进入储罐内。防雨型阻火器下的球阀为常闭状态，当阻火型机械呼吸阀失去作用时，可打开防雨型阻火器下的球阀，防止</w:t>
            </w:r>
            <w:r>
              <w:rPr>
                <w:rFonts w:hint="eastAsia"/>
                <w:lang w:val="en-US" w:eastAsia="zh-CN"/>
              </w:rPr>
              <w:t>油</w:t>
            </w:r>
            <w:r>
              <w:rPr>
                <w:rFonts w:hint="eastAsia"/>
              </w:rPr>
              <w:t>罐内气压过高或过低，对</w:t>
            </w:r>
            <w:r>
              <w:rPr>
                <w:rFonts w:hint="eastAsia"/>
                <w:lang w:val="en-US" w:eastAsia="zh-CN"/>
              </w:rPr>
              <w:t>油</w:t>
            </w:r>
            <w:r>
              <w:rPr>
                <w:rFonts w:hint="eastAsia"/>
              </w:rPr>
              <w:t>罐造成破坏。</w:t>
            </w:r>
          </w:p>
          <w:p w14:paraId="723AA075">
            <w:pPr>
              <w:spacing w:line="360" w:lineRule="auto"/>
              <w:ind w:firstLine="480" w:firstLineChars="200"/>
              <w:rPr>
                <w:rFonts w:ascii="Times New Roman" w:hAnsi="Times New Roman" w:eastAsia="宋体"/>
                <w:b w:val="0"/>
                <w:bCs w:val="0"/>
                <w:color w:val="00B050"/>
                <w:sz w:val="24"/>
              </w:rPr>
            </w:pPr>
            <w:r>
              <w:rPr>
                <w:rFonts w:hint="eastAsia" w:ascii="Times New Roman" w:hAnsi="Times New Roman" w:eastAsia="宋体"/>
                <w:b w:val="0"/>
                <w:bCs w:val="0"/>
                <w:color w:val="00B050"/>
                <w:sz w:val="24"/>
              </w:rPr>
              <w:t>5）油罐及油气回收装置清理</w:t>
            </w:r>
          </w:p>
          <w:p w14:paraId="517DC8C7">
            <w:pPr>
              <w:spacing w:line="360" w:lineRule="auto"/>
              <w:ind w:firstLine="480" w:firstLineChars="200"/>
              <w:rPr>
                <w:rFonts w:hint="eastAsia" w:ascii="Times New Roman" w:hAnsi="Times New Roman" w:eastAsia="宋体"/>
                <w:color w:val="auto"/>
                <w:sz w:val="24"/>
                <w:lang w:eastAsia="zh-CN"/>
              </w:rPr>
            </w:pPr>
            <w:r>
              <w:rPr>
                <w:rFonts w:hint="eastAsia" w:ascii="Times New Roman" w:hAnsi="Times New Roman" w:eastAsia="宋体"/>
                <w:color w:val="auto"/>
                <w:sz w:val="24"/>
              </w:rPr>
              <w:t>油罐清理：先用防爆型抽油泵抽吸油罐底油，打开罐顶上部光孔，打开油罐下部人孔进行强制机械通风，直至油气浓度达到该油品爆炸下限的2</w:t>
            </w:r>
            <w:r>
              <w:rPr>
                <w:rFonts w:ascii="Times New Roman" w:hAnsi="Times New Roman" w:eastAsia="宋体"/>
                <w:color w:val="auto"/>
                <w:sz w:val="24"/>
              </w:rPr>
              <w:t>5%</w:t>
            </w:r>
            <w:r>
              <w:rPr>
                <w:rFonts w:hint="eastAsia" w:ascii="Times New Roman" w:hAnsi="Times New Roman" w:eastAsia="宋体"/>
                <w:color w:val="auto"/>
                <w:sz w:val="24"/>
              </w:rPr>
              <w:t>以下后，方可佩戴相应的呼吸器具和采取必要的防护措施入罐进行作业。人工用特制塑料铲或者钉有硬橡胶的木耙子，清除罐底和罐壁的污杂及铁锈，用特制加盖铝桶盛装污杂，人工挑运至罐外。锯末撒入罐底后，</w:t>
            </w:r>
            <w:r>
              <w:rPr>
                <w:rFonts w:hint="eastAsia"/>
                <w:color w:val="auto"/>
                <w:sz w:val="24"/>
                <w:lang w:eastAsia="zh-CN"/>
              </w:rPr>
              <w:t>用</w:t>
            </w:r>
            <w:r>
              <w:rPr>
                <w:rFonts w:hint="eastAsia" w:ascii="Times New Roman" w:hAnsi="Times New Roman" w:eastAsia="宋体"/>
                <w:color w:val="auto"/>
                <w:sz w:val="24"/>
              </w:rPr>
              <w:t>扫帚进行清扫或使用抹布擦干净。对罐内锈蚀点需要用铜刷进一步清除铁锈和积垢，然后用非离子型表面活性清洗剂等金属洗涤剂清洗，并用棉质抹布擦拭干净。当油罐达到无明显铁锈、杂质、油垢，用洁布擦拭时，不呈现显著的脏污、油泥和铁锈痕迹，且应露出金属本色。清洗油罐产生的污杂及油泥一起按</w:t>
            </w:r>
            <w:r>
              <w:rPr>
                <w:rFonts w:hint="eastAsia"/>
                <w:color w:val="auto"/>
                <w:sz w:val="24"/>
                <w:lang w:val="en-US" w:eastAsia="zh-CN"/>
              </w:rPr>
              <w:t>危险废物</w:t>
            </w:r>
            <w:r>
              <w:rPr>
                <w:rFonts w:hint="eastAsia" w:ascii="Times New Roman" w:hAnsi="Times New Roman" w:eastAsia="宋体"/>
                <w:color w:val="auto"/>
                <w:sz w:val="24"/>
              </w:rPr>
              <w:t>处置</w:t>
            </w:r>
            <w:r>
              <w:rPr>
                <w:rFonts w:hint="eastAsia" w:ascii="Times New Roman" w:hAnsi="Times New Roman" w:eastAsia="宋体"/>
                <w:color w:val="auto"/>
                <w:sz w:val="24"/>
                <w:lang w:eastAsia="zh-CN"/>
              </w:rPr>
              <w:t>，由具</w:t>
            </w:r>
            <w:r>
              <w:rPr>
                <w:rFonts w:hint="eastAsia" w:ascii="Times New Roman" w:hAnsi="Times New Roman" w:eastAsia="宋体"/>
                <w:color w:val="auto"/>
                <w:sz w:val="24"/>
                <w:lang w:val="en-US" w:eastAsia="zh-CN"/>
              </w:rPr>
              <w:t>有</w:t>
            </w:r>
            <w:r>
              <w:rPr>
                <w:rFonts w:hint="eastAsia" w:ascii="Times New Roman" w:hAnsi="Times New Roman" w:eastAsia="宋体"/>
                <w:color w:val="auto"/>
                <w:sz w:val="24"/>
                <w:lang w:eastAsia="zh-CN"/>
              </w:rPr>
              <w:t>资质单位清罐后直接带走，不在</w:t>
            </w:r>
            <w:r>
              <w:rPr>
                <w:rFonts w:hint="eastAsia"/>
                <w:color w:val="auto"/>
                <w:sz w:val="24"/>
                <w:lang w:val="en-US" w:eastAsia="zh-CN"/>
              </w:rPr>
              <w:t>厂区内暂存</w:t>
            </w:r>
            <w:r>
              <w:rPr>
                <w:rFonts w:hint="eastAsia" w:ascii="Times New Roman" w:hAnsi="Times New Roman" w:eastAsia="宋体"/>
                <w:color w:val="auto"/>
                <w:sz w:val="24"/>
                <w:lang w:eastAsia="zh-CN"/>
              </w:rPr>
              <w:t>。</w:t>
            </w:r>
          </w:p>
          <w:p w14:paraId="7B5A2333">
            <w:pPr>
              <w:spacing w:line="360" w:lineRule="auto"/>
              <w:ind w:firstLine="480" w:firstLineChars="200"/>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rPr>
              <w:t>油气回收装置清理：随时使用干的纯棉抹布坚持设备清洁，及时清理油枪，油枪口不得</w:t>
            </w:r>
            <w:r>
              <w:rPr>
                <w:rFonts w:hint="eastAsia" w:cs="Times New Roman"/>
                <w:color w:val="auto"/>
                <w:sz w:val="24"/>
                <w:lang w:eastAsia="zh-CN"/>
              </w:rPr>
              <w:t>粘附</w:t>
            </w:r>
            <w:r>
              <w:rPr>
                <w:rFonts w:hint="eastAsia" w:ascii="Times New Roman" w:hAnsi="Times New Roman" w:eastAsia="宋体" w:cs="Times New Roman"/>
                <w:color w:val="auto"/>
                <w:sz w:val="24"/>
              </w:rPr>
              <w:t>灰尘及污物。加油时汽油液滴可能会被油气回收装置吸入，积存于胶管弯折处，因此隔1~2天应将胶管拉直后加油，利用油枪自然吸力将汽油积液滴吸走。每周对油气回收装置控制器进行清洁处理，用清洁布清洁控制器显示屏。</w:t>
            </w:r>
          </w:p>
          <w:p w14:paraId="6BF40FC8">
            <w:pPr>
              <w:pStyle w:val="54"/>
              <w:numPr>
                <w:ilvl w:val="0"/>
                <w:numId w:val="0"/>
              </w:numPr>
              <w:ind w:left="420" w:leftChars="0"/>
              <w:rPr>
                <w:rFonts w:hint="eastAsia" w:eastAsia="宋体"/>
                <w:b w:val="0"/>
                <w:bCs w:val="0"/>
                <w:lang w:val="en-US" w:eastAsia="zh-CN"/>
              </w:rPr>
            </w:pPr>
            <w:r>
              <w:rPr>
                <w:rFonts w:hint="eastAsia"/>
                <w:b w:val="0"/>
                <w:bCs w:val="0"/>
                <w:lang w:eastAsia="zh-CN"/>
              </w:rPr>
              <w:t>（</w:t>
            </w:r>
            <w:r>
              <w:rPr>
                <w:rFonts w:hint="eastAsia"/>
                <w:b w:val="0"/>
                <w:bCs w:val="0"/>
                <w:lang w:val="en-US" w:eastAsia="zh-CN"/>
              </w:rPr>
              <w:t>2</w:t>
            </w:r>
            <w:r>
              <w:rPr>
                <w:rFonts w:hint="eastAsia"/>
                <w:b w:val="0"/>
                <w:bCs w:val="0"/>
                <w:lang w:eastAsia="zh-CN"/>
              </w:rPr>
              <w:t>）</w:t>
            </w:r>
            <w:r>
              <w:rPr>
                <w:rFonts w:hint="eastAsia"/>
                <w:b w:val="0"/>
                <w:bCs w:val="0"/>
              </w:rPr>
              <w:t>洗车</w:t>
            </w:r>
            <w:r>
              <w:rPr>
                <w:rFonts w:hint="eastAsia"/>
                <w:b w:val="0"/>
                <w:bCs w:val="0"/>
                <w:lang w:val="en-US" w:eastAsia="zh-CN"/>
              </w:rPr>
              <w:t>生产</w:t>
            </w:r>
            <w:r>
              <w:rPr>
                <w:rFonts w:hint="eastAsia"/>
                <w:b w:val="0"/>
                <w:bCs w:val="0"/>
              </w:rPr>
              <w:t>工艺流程和产排污环节</w:t>
            </w:r>
            <w:r>
              <w:rPr>
                <w:rFonts w:hint="eastAsia"/>
                <w:b w:val="0"/>
                <w:bCs w:val="0"/>
                <w:lang w:val="en-US" w:eastAsia="zh-CN"/>
              </w:rPr>
              <w:t>如下：</w:t>
            </w:r>
          </w:p>
          <w:p w14:paraId="16CC9918">
            <w:pPr>
              <w:pStyle w:val="49"/>
            </w:pPr>
            <w:r>
              <w:object>
                <v:shape id="_x0000_i1028" o:spt="75" type="#_x0000_t75" style="height:68.55pt;width:464.1pt;" o:ole="t" filled="f" o:preferrelative="t" stroked="f" coordsize="21600,21600">
                  <v:path/>
                  <v:fill on="f" focussize="0,0"/>
                  <v:stroke on="f"/>
                  <v:imagedata r:id="rId31" o:title=""/>
                  <o:lock v:ext="edit" aspectratio="f"/>
                  <w10:wrap type="none"/>
                  <w10:anchorlock/>
                </v:shape>
                <o:OLEObject Type="Embed" ProgID="Visio.Drawing.11" ShapeID="_x0000_i1028" DrawAspect="Content" ObjectID="_1468075728" r:id="rId30">
                  <o:LockedField>false</o:LockedField>
                </o:OLEObject>
              </w:object>
            </w:r>
          </w:p>
          <w:p w14:paraId="5552BD2E">
            <w:pPr>
              <w:pStyle w:val="49"/>
              <w:keepNext w:val="0"/>
              <w:keepLines w:val="0"/>
              <w:pageBreakBefore w:val="0"/>
              <w:widowControl w:val="0"/>
              <w:kinsoku/>
              <w:wordWrap/>
              <w:overflowPunct/>
              <w:topLinePunct w:val="0"/>
              <w:autoSpaceDE/>
              <w:autoSpaceDN/>
              <w:bidi w:val="0"/>
              <w:adjustRightInd/>
              <w:snapToGrid/>
              <w:textAlignment w:val="auto"/>
              <w:rPr>
                <w:rFonts w:ascii="宋体" w:hAnsi="宋体"/>
                <w:color w:val="000000"/>
              </w:rPr>
            </w:pPr>
            <w:r>
              <w:rPr>
                <w:rFonts w:hint="eastAsia"/>
                <w:b/>
              </w:rPr>
              <w:t>图</w:t>
            </w:r>
            <w:r>
              <w:rPr>
                <w:b/>
              </w:rPr>
              <w:t>2-</w:t>
            </w:r>
            <w:r>
              <w:rPr>
                <w:rFonts w:hint="eastAsia"/>
                <w:b/>
                <w:lang w:val="en-US" w:eastAsia="zh-CN"/>
              </w:rPr>
              <w:t xml:space="preserve">7   </w:t>
            </w:r>
            <w:r>
              <w:rPr>
                <w:rFonts w:hint="eastAsia"/>
                <w:b/>
              </w:rPr>
              <w:t>洗车生产工艺流程及产排污节点图</w:t>
            </w:r>
          </w:p>
          <w:p w14:paraId="3FBDAB99">
            <w:pPr>
              <w:keepNext w:val="0"/>
              <w:keepLines w:val="0"/>
              <w:pageBreakBefore w:val="0"/>
              <w:widowControl w:val="0"/>
              <w:kinsoku/>
              <w:wordWrap/>
              <w:overflowPunct/>
              <w:topLinePunct w:val="0"/>
              <w:autoSpaceDE w:val="0"/>
              <w:autoSpaceDN w:val="0"/>
              <w:bidi w:val="0"/>
              <w:adjustRightInd w:val="0"/>
              <w:snapToGrid/>
              <w:ind w:firstLine="480"/>
              <w:textAlignment w:val="auto"/>
              <w:rPr>
                <w:b/>
              </w:rPr>
            </w:pPr>
            <w:r>
              <w:rPr>
                <w:rFonts w:hint="eastAsia" w:ascii="宋体" w:hAnsi="宋体"/>
                <w:color w:val="000000"/>
              </w:rPr>
              <w:t>本项目设置一台</w:t>
            </w:r>
            <w:r>
              <w:rPr>
                <w:rFonts w:hint="eastAsia" w:ascii="宋体" w:hAnsi="宋体"/>
                <w:color w:val="000000"/>
                <w:lang w:val="en-US" w:eastAsia="zh-CN"/>
              </w:rPr>
              <w:t>全自动</w:t>
            </w:r>
            <w:r>
              <w:rPr>
                <w:rFonts w:hint="eastAsia" w:ascii="宋体" w:hAnsi="宋体"/>
                <w:color w:val="000000"/>
              </w:rPr>
              <w:t>洗车机，洗车过程使用不含磷清洗剂，主要产生洗车废水和噪声。</w:t>
            </w:r>
          </w:p>
          <w:p w14:paraId="20F06A9D">
            <w:pPr>
              <w:keepNext w:val="0"/>
              <w:keepLines w:val="0"/>
              <w:pageBreakBefore w:val="0"/>
              <w:widowControl w:val="0"/>
              <w:kinsoku/>
              <w:wordWrap/>
              <w:overflowPunct/>
              <w:topLinePunct w:val="0"/>
              <w:autoSpaceDE/>
              <w:autoSpaceDN/>
              <w:bidi w:val="0"/>
              <w:adjustRightInd/>
              <w:snapToGrid/>
              <w:ind w:firstLine="480"/>
              <w:textAlignment w:val="auto"/>
              <w:rPr>
                <w:b/>
                <w:bCs/>
              </w:rPr>
            </w:pPr>
            <w:r>
              <w:rPr>
                <w:rFonts w:hint="eastAsia"/>
                <w:b/>
                <w:bCs/>
                <w:lang w:val="en-US" w:eastAsia="zh-CN"/>
              </w:rPr>
              <w:t>3、主要污染工序</w:t>
            </w:r>
          </w:p>
          <w:p w14:paraId="791590F4">
            <w:pPr>
              <w:keepNext w:val="0"/>
              <w:keepLines w:val="0"/>
              <w:pageBreakBefore w:val="0"/>
              <w:widowControl w:val="0"/>
              <w:kinsoku/>
              <w:wordWrap/>
              <w:overflowPunct/>
              <w:topLinePunct w:val="0"/>
              <w:autoSpaceDE/>
              <w:autoSpaceDN/>
              <w:bidi w:val="0"/>
              <w:adjustRightInd/>
              <w:snapToGrid/>
              <w:ind w:firstLine="480"/>
              <w:textAlignment w:val="auto"/>
              <w:rPr>
                <w:rFonts w:hint="eastAsia"/>
              </w:rPr>
            </w:pPr>
            <w:r>
              <w:rPr>
                <w:rFonts w:hint="eastAsia"/>
                <w:lang w:eastAsia="zh-CN"/>
              </w:rPr>
              <w:t>本</w:t>
            </w:r>
            <w:r>
              <w:rPr>
                <w:rFonts w:hint="eastAsia"/>
              </w:rPr>
              <w:t>项目主要污染源详见表2-</w:t>
            </w:r>
            <w:r>
              <w:rPr>
                <w:rFonts w:hint="eastAsia"/>
                <w:lang w:val="en-US" w:eastAsia="zh-CN"/>
              </w:rPr>
              <w:t>8</w:t>
            </w:r>
            <w:r>
              <w:rPr>
                <w:rFonts w:hint="eastAsia"/>
              </w:rPr>
              <w:t>。</w:t>
            </w:r>
          </w:p>
          <w:p w14:paraId="4624341C">
            <w:pPr>
              <w:pStyle w:val="49"/>
              <w:keepNext w:val="0"/>
              <w:keepLines w:val="0"/>
              <w:pageBreakBefore w:val="0"/>
              <w:widowControl w:val="0"/>
              <w:kinsoku/>
              <w:wordWrap/>
              <w:overflowPunct/>
              <w:topLinePunct w:val="0"/>
              <w:autoSpaceDE/>
              <w:autoSpaceDN/>
              <w:bidi w:val="0"/>
              <w:adjustRightInd/>
              <w:snapToGrid/>
              <w:textAlignment w:val="auto"/>
              <w:rPr>
                <w:rFonts w:hAnsi="Times New Roman"/>
                <w:b/>
                <w:szCs w:val="21"/>
              </w:rPr>
            </w:pPr>
            <w:r>
              <w:rPr>
                <w:b/>
              </w:rPr>
              <w:t>表</w:t>
            </w:r>
            <w:r>
              <w:rPr>
                <w:b/>
                <w:bCs/>
                <w:color w:val="000000"/>
              </w:rPr>
              <w:t>2-</w:t>
            </w:r>
            <w:r>
              <w:rPr>
                <w:rFonts w:hint="eastAsia"/>
                <w:b/>
                <w:bCs/>
                <w:color w:val="000000"/>
                <w:lang w:val="en-US" w:eastAsia="zh-CN"/>
              </w:rPr>
              <w:t xml:space="preserve">8   </w:t>
            </w:r>
            <w:r>
              <w:rPr>
                <w:rFonts w:hAnsi="Times New Roman"/>
                <w:b/>
                <w:szCs w:val="21"/>
              </w:rPr>
              <w:t>项目主要产污工序及污染物</w:t>
            </w:r>
            <w:r>
              <w:rPr>
                <w:rFonts w:hint="eastAsia" w:hAnsi="Times New Roman"/>
                <w:b/>
                <w:szCs w:val="21"/>
              </w:rPr>
              <w:t>一览</w:t>
            </w:r>
            <w:r>
              <w:rPr>
                <w:rFonts w:hAnsi="Times New Roman"/>
                <w:b/>
                <w:szCs w:val="21"/>
              </w:rPr>
              <w:t>表</w:t>
            </w:r>
          </w:p>
          <w:tbl>
            <w:tblPr>
              <w:tblStyle w:val="3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38"/>
              <w:gridCol w:w="1140"/>
              <w:gridCol w:w="2228"/>
              <w:gridCol w:w="2250"/>
              <w:gridCol w:w="2712"/>
              <w:gridCol w:w="20"/>
            </w:tblGrid>
            <w:tr w14:paraId="5853A4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1118" w:type="pct"/>
                  <w:gridSpan w:val="2"/>
                  <w:tcBorders>
                    <w:tl2br w:val="nil"/>
                    <w:tr2bl w:val="nil"/>
                  </w:tcBorders>
                  <w:vAlign w:val="center"/>
                </w:tcPr>
                <w:p w14:paraId="3E27C021">
                  <w:pPr>
                    <w:pStyle w:val="49"/>
                    <w:keepNext w:val="0"/>
                    <w:keepLines w:val="0"/>
                    <w:pageBreakBefore w:val="0"/>
                    <w:widowControl w:val="0"/>
                    <w:kinsoku/>
                    <w:wordWrap/>
                    <w:overflowPunct/>
                    <w:topLinePunct w:val="0"/>
                    <w:autoSpaceDE/>
                    <w:autoSpaceDN/>
                    <w:bidi w:val="0"/>
                    <w:adjustRightInd/>
                    <w:snapToGrid w:val="0"/>
                    <w:textAlignment w:val="auto"/>
                    <w:rPr>
                      <w:b/>
                    </w:rPr>
                  </w:pPr>
                  <w:r>
                    <w:rPr>
                      <w:rFonts w:hint="eastAsia"/>
                      <w:b/>
                    </w:rPr>
                    <w:t>主要污染源</w:t>
                  </w:r>
                </w:p>
              </w:tc>
              <w:tc>
                <w:tcPr>
                  <w:tcW w:w="1199" w:type="pct"/>
                  <w:tcBorders>
                    <w:tl2br w:val="nil"/>
                    <w:tr2bl w:val="nil"/>
                  </w:tcBorders>
                  <w:vAlign w:val="center"/>
                </w:tcPr>
                <w:p w14:paraId="0EAC76C3">
                  <w:pPr>
                    <w:pStyle w:val="49"/>
                    <w:keepNext w:val="0"/>
                    <w:keepLines w:val="0"/>
                    <w:pageBreakBefore w:val="0"/>
                    <w:widowControl w:val="0"/>
                    <w:kinsoku/>
                    <w:wordWrap/>
                    <w:overflowPunct/>
                    <w:topLinePunct w:val="0"/>
                    <w:autoSpaceDE/>
                    <w:autoSpaceDN/>
                    <w:bidi w:val="0"/>
                    <w:adjustRightInd/>
                    <w:snapToGrid w:val="0"/>
                    <w:textAlignment w:val="auto"/>
                    <w:rPr>
                      <w:rFonts w:hint="default" w:eastAsia="宋体"/>
                      <w:b/>
                      <w:lang w:val="en-US" w:eastAsia="zh-CN"/>
                    </w:rPr>
                  </w:pPr>
                  <w:r>
                    <w:rPr>
                      <w:rFonts w:hint="eastAsia"/>
                      <w:b/>
                      <w:lang w:val="en-US" w:eastAsia="zh-CN"/>
                    </w:rPr>
                    <w:t>污染物名称</w:t>
                  </w:r>
                </w:p>
              </w:tc>
              <w:tc>
                <w:tcPr>
                  <w:tcW w:w="1211" w:type="pct"/>
                  <w:tcBorders>
                    <w:tl2br w:val="nil"/>
                    <w:tr2bl w:val="nil"/>
                  </w:tcBorders>
                  <w:vAlign w:val="center"/>
                </w:tcPr>
                <w:p w14:paraId="624CC781">
                  <w:pPr>
                    <w:pStyle w:val="49"/>
                    <w:keepNext w:val="0"/>
                    <w:keepLines w:val="0"/>
                    <w:pageBreakBefore w:val="0"/>
                    <w:widowControl w:val="0"/>
                    <w:kinsoku/>
                    <w:wordWrap/>
                    <w:overflowPunct/>
                    <w:topLinePunct w:val="0"/>
                    <w:autoSpaceDE/>
                    <w:autoSpaceDN/>
                    <w:bidi w:val="0"/>
                    <w:adjustRightInd/>
                    <w:snapToGrid w:val="0"/>
                    <w:textAlignment w:val="auto"/>
                    <w:rPr>
                      <w:rFonts w:hint="eastAsia" w:eastAsia="宋体"/>
                      <w:b/>
                      <w:lang w:val="en-US" w:eastAsia="zh-CN"/>
                    </w:rPr>
                  </w:pPr>
                  <w:r>
                    <w:rPr>
                      <w:rFonts w:hint="eastAsia"/>
                      <w:b/>
                      <w:lang w:val="en-US" w:eastAsia="zh-CN"/>
                    </w:rPr>
                    <w:t>来源</w:t>
                  </w:r>
                </w:p>
              </w:tc>
              <w:tc>
                <w:tcPr>
                  <w:tcW w:w="1470" w:type="pct"/>
                  <w:gridSpan w:val="2"/>
                  <w:tcBorders>
                    <w:tl2br w:val="nil"/>
                    <w:tr2bl w:val="nil"/>
                  </w:tcBorders>
                  <w:vAlign w:val="center"/>
                </w:tcPr>
                <w:p w14:paraId="4FE80319">
                  <w:pPr>
                    <w:pStyle w:val="49"/>
                    <w:keepNext w:val="0"/>
                    <w:keepLines w:val="0"/>
                    <w:pageBreakBefore w:val="0"/>
                    <w:widowControl w:val="0"/>
                    <w:kinsoku/>
                    <w:wordWrap/>
                    <w:overflowPunct/>
                    <w:topLinePunct w:val="0"/>
                    <w:autoSpaceDE/>
                    <w:autoSpaceDN/>
                    <w:bidi w:val="0"/>
                    <w:adjustRightInd/>
                    <w:snapToGrid w:val="0"/>
                    <w:textAlignment w:val="auto"/>
                    <w:rPr>
                      <w:rFonts w:hint="eastAsia" w:eastAsia="宋体"/>
                      <w:b/>
                      <w:lang w:val="en-US" w:eastAsia="zh-CN"/>
                    </w:rPr>
                  </w:pPr>
                  <w:r>
                    <w:rPr>
                      <w:rFonts w:hint="eastAsia"/>
                      <w:b/>
                    </w:rPr>
                    <w:t>污染</w:t>
                  </w:r>
                  <w:r>
                    <w:rPr>
                      <w:rFonts w:hint="eastAsia"/>
                      <w:b/>
                      <w:lang w:val="en-US" w:eastAsia="zh-CN"/>
                    </w:rPr>
                    <w:t>因子</w:t>
                  </w:r>
                </w:p>
              </w:tc>
            </w:tr>
            <w:tr w14:paraId="250C98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0" w:type="pct"/>
                <w:trHeight w:val="0" w:hRule="atLeast"/>
                <w:jc w:val="center"/>
              </w:trPr>
              <w:tc>
                <w:tcPr>
                  <w:tcW w:w="504" w:type="pct"/>
                  <w:vMerge w:val="restart"/>
                  <w:tcBorders>
                    <w:tl2br w:val="nil"/>
                    <w:tr2bl w:val="nil"/>
                  </w:tcBorders>
                  <w:vAlign w:val="center"/>
                </w:tcPr>
                <w:p w14:paraId="26E381D4">
                  <w:pPr>
                    <w:pStyle w:val="49"/>
                    <w:keepNext w:val="0"/>
                    <w:keepLines w:val="0"/>
                    <w:pageBreakBefore w:val="0"/>
                    <w:widowControl w:val="0"/>
                    <w:kinsoku/>
                    <w:wordWrap/>
                    <w:overflowPunct/>
                    <w:topLinePunct w:val="0"/>
                    <w:autoSpaceDE/>
                    <w:autoSpaceDN/>
                    <w:bidi w:val="0"/>
                    <w:adjustRightInd/>
                    <w:snapToGrid w:val="0"/>
                    <w:textAlignment w:val="auto"/>
                    <w:rPr>
                      <w:rFonts w:hint="eastAsia" w:eastAsia="宋体"/>
                      <w:lang w:eastAsia="zh-CN"/>
                    </w:rPr>
                  </w:pPr>
                  <w:r>
                    <w:rPr>
                      <w:rFonts w:hint="eastAsia"/>
                      <w:lang w:val="en-US" w:eastAsia="zh-CN"/>
                    </w:rPr>
                    <w:t>运营期</w:t>
                  </w:r>
                </w:p>
              </w:tc>
              <w:tc>
                <w:tcPr>
                  <w:tcW w:w="613" w:type="pct"/>
                  <w:vMerge w:val="restart"/>
                  <w:tcBorders>
                    <w:tl2br w:val="nil"/>
                    <w:tr2bl w:val="nil"/>
                  </w:tcBorders>
                  <w:vAlign w:val="center"/>
                </w:tcPr>
                <w:p w14:paraId="66E04811">
                  <w:pPr>
                    <w:pStyle w:val="49"/>
                    <w:keepNext w:val="0"/>
                    <w:keepLines w:val="0"/>
                    <w:pageBreakBefore w:val="0"/>
                    <w:widowControl w:val="0"/>
                    <w:kinsoku/>
                    <w:wordWrap/>
                    <w:overflowPunct/>
                    <w:topLinePunct w:val="0"/>
                    <w:autoSpaceDE/>
                    <w:autoSpaceDN/>
                    <w:bidi w:val="0"/>
                    <w:adjustRightInd/>
                    <w:snapToGrid w:val="0"/>
                    <w:textAlignment w:val="auto"/>
                    <w:rPr>
                      <w:rFonts w:hint="default" w:eastAsia="宋体"/>
                      <w:lang w:val="en-US" w:eastAsia="zh-CN"/>
                    </w:rPr>
                  </w:pPr>
                  <w:r>
                    <w:rPr>
                      <w:rFonts w:hint="eastAsia"/>
                      <w:lang w:val="en-US" w:eastAsia="zh-CN"/>
                    </w:rPr>
                    <w:t>废水</w:t>
                  </w:r>
                </w:p>
              </w:tc>
              <w:tc>
                <w:tcPr>
                  <w:tcW w:w="1199" w:type="pct"/>
                  <w:tcBorders>
                    <w:tl2br w:val="nil"/>
                    <w:tr2bl w:val="nil"/>
                  </w:tcBorders>
                  <w:vAlign w:val="center"/>
                </w:tcPr>
                <w:p w14:paraId="72BDE854">
                  <w:pPr>
                    <w:pStyle w:val="49"/>
                    <w:keepNext w:val="0"/>
                    <w:keepLines w:val="0"/>
                    <w:pageBreakBefore w:val="0"/>
                    <w:widowControl w:val="0"/>
                    <w:kinsoku/>
                    <w:wordWrap/>
                    <w:overflowPunct/>
                    <w:topLinePunct w:val="0"/>
                    <w:autoSpaceDE/>
                    <w:autoSpaceDN/>
                    <w:bidi w:val="0"/>
                    <w:adjustRightInd/>
                    <w:snapToGrid w:val="0"/>
                    <w:textAlignment w:val="auto"/>
                  </w:pPr>
                  <w:r>
                    <w:rPr>
                      <w:rFonts w:hint="eastAsia"/>
                    </w:rPr>
                    <w:t>生活污水</w:t>
                  </w:r>
                </w:p>
              </w:tc>
              <w:tc>
                <w:tcPr>
                  <w:tcW w:w="1211" w:type="pct"/>
                  <w:tcBorders>
                    <w:tl2br w:val="nil"/>
                    <w:tr2bl w:val="nil"/>
                  </w:tcBorders>
                  <w:vAlign w:val="center"/>
                </w:tcPr>
                <w:p w14:paraId="2234C5D4">
                  <w:pPr>
                    <w:pStyle w:val="49"/>
                    <w:keepNext w:val="0"/>
                    <w:keepLines w:val="0"/>
                    <w:pageBreakBefore w:val="0"/>
                    <w:widowControl w:val="0"/>
                    <w:kinsoku/>
                    <w:wordWrap/>
                    <w:overflowPunct/>
                    <w:topLinePunct w:val="0"/>
                    <w:autoSpaceDE/>
                    <w:autoSpaceDN/>
                    <w:bidi w:val="0"/>
                    <w:adjustRightInd/>
                    <w:snapToGrid w:val="0"/>
                    <w:textAlignment w:val="auto"/>
                    <w:rPr>
                      <w:rFonts w:hint="eastAsia"/>
                      <w:color w:val="000000"/>
                    </w:rPr>
                  </w:pPr>
                  <w:r>
                    <w:rPr>
                      <w:rFonts w:hint="eastAsia"/>
                    </w:rPr>
                    <w:t>员工生活、外来人员冲厕盥洗</w:t>
                  </w:r>
                </w:p>
              </w:tc>
              <w:tc>
                <w:tcPr>
                  <w:tcW w:w="1459" w:type="pct"/>
                  <w:tcBorders>
                    <w:tl2br w:val="nil"/>
                    <w:tr2bl w:val="nil"/>
                  </w:tcBorders>
                  <w:vAlign w:val="center"/>
                </w:tcPr>
                <w:p w14:paraId="3AA4F1F6">
                  <w:pPr>
                    <w:pStyle w:val="49"/>
                    <w:keepNext w:val="0"/>
                    <w:keepLines w:val="0"/>
                    <w:pageBreakBefore w:val="0"/>
                    <w:widowControl w:val="0"/>
                    <w:kinsoku/>
                    <w:wordWrap/>
                    <w:overflowPunct/>
                    <w:topLinePunct w:val="0"/>
                    <w:autoSpaceDE/>
                    <w:autoSpaceDN/>
                    <w:bidi w:val="0"/>
                    <w:adjustRightInd/>
                    <w:snapToGrid w:val="0"/>
                    <w:textAlignment w:val="auto"/>
                    <w:rPr>
                      <w:rFonts w:hint="default" w:eastAsia="宋体"/>
                      <w:lang w:val="en-US" w:eastAsia="zh-CN"/>
                    </w:rPr>
                  </w:pPr>
                  <w:r>
                    <w:rPr>
                      <w:rFonts w:hint="eastAsia"/>
                      <w:color w:val="000000"/>
                    </w:rPr>
                    <w:t>p</w:t>
                  </w:r>
                  <w:r>
                    <w:rPr>
                      <w:color w:val="000000"/>
                    </w:rPr>
                    <w:t>H</w:t>
                  </w:r>
                  <w:r>
                    <w:rPr>
                      <w:rFonts w:hint="eastAsia"/>
                    </w:rPr>
                    <w:t>、COD</w:t>
                  </w:r>
                  <w:r>
                    <w:rPr>
                      <w:rFonts w:hint="eastAsia"/>
                      <w:vertAlign w:val="subscript"/>
                      <w:lang w:val="en-US" w:eastAsia="zh-CN"/>
                    </w:rPr>
                    <w:t>Cr</w:t>
                  </w:r>
                  <w:r>
                    <w:rPr>
                      <w:rFonts w:hint="eastAsia"/>
                    </w:rPr>
                    <w:t>、BOD</w:t>
                  </w:r>
                  <w:r>
                    <w:rPr>
                      <w:rFonts w:hint="eastAsia"/>
                      <w:vertAlign w:val="subscript"/>
                    </w:rPr>
                    <w:t>5</w:t>
                  </w:r>
                  <w:r>
                    <w:rPr>
                      <w:rFonts w:hint="eastAsia"/>
                    </w:rPr>
                    <w:t>、SS</w:t>
                  </w:r>
                  <w:r>
                    <w:rPr>
                      <w:rFonts w:hint="eastAsia"/>
                      <w:lang w:eastAsia="zh-CN"/>
                    </w:rPr>
                    <w:t>、</w:t>
                  </w:r>
                  <w:r>
                    <w:rPr>
                      <w:rFonts w:hint="eastAsia"/>
                      <w:lang w:val="en-US" w:eastAsia="zh-CN"/>
                    </w:rPr>
                    <w:t>NH</w:t>
                  </w:r>
                  <w:r>
                    <w:rPr>
                      <w:rFonts w:hint="eastAsia"/>
                      <w:vertAlign w:val="subscript"/>
                      <w:lang w:val="en-US" w:eastAsia="zh-CN"/>
                    </w:rPr>
                    <w:t>3</w:t>
                  </w:r>
                  <w:r>
                    <w:rPr>
                      <w:rFonts w:hint="eastAsia"/>
                      <w:lang w:val="en-US" w:eastAsia="zh-CN"/>
                    </w:rPr>
                    <w:t>-N</w:t>
                  </w:r>
                  <w:r>
                    <w:rPr>
                      <w:rFonts w:hint="eastAsia"/>
                    </w:rPr>
                    <w:t>、TP、TN</w:t>
                  </w:r>
                  <w:r>
                    <w:rPr>
                      <w:rFonts w:hint="eastAsia"/>
                      <w:lang w:eastAsia="zh-CN"/>
                    </w:rPr>
                    <w:t>、</w:t>
                  </w:r>
                  <w:r>
                    <w:rPr>
                      <w:rFonts w:hint="eastAsia"/>
                      <w:lang w:val="en-US" w:eastAsia="zh-CN"/>
                    </w:rPr>
                    <w:t>动植物油</w:t>
                  </w:r>
                </w:p>
              </w:tc>
            </w:tr>
            <w:tr w14:paraId="5FB358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0" w:type="pct"/>
                <w:trHeight w:val="0" w:hRule="atLeast"/>
                <w:jc w:val="center"/>
              </w:trPr>
              <w:tc>
                <w:tcPr>
                  <w:tcW w:w="504" w:type="pct"/>
                  <w:vMerge w:val="continue"/>
                  <w:tcBorders>
                    <w:tl2br w:val="nil"/>
                    <w:tr2bl w:val="nil"/>
                  </w:tcBorders>
                  <w:vAlign w:val="center"/>
                </w:tcPr>
                <w:p w14:paraId="0D89F7D0">
                  <w:pPr>
                    <w:pStyle w:val="49"/>
                    <w:keepNext w:val="0"/>
                    <w:keepLines w:val="0"/>
                    <w:pageBreakBefore w:val="0"/>
                    <w:widowControl w:val="0"/>
                    <w:kinsoku/>
                    <w:wordWrap/>
                    <w:overflowPunct/>
                    <w:topLinePunct w:val="0"/>
                    <w:autoSpaceDE/>
                    <w:autoSpaceDN/>
                    <w:bidi w:val="0"/>
                    <w:adjustRightInd/>
                    <w:snapToGrid w:val="0"/>
                    <w:textAlignment w:val="auto"/>
                  </w:pPr>
                </w:p>
              </w:tc>
              <w:tc>
                <w:tcPr>
                  <w:tcW w:w="613" w:type="pct"/>
                  <w:vMerge w:val="continue"/>
                  <w:tcBorders>
                    <w:tl2br w:val="nil"/>
                    <w:tr2bl w:val="nil"/>
                  </w:tcBorders>
                  <w:vAlign w:val="center"/>
                </w:tcPr>
                <w:p w14:paraId="5AF226DD">
                  <w:pPr>
                    <w:pStyle w:val="49"/>
                    <w:keepNext w:val="0"/>
                    <w:keepLines w:val="0"/>
                    <w:pageBreakBefore w:val="0"/>
                    <w:widowControl w:val="0"/>
                    <w:kinsoku/>
                    <w:wordWrap/>
                    <w:overflowPunct/>
                    <w:topLinePunct w:val="0"/>
                    <w:autoSpaceDE/>
                    <w:autoSpaceDN/>
                    <w:bidi w:val="0"/>
                    <w:adjustRightInd/>
                    <w:snapToGrid w:val="0"/>
                    <w:textAlignment w:val="auto"/>
                  </w:pPr>
                </w:p>
              </w:tc>
              <w:tc>
                <w:tcPr>
                  <w:tcW w:w="1199" w:type="pct"/>
                  <w:tcBorders>
                    <w:tl2br w:val="nil"/>
                    <w:tr2bl w:val="nil"/>
                  </w:tcBorders>
                  <w:vAlign w:val="center"/>
                </w:tcPr>
                <w:p w14:paraId="0F688AA4">
                  <w:pPr>
                    <w:pStyle w:val="49"/>
                    <w:keepNext w:val="0"/>
                    <w:keepLines w:val="0"/>
                    <w:pageBreakBefore w:val="0"/>
                    <w:widowControl w:val="0"/>
                    <w:kinsoku/>
                    <w:wordWrap/>
                    <w:overflowPunct/>
                    <w:topLinePunct w:val="0"/>
                    <w:autoSpaceDE/>
                    <w:autoSpaceDN/>
                    <w:bidi w:val="0"/>
                    <w:adjustRightInd/>
                    <w:snapToGrid w:val="0"/>
                    <w:textAlignment w:val="auto"/>
                  </w:pPr>
                  <w:r>
                    <w:rPr>
                      <w:rFonts w:hint="eastAsia"/>
                    </w:rPr>
                    <w:t>地面冲洗废水</w:t>
                  </w:r>
                </w:p>
              </w:tc>
              <w:tc>
                <w:tcPr>
                  <w:tcW w:w="1211" w:type="pct"/>
                  <w:tcBorders>
                    <w:tl2br w:val="nil"/>
                    <w:tr2bl w:val="nil"/>
                  </w:tcBorders>
                  <w:vAlign w:val="center"/>
                </w:tcPr>
                <w:p w14:paraId="29F11485">
                  <w:pPr>
                    <w:pStyle w:val="49"/>
                    <w:keepNext w:val="0"/>
                    <w:keepLines w:val="0"/>
                    <w:pageBreakBefore w:val="0"/>
                    <w:widowControl w:val="0"/>
                    <w:kinsoku/>
                    <w:wordWrap/>
                    <w:overflowPunct/>
                    <w:topLinePunct w:val="0"/>
                    <w:autoSpaceDE/>
                    <w:autoSpaceDN/>
                    <w:bidi w:val="0"/>
                    <w:adjustRightInd/>
                    <w:snapToGrid w:val="0"/>
                    <w:textAlignment w:val="auto"/>
                    <w:rPr>
                      <w:rFonts w:hint="eastAsia"/>
                    </w:rPr>
                  </w:pPr>
                  <w:r>
                    <w:rPr>
                      <w:rFonts w:hint="eastAsia"/>
                    </w:rPr>
                    <w:t>地面冲洗</w:t>
                  </w:r>
                </w:p>
              </w:tc>
              <w:tc>
                <w:tcPr>
                  <w:tcW w:w="1459" w:type="pct"/>
                  <w:tcBorders>
                    <w:tl2br w:val="nil"/>
                    <w:tr2bl w:val="nil"/>
                  </w:tcBorders>
                  <w:vAlign w:val="center"/>
                </w:tcPr>
                <w:p w14:paraId="477DC4D7">
                  <w:pPr>
                    <w:pStyle w:val="49"/>
                    <w:keepNext w:val="0"/>
                    <w:keepLines w:val="0"/>
                    <w:pageBreakBefore w:val="0"/>
                    <w:widowControl w:val="0"/>
                    <w:kinsoku/>
                    <w:wordWrap/>
                    <w:overflowPunct/>
                    <w:topLinePunct w:val="0"/>
                    <w:autoSpaceDE/>
                    <w:autoSpaceDN/>
                    <w:bidi w:val="0"/>
                    <w:adjustRightInd/>
                    <w:snapToGrid w:val="0"/>
                    <w:textAlignment w:val="auto"/>
                  </w:pPr>
                  <w:r>
                    <w:rPr>
                      <w:rFonts w:hint="eastAsia"/>
                    </w:rPr>
                    <w:t>SS、石油类</w:t>
                  </w:r>
                </w:p>
              </w:tc>
            </w:tr>
            <w:tr w14:paraId="08F3F2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0" w:type="pct"/>
                <w:trHeight w:val="0" w:hRule="atLeast"/>
                <w:jc w:val="center"/>
              </w:trPr>
              <w:tc>
                <w:tcPr>
                  <w:tcW w:w="504" w:type="pct"/>
                  <w:vMerge w:val="continue"/>
                  <w:tcBorders>
                    <w:tl2br w:val="nil"/>
                    <w:tr2bl w:val="nil"/>
                  </w:tcBorders>
                  <w:vAlign w:val="center"/>
                </w:tcPr>
                <w:p w14:paraId="5A4657C4">
                  <w:pPr>
                    <w:pStyle w:val="49"/>
                    <w:keepNext w:val="0"/>
                    <w:keepLines w:val="0"/>
                    <w:pageBreakBefore w:val="0"/>
                    <w:widowControl w:val="0"/>
                    <w:kinsoku/>
                    <w:wordWrap/>
                    <w:overflowPunct/>
                    <w:topLinePunct w:val="0"/>
                    <w:autoSpaceDE/>
                    <w:autoSpaceDN/>
                    <w:bidi w:val="0"/>
                    <w:adjustRightInd/>
                    <w:snapToGrid w:val="0"/>
                    <w:textAlignment w:val="auto"/>
                  </w:pPr>
                </w:p>
              </w:tc>
              <w:tc>
                <w:tcPr>
                  <w:tcW w:w="613" w:type="pct"/>
                  <w:vMerge w:val="continue"/>
                  <w:tcBorders>
                    <w:tl2br w:val="nil"/>
                    <w:tr2bl w:val="nil"/>
                  </w:tcBorders>
                  <w:vAlign w:val="center"/>
                </w:tcPr>
                <w:p w14:paraId="34CB5A1C">
                  <w:pPr>
                    <w:pStyle w:val="49"/>
                    <w:keepNext w:val="0"/>
                    <w:keepLines w:val="0"/>
                    <w:pageBreakBefore w:val="0"/>
                    <w:widowControl w:val="0"/>
                    <w:kinsoku/>
                    <w:wordWrap/>
                    <w:overflowPunct/>
                    <w:topLinePunct w:val="0"/>
                    <w:autoSpaceDE/>
                    <w:autoSpaceDN/>
                    <w:bidi w:val="0"/>
                    <w:adjustRightInd/>
                    <w:snapToGrid w:val="0"/>
                    <w:textAlignment w:val="auto"/>
                  </w:pPr>
                </w:p>
              </w:tc>
              <w:tc>
                <w:tcPr>
                  <w:tcW w:w="1199" w:type="pct"/>
                  <w:tcBorders>
                    <w:tl2br w:val="nil"/>
                    <w:tr2bl w:val="nil"/>
                  </w:tcBorders>
                  <w:vAlign w:val="center"/>
                </w:tcPr>
                <w:p w14:paraId="32FAB683">
                  <w:pPr>
                    <w:pStyle w:val="49"/>
                    <w:keepNext w:val="0"/>
                    <w:keepLines w:val="0"/>
                    <w:pageBreakBefore w:val="0"/>
                    <w:widowControl w:val="0"/>
                    <w:kinsoku/>
                    <w:wordWrap/>
                    <w:overflowPunct/>
                    <w:topLinePunct w:val="0"/>
                    <w:autoSpaceDE/>
                    <w:autoSpaceDN/>
                    <w:bidi w:val="0"/>
                    <w:adjustRightInd/>
                    <w:snapToGrid w:val="0"/>
                    <w:textAlignment w:val="auto"/>
                  </w:pPr>
                  <w:r>
                    <w:rPr>
                      <w:rFonts w:hint="eastAsia"/>
                    </w:rPr>
                    <w:t>洗车废水</w:t>
                  </w:r>
                </w:p>
              </w:tc>
              <w:tc>
                <w:tcPr>
                  <w:tcW w:w="1211" w:type="pct"/>
                  <w:tcBorders>
                    <w:tl2br w:val="nil"/>
                    <w:tr2bl w:val="nil"/>
                  </w:tcBorders>
                  <w:vAlign w:val="center"/>
                </w:tcPr>
                <w:p w14:paraId="7903005B">
                  <w:pPr>
                    <w:pStyle w:val="49"/>
                    <w:keepNext w:val="0"/>
                    <w:keepLines w:val="0"/>
                    <w:pageBreakBefore w:val="0"/>
                    <w:widowControl w:val="0"/>
                    <w:kinsoku/>
                    <w:wordWrap/>
                    <w:overflowPunct/>
                    <w:topLinePunct w:val="0"/>
                    <w:autoSpaceDE/>
                    <w:autoSpaceDN/>
                    <w:bidi w:val="0"/>
                    <w:adjustRightInd/>
                    <w:snapToGrid w:val="0"/>
                    <w:textAlignment w:val="auto"/>
                    <w:rPr>
                      <w:rFonts w:hint="eastAsia"/>
                      <w:color w:val="000000"/>
                    </w:rPr>
                  </w:pPr>
                  <w:r>
                    <w:rPr>
                      <w:rFonts w:hint="eastAsia"/>
                    </w:rPr>
                    <w:t>洗车</w:t>
                  </w:r>
                </w:p>
              </w:tc>
              <w:tc>
                <w:tcPr>
                  <w:tcW w:w="1459" w:type="pct"/>
                  <w:tcBorders>
                    <w:tl2br w:val="nil"/>
                    <w:tr2bl w:val="nil"/>
                  </w:tcBorders>
                  <w:vAlign w:val="center"/>
                </w:tcPr>
                <w:p w14:paraId="5BA8B74E">
                  <w:pPr>
                    <w:pStyle w:val="49"/>
                    <w:keepNext w:val="0"/>
                    <w:keepLines w:val="0"/>
                    <w:pageBreakBefore w:val="0"/>
                    <w:widowControl w:val="0"/>
                    <w:kinsoku/>
                    <w:wordWrap/>
                    <w:overflowPunct/>
                    <w:topLinePunct w:val="0"/>
                    <w:autoSpaceDE/>
                    <w:autoSpaceDN/>
                    <w:bidi w:val="0"/>
                    <w:adjustRightInd/>
                    <w:snapToGrid w:val="0"/>
                    <w:textAlignment w:val="auto"/>
                  </w:pPr>
                  <w:r>
                    <w:rPr>
                      <w:rFonts w:hint="eastAsia"/>
                      <w:color w:val="000000"/>
                    </w:rPr>
                    <w:t>p</w:t>
                  </w:r>
                  <w:r>
                    <w:rPr>
                      <w:color w:val="000000"/>
                    </w:rPr>
                    <w:t>H</w:t>
                  </w:r>
                  <w:r>
                    <w:rPr>
                      <w:rFonts w:hint="eastAsia"/>
                    </w:rPr>
                    <w:t>、COD</w:t>
                  </w:r>
                  <w:r>
                    <w:rPr>
                      <w:rFonts w:hint="eastAsia"/>
                      <w:vertAlign w:val="subscript"/>
                      <w:lang w:val="en-US" w:eastAsia="zh-CN"/>
                    </w:rPr>
                    <w:t>Cr</w:t>
                  </w:r>
                  <w:r>
                    <w:rPr>
                      <w:rFonts w:hint="eastAsia"/>
                    </w:rPr>
                    <w:t>、BOD</w:t>
                  </w:r>
                  <w:r>
                    <w:rPr>
                      <w:rFonts w:hint="eastAsia"/>
                      <w:vertAlign w:val="subscript"/>
                    </w:rPr>
                    <w:t>5</w:t>
                  </w:r>
                  <w:r>
                    <w:rPr>
                      <w:color w:val="000000"/>
                    </w:rPr>
                    <w:t>、</w:t>
                  </w:r>
                  <w:r>
                    <w:rPr>
                      <w:rFonts w:hint="eastAsia"/>
                    </w:rPr>
                    <w:t>SS、石油类、LAS</w:t>
                  </w:r>
                </w:p>
              </w:tc>
            </w:tr>
            <w:tr w14:paraId="244911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0" w:type="pct"/>
                <w:trHeight w:val="131" w:hRule="atLeast"/>
                <w:jc w:val="center"/>
              </w:trPr>
              <w:tc>
                <w:tcPr>
                  <w:tcW w:w="504" w:type="pct"/>
                  <w:vMerge w:val="continue"/>
                  <w:tcBorders>
                    <w:tl2br w:val="nil"/>
                    <w:tr2bl w:val="nil"/>
                  </w:tcBorders>
                  <w:vAlign w:val="center"/>
                </w:tcPr>
                <w:p w14:paraId="33232B14">
                  <w:pPr>
                    <w:pStyle w:val="49"/>
                    <w:keepNext w:val="0"/>
                    <w:keepLines w:val="0"/>
                    <w:pageBreakBefore w:val="0"/>
                    <w:widowControl w:val="0"/>
                    <w:kinsoku/>
                    <w:wordWrap/>
                    <w:overflowPunct/>
                    <w:topLinePunct w:val="0"/>
                    <w:autoSpaceDE/>
                    <w:autoSpaceDN/>
                    <w:bidi w:val="0"/>
                    <w:adjustRightInd/>
                    <w:snapToGrid w:val="0"/>
                    <w:textAlignment w:val="auto"/>
                  </w:pPr>
                </w:p>
              </w:tc>
              <w:tc>
                <w:tcPr>
                  <w:tcW w:w="613" w:type="pct"/>
                  <w:vMerge w:val="restart"/>
                  <w:tcBorders>
                    <w:tl2br w:val="nil"/>
                    <w:tr2bl w:val="nil"/>
                  </w:tcBorders>
                  <w:vAlign w:val="center"/>
                </w:tcPr>
                <w:p w14:paraId="3CAA1941">
                  <w:pPr>
                    <w:pStyle w:val="49"/>
                    <w:keepNext w:val="0"/>
                    <w:keepLines w:val="0"/>
                    <w:pageBreakBefore w:val="0"/>
                    <w:widowControl w:val="0"/>
                    <w:kinsoku/>
                    <w:wordWrap/>
                    <w:overflowPunct/>
                    <w:topLinePunct w:val="0"/>
                    <w:autoSpaceDE/>
                    <w:autoSpaceDN/>
                    <w:bidi w:val="0"/>
                    <w:adjustRightInd/>
                    <w:snapToGrid w:val="0"/>
                    <w:textAlignment w:val="auto"/>
                    <w:rPr>
                      <w:rFonts w:hint="eastAsia" w:eastAsia="宋体"/>
                      <w:lang w:val="en-US" w:eastAsia="zh-CN"/>
                    </w:rPr>
                  </w:pPr>
                  <w:r>
                    <w:rPr>
                      <w:rFonts w:hint="eastAsia"/>
                      <w:lang w:val="en-US" w:eastAsia="zh-CN"/>
                    </w:rPr>
                    <w:t>废气</w:t>
                  </w:r>
                </w:p>
              </w:tc>
              <w:tc>
                <w:tcPr>
                  <w:tcW w:w="1199" w:type="pct"/>
                  <w:tcBorders>
                    <w:tl2br w:val="nil"/>
                    <w:tr2bl w:val="nil"/>
                  </w:tcBorders>
                  <w:vAlign w:val="center"/>
                </w:tcPr>
                <w:p w14:paraId="5F25D3A3">
                  <w:pPr>
                    <w:pStyle w:val="49"/>
                    <w:keepNext w:val="0"/>
                    <w:keepLines w:val="0"/>
                    <w:pageBreakBefore w:val="0"/>
                    <w:widowControl w:val="0"/>
                    <w:kinsoku/>
                    <w:wordWrap/>
                    <w:overflowPunct/>
                    <w:topLinePunct w:val="0"/>
                    <w:autoSpaceDE/>
                    <w:autoSpaceDN/>
                    <w:bidi w:val="0"/>
                    <w:adjustRightInd/>
                    <w:snapToGrid w:val="0"/>
                    <w:textAlignment w:val="auto"/>
                    <w:rPr>
                      <w:rFonts w:hint="default" w:eastAsia="宋体"/>
                      <w:lang w:val="en-US" w:eastAsia="zh-CN"/>
                    </w:rPr>
                  </w:pPr>
                  <w:r>
                    <w:rPr>
                      <w:rFonts w:hint="eastAsia"/>
                      <w:lang w:val="en-US" w:eastAsia="zh-CN"/>
                    </w:rPr>
                    <w:t>储油罐大小呼吸废气</w:t>
                  </w:r>
                </w:p>
              </w:tc>
              <w:tc>
                <w:tcPr>
                  <w:tcW w:w="1211" w:type="pct"/>
                  <w:tcBorders>
                    <w:tl2br w:val="nil"/>
                    <w:tr2bl w:val="nil"/>
                  </w:tcBorders>
                  <w:vAlign w:val="center"/>
                </w:tcPr>
                <w:p w14:paraId="7CC4B889">
                  <w:pPr>
                    <w:pStyle w:val="49"/>
                    <w:keepNext w:val="0"/>
                    <w:keepLines w:val="0"/>
                    <w:pageBreakBefore w:val="0"/>
                    <w:widowControl w:val="0"/>
                    <w:kinsoku/>
                    <w:wordWrap/>
                    <w:overflowPunct/>
                    <w:topLinePunct w:val="0"/>
                    <w:autoSpaceDE/>
                    <w:autoSpaceDN/>
                    <w:bidi w:val="0"/>
                    <w:adjustRightInd/>
                    <w:snapToGrid w:val="0"/>
                    <w:textAlignment w:val="auto"/>
                    <w:rPr>
                      <w:rFonts w:hint="eastAsia"/>
                    </w:rPr>
                  </w:pPr>
                  <w:r>
                    <w:rPr>
                      <w:rFonts w:hint="eastAsia"/>
                    </w:rPr>
                    <w:t>卸油、储油</w:t>
                  </w:r>
                </w:p>
              </w:tc>
              <w:tc>
                <w:tcPr>
                  <w:tcW w:w="1459" w:type="pct"/>
                  <w:tcBorders>
                    <w:tl2br w:val="nil"/>
                    <w:tr2bl w:val="nil"/>
                  </w:tcBorders>
                  <w:vAlign w:val="center"/>
                </w:tcPr>
                <w:p w14:paraId="7DD74325">
                  <w:pPr>
                    <w:pStyle w:val="49"/>
                    <w:keepNext w:val="0"/>
                    <w:keepLines w:val="0"/>
                    <w:pageBreakBefore w:val="0"/>
                    <w:widowControl w:val="0"/>
                    <w:kinsoku/>
                    <w:wordWrap/>
                    <w:overflowPunct/>
                    <w:topLinePunct w:val="0"/>
                    <w:autoSpaceDE/>
                    <w:autoSpaceDN/>
                    <w:bidi w:val="0"/>
                    <w:adjustRightInd/>
                    <w:snapToGrid w:val="0"/>
                    <w:textAlignment w:val="auto"/>
                    <w:rPr>
                      <w:rFonts w:hint="eastAsia"/>
                    </w:rPr>
                  </w:pPr>
                  <w:r>
                    <w:rPr>
                      <w:rFonts w:hint="eastAsia"/>
                    </w:rPr>
                    <w:t>非甲烷总烃</w:t>
                  </w:r>
                </w:p>
              </w:tc>
            </w:tr>
            <w:tr w14:paraId="73DB68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0" w:type="pct"/>
                <w:trHeight w:val="131" w:hRule="atLeast"/>
                <w:jc w:val="center"/>
              </w:trPr>
              <w:tc>
                <w:tcPr>
                  <w:tcW w:w="504" w:type="pct"/>
                  <w:vMerge w:val="continue"/>
                  <w:tcBorders>
                    <w:tl2br w:val="nil"/>
                    <w:tr2bl w:val="nil"/>
                  </w:tcBorders>
                  <w:vAlign w:val="center"/>
                </w:tcPr>
                <w:p w14:paraId="2D2E4C1A">
                  <w:pPr>
                    <w:pStyle w:val="49"/>
                    <w:keepNext w:val="0"/>
                    <w:keepLines w:val="0"/>
                    <w:pageBreakBefore w:val="0"/>
                    <w:widowControl w:val="0"/>
                    <w:kinsoku/>
                    <w:wordWrap/>
                    <w:overflowPunct/>
                    <w:topLinePunct w:val="0"/>
                    <w:autoSpaceDE/>
                    <w:autoSpaceDN/>
                    <w:bidi w:val="0"/>
                    <w:adjustRightInd/>
                    <w:snapToGrid w:val="0"/>
                    <w:textAlignment w:val="auto"/>
                  </w:pPr>
                </w:p>
              </w:tc>
              <w:tc>
                <w:tcPr>
                  <w:tcW w:w="613" w:type="pct"/>
                  <w:vMerge w:val="continue"/>
                  <w:tcBorders>
                    <w:tl2br w:val="nil"/>
                    <w:tr2bl w:val="nil"/>
                  </w:tcBorders>
                  <w:vAlign w:val="center"/>
                </w:tcPr>
                <w:p w14:paraId="2FF95546">
                  <w:pPr>
                    <w:pStyle w:val="49"/>
                    <w:keepNext w:val="0"/>
                    <w:keepLines w:val="0"/>
                    <w:pageBreakBefore w:val="0"/>
                    <w:widowControl w:val="0"/>
                    <w:kinsoku/>
                    <w:wordWrap/>
                    <w:overflowPunct/>
                    <w:topLinePunct w:val="0"/>
                    <w:autoSpaceDE/>
                    <w:autoSpaceDN/>
                    <w:bidi w:val="0"/>
                    <w:adjustRightInd/>
                    <w:snapToGrid w:val="0"/>
                    <w:textAlignment w:val="auto"/>
                  </w:pPr>
                </w:p>
              </w:tc>
              <w:tc>
                <w:tcPr>
                  <w:tcW w:w="1199" w:type="pct"/>
                  <w:tcBorders>
                    <w:tl2br w:val="nil"/>
                    <w:tr2bl w:val="nil"/>
                  </w:tcBorders>
                  <w:vAlign w:val="center"/>
                </w:tcPr>
                <w:p w14:paraId="52CD3136">
                  <w:pPr>
                    <w:pStyle w:val="49"/>
                    <w:keepNext w:val="0"/>
                    <w:keepLines w:val="0"/>
                    <w:pageBreakBefore w:val="0"/>
                    <w:widowControl w:val="0"/>
                    <w:kinsoku/>
                    <w:wordWrap/>
                    <w:overflowPunct/>
                    <w:topLinePunct w:val="0"/>
                    <w:autoSpaceDE/>
                    <w:autoSpaceDN/>
                    <w:bidi w:val="0"/>
                    <w:adjustRightInd/>
                    <w:snapToGrid w:val="0"/>
                    <w:textAlignment w:val="auto"/>
                    <w:rPr>
                      <w:rFonts w:hint="default"/>
                      <w:lang w:val="en-US" w:eastAsia="zh-CN"/>
                    </w:rPr>
                  </w:pPr>
                  <w:r>
                    <w:rPr>
                      <w:rFonts w:hint="eastAsia"/>
                      <w:lang w:val="en-US" w:eastAsia="zh-CN"/>
                    </w:rPr>
                    <w:t>加油挥发油气</w:t>
                  </w:r>
                </w:p>
              </w:tc>
              <w:tc>
                <w:tcPr>
                  <w:tcW w:w="1211" w:type="pct"/>
                  <w:tcBorders>
                    <w:tl2br w:val="nil"/>
                    <w:tr2bl w:val="nil"/>
                  </w:tcBorders>
                  <w:vAlign w:val="center"/>
                </w:tcPr>
                <w:p w14:paraId="01CDC13E">
                  <w:pPr>
                    <w:pStyle w:val="49"/>
                    <w:keepNext w:val="0"/>
                    <w:keepLines w:val="0"/>
                    <w:pageBreakBefore w:val="0"/>
                    <w:widowControl w:val="0"/>
                    <w:kinsoku/>
                    <w:wordWrap/>
                    <w:overflowPunct/>
                    <w:topLinePunct w:val="0"/>
                    <w:autoSpaceDE/>
                    <w:autoSpaceDN/>
                    <w:bidi w:val="0"/>
                    <w:adjustRightInd/>
                    <w:snapToGrid w:val="0"/>
                    <w:textAlignment w:val="auto"/>
                    <w:rPr>
                      <w:rFonts w:hint="default"/>
                      <w:lang w:val="en-US" w:eastAsia="zh-CN"/>
                    </w:rPr>
                  </w:pPr>
                  <w:r>
                    <w:rPr>
                      <w:rFonts w:hint="eastAsia"/>
                      <w:lang w:val="en-US" w:eastAsia="zh-CN"/>
                    </w:rPr>
                    <w:t>加油</w:t>
                  </w:r>
                </w:p>
              </w:tc>
              <w:tc>
                <w:tcPr>
                  <w:tcW w:w="1459" w:type="pct"/>
                  <w:tcBorders>
                    <w:tl2br w:val="nil"/>
                    <w:tr2bl w:val="nil"/>
                  </w:tcBorders>
                  <w:vAlign w:val="center"/>
                </w:tcPr>
                <w:p w14:paraId="0DC816D3">
                  <w:pPr>
                    <w:pStyle w:val="49"/>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r>
                    <w:rPr>
                      <w:rFonts w:hint="eastAsia"/>
                    </w:rPr>
                    <w:t>非甲烷总烃</w:t>
                  </w:r>
                </w:p>
              </w:tc>
            </w:tr>
            <w:tr w14:paraId="1B8EB1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0" w:type="pct"/>
                <w:trHeight w:val="131" w:hRule="atLeast"/>
                <w:jc w:val="center"/>
              </w:trPr>
              <w:tc>
                <w:tcPr>
                  <w:tcW w:w="504" w:type="pct"/>
                  <w:vMerge w:val="continue"/>
                  <w:tcBorders>
                    <w:tl2br w:val="nil"/>
                    <w:tr2bl w:val="nil"/>
                  </w:tcBorders>
                  <w:vAlign w:val="center"/>
                </w:tcPr>
                <w:p w14:paraId="1E7389A3">
                  <w:pPr>
                    <w:pStyle w:val="49"/>
                    <w:keepNext w:val="0"/>
                    <w:keepLines w:val="0"/>
                    <w:pageBreakBefore w:val="0"/>
                    <w:widowControl w:val="0"/>
                    <w:kinsoku/>
                    <w:wordWrap/>
                    <w:overflowPunct/>
                    <w:topLinePunct w:val="0"/>
                    <w:autoSpaceDE/>
                    <w:autoSpaceDN/>
                    <w:bidi w:val="0"/>
                    <w:adjustRightInd/>
                    <w:snapToGrid w:val="0"/>
                    <w:textAlignment w:val="auto"/>
                    <w:rPr>
                      <w:rFonts w:hint="eastAsia"/>
                    </w:rPr>
                  </w:pPr>
                </w:p>
              </w:tc>
              <w:tc>
                <w:tcPr>
                  <w:tcW w:w="613" w:type="pct"/>
                  <w:vMerge w:val="continue"/>
                  <w:tcBorders>
                    <w:tl2br w:val="nil"/>
                    <w:tr2bl w:val="nil"/>
                  </w:tcBorders>
                  <w:vAlign w:val="center"/>
                </w:tcPr>
                <w:p w14:paraId="3E8B7021">
                  <w:pPr>
                    <w:pStyle w:val="49"/>
                    <w:keepNext w:val="0"/>
                    <w:keepLines w:val="0"/>
                    <w:pageBreakBefore w:val="0"/>
                    <w:widowControl w:val="0"/>
                    <w:kinsoku/>
                    <w:wordWrap/>
                    <w:overflowPunct/>
                    <w:topLinePunct w:val="0"/>
                    <w:autoSpaceDE/>
                    <w:autoSpaceDN/>
                    <w:bidi w:val="0"/>
                    <w:adjustRightInd/>
                    <w:snapToGrid w:val="0"/>
                    <w:textAlignment w:val="auto"/>
                    <w:rPr>
                      <w:rFonts w:hint="eastAsia"/>
                    </w:rPr>
                  </w:pPr>
                </w:p>
              </w:tc>
              <w:tc>
                <w:tcPr>
                  <w:tcW w:w="1199" w:type="pct"/>
                  <w:tcBorders>
                    <w:tl2br w:val="nil"/>
                    <w:tr2bl w:val="nil"/>
                  </w:tcBorders>
                  <w:vAlign w:val="center"/>
                </w:tcPr>
                <w:p w14:paraId="1223BE3F">
                  <w:pPr>
                    <w:pStyle w:val="49"/>
                    <w:keepNext w:val="0"/>
                    <w:keepLines w:val="0"/>
                    <w:pageBreakBefore w:val="0"/>
                    <w:widowControl w:val="0"/>
                    <w:kinsoku/>
                    <w:wordWrap/>
                    <w:overflowPunct/>
                    <w:topLinePunct w:val="0"/>
                    <w:autoSpaceDE/>
                    <w:autoSpaceDN/>
                    <w:bidi w:val="0"/>
                    <w:adjustRightInd/>
                    <w:snapToGrid w:val="0"/>
                    <w:textAlignment w:val="auto"/>
                    <w:rPr>
                      <w:rFonts w:hint="eastAsia"/>
                    </w:rPr>
                  </w:pPr>
                  <w:r>
                    <w:rPr>
                      <w:rFonts w:hint="eastAsia" w:ascii="宋体" w:hAnsi="宋体"/>
                    </w:rPr>
                    <w:t>汽车尾气</w:t>
                  </w:r>
                </w:p>
              </w:tc>
              <w:tc>
                <w:tcPr>
                  <w:tcW w:w="1211" w:type="pct"/>
                  <w:tcBorders>
                    <w:tl2br w:val="nil"/>
                    <w:tr2bl w:val="nil"/>
                  </w:tcBorders>
                  <w:vAlign w:val="center"/>
                </w:tcPr>
                <w:p w14:paraId="38DD115A">
                  <w:pPr>
                    <w:pStyle w:val="49"/>
                    <w:keepNext w:val="0"/>
                    <w:keepLines w:val="0"/>
                    <w:pageBreakBefore w:val="0"/>
                    <w:widowControl w:val="0"/>
                    <w:kinsoku/>
                    <w:wordWrap/>
                    <w:overflowPunct/>
                    <w:topLinePunct w:val="0"/>
                    <w:autoSpaceDE/>
                    <w:autoSpaceDN/>
                    <w:bidi w:val="0"/>
                    <w:adjustRightInd/>
                    <w:snapToGrid w:val="0"/>
                    <w:textAlignment w:val="auto"/>
                    <w:rPr>
                      <w:rFonts w:hint="eastAsia"/>
                    </w:rPr>
                  </w:pPr>
                  <w:r>
                    <w:rPr>
                      <w:rFonts w:hint="eastAsia"/>
                    </w:rPr>
                    <w:t>加油车辆</w:t>
                  </w:r>
                </w:p>
              </w:tc>
              <w:tc>
                <w:tcPr>
                  <w:tcW w:w="1459" w:type="pct"/>
                  <w:tcBorders>
                    <w:tl2br w:val="nil"/>
                    <w:tr2bl w:val="nil"/>
                  </w:tcBorders>
                  <w:vAlign w:val="center"/>
                </w:tcPr>
                <w:p w14:paraId="3641E061">
                  <w:pPr>
                    <w:pStyle w:val="49"/>
                    <w:keepNext w:val="0"/>
                    <w:keepLines w:val="0"/>
                    <w:pageBreakBefore w:val="0"/>
                    <w:widowControl w:val="0"/>
                    <w:kinsoku/>
                    <w:wordWrap/>
                    <w:overflowPunct/>
                    <w:topLinePunct w:val="0"/>
                    <w:autoSpaceDE/>
                    <w:autoSpaceDN/>
                    <w:bidi w:val="0"/>
                    <w:adjustRightInd/>
                    <w:snapToGrid w:val="0"/>
                    <w:textAlignment w:val="auto"/>
                    <w:rPr>
                      <w:rFonts w:hint="eastAsia"/>
                    </w:rPr>
                  </w:pPr>
                  <w:r>
                    <w:rPr>
                      <w:kern w:val="0"/>
                    </w:rPr>
                    <w:t>CO</w:t>
                  </w:r>
                  <w:r>
                    <w:rPr>
                      <w:rFonts w:hint="eastAsia"/>
                      <w:kern w:val="0"/>
                    </w:rPr>
                    <w:t>、</w:t>
                  </w:r>
                  <w:r>
                    <w:t>NO</w:t>
                  </w:r>
                  <w:r>
                    <w:rPr>
                      <w:vertAlign w:val="subscript"/>
                    </w:rPr>
                    <w:t>x</w:t>
                  </w:r>
                  <w:r>
                    <w:rPr>
                      <w:rFonts w:hint="eastAsia"/>
                      <w:kern w:val="0"/>
                    </w:rPr>
                    <w:t>、</w:t>
                  </w:r>
                  <w:r>
                    <w:rPr>
                      <w:kern w:val="0"/>
                    </w:rPr>
                    <w:t>THC</w:t>
                  </w:r>
                </w:p>
              </w:tc>
            </w:tr>
            <w:tr w14:paraId="2F042C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0" w:type="pct"/>
                <w:trHeight w:val="0" w:hRule="atLeast"/>
                <w:jc w:val="center"/>
              </w:trPr>
              <w:tc>
                <w:tcPr>
                  <w:tcW w:w="504" w:type="pct"/>
                  <w:vMerge w:val="continue"/>
                  <w:tcBorders>
                    <w:tl2br w:val="nil"/>
                    <w:tr2bl w:val="nil"/>
                  </w:tcBorders>
                  <w:vAlign w:val="center"/>
                </w:tcPr>
                <w:p w14:paraId="0007F95A">
                  <w:pPr>
                    <w:pStyle w:val="49"/>
                    <w:keepNext w:val="0"/>
                    <w:keepLines w:val="0"/>
                    <w:pageBreakBefore w:val="0"/>
                    <w:widowControl w:val="0"/>
                    <w:kinsoku/>
                    <w:wordWrap/>
                    <w:overflowPunct/>
                    <w:topLinePunct w:val="0"/>
                    <w:autoSpaceDE/>
                    <w:autoSpaceDN/>
                    <w:bidi w:val="0"/>
                    <w:adjustRightInd/>
                    <w:snapToGrid w:val="0"/>
                    <w:textAlignment w:val="auto"/>
                  </w:pPr>
                </w:p>
              </w:tc>
              <w:tc>
                <w:tcPr>
                  <w:tcW w:w="613" w:type="pct"/>
                  <w:tcBorders>
                    <w:tl2br w:val="nil"/>
                    <w:tr2bl w:val="nil"/>
                  </w:tcBorders>
                  <w:vAlign w:val="center"/>
                </w:tcPr>
                <w:p w14:paraId="7A2C7AEB">
                  <w:pPr>
                    <w:pStyle w:val="49"/>
                    <w:keepNext w:val="0"/>
                    <w:keepLines w:val="0"/>
                    <w:pageBreakBefore w:val="0"/>
                    <w:widowControl w:val="0"/>
                    <w:kinsoku/>
                    <w:wordWrap/>
                    <w:overflowPunct/>
                    <w:topLinePunct w:val="0"/>
                    <w:autoSpaceDE/>
                    <w:autoSpaceDN/>
                    <w:bidi w:val="0"/>
                    <w:adjustRightInd/>
                    <w:snapToGrid w:val="0"/>
                    <w:textAlignment w:val="auto"/>
                    <w:rPr>
                      <w:rFonts w:hint="eastAsia" w:eastAsia="宋体"/>
                      <w:lang w:val="en-US" w:eastAsia="zh-CN"/>
                    </w:rPr>
                  </w:pPr>
                  <w:r>
                    <w:rPr>
                      <w:rFonts w:hint="eastAsia"/>
                      <w:lang w:val="en-US" w:eastAsia="zh-CN"/>
                    </w:rPr>
                    <w:t>噪声</w:t>
                  </w:r>
                </w:p>
              </w:tc>
              <w:tc>
                <w:tcPr>
                  <w:tcW w:w="2410" w:type="pct"/>
                  <w:gridSpan w:val="2"/>
                  <w:tcBorders>
                    <w:tl2br w:val="nil"/>
                    <w:tr2bl w:val="nil"/>
                  </w:tcBorders>
                  <w:vAlign w:val="center"/>
                </w:tcPr>
                <w:p w14:paraId="66F5ECA1">
                  <w:pPr>
                    <w:pStyle w:val="49"/>
                    <w:keepNext w:val="0"/>
                    <w:keepLines w:val="0"/>
                    <w:pageBreakBefore w:val="0"/>
                    <w:widowControl w:val="0"/>
                    <w:kinsoku/>
                    <w:wordWrap/>
                    <w:overflowPunct/>
                    <w:topLinePunct w:val="0"/>
                    <w:autoSpaceDE/>
                    <w:autoSpaceDN/>
                    <w:bidi w:val="0"/>
                    <w:adjustRightInd/>
                    <w:snapToGrid w:val="0"/>
                    <w:textAlignment w:val="auto"/>
                    <w:rPr>
                      <w:rFonts w:hint="eastAsia" w:ascii="宋体" w:hAnsi="宋体"/>
                    </w:rPr>
                  </w:pPr>
                  <w:r>
                    <w:rPr>
                      <w:szCs w:val="21"/>
                    </w:rPr>
                    <w:t>仪器设备运行产生噪声</w:t>
                  </w:r>
                </w:p>
              </w:tc>
              <w:tc>
                <w:tcPr>
                  <w:tcW w:w="1459" w:type="pct"/>
                  <w:tcBorders>
                    <w:tl2br w:val="nil"/>
                    <w:tr2bl w:val="nil"/>
                  </w:tcBorders>
                  <w:vAlign w:val="center"/>
                </w:tcPr>
                <w:p w14:paraId="000C7314">
                  <w:pPr>
                    <w:pStyle w:val="49"/>
                    <w:keepNext w:val="0"/>
                    <w:keepLines w:val="0"/>
                    <w:pageBreakBefore w:val="0"/>
                    <w:widowControl w:val="0"/>
                    <w:kinsoku/>
                    <w:wordWrap/>
                    <w:overflowPunct/>
                    <w:topLinePunct w:val="0"/>
                    <w:autoSpaceDE/>
                    <w:autoSpaceDN/>
                    <w:bidi w:val="0"/>
                    <w:adjustRightInd/>
                    <w:snapToGrid w:val="0"/>
                    <w:textAlignment w:val="auto"/>
                    <w:rPr>
                      <w:rFonts w:hint="eastAsia" w:ascii="宋体" w:hAnsi="宋体"/>
                    </w:rPr>
                  </w:pPr>
                  <w:r>
                    <w:rPr>
                      <w:rFonts w:hint="eastAsia"/>
                      <w:szCs w:val="21"/>
                    </w:rPr>
                    <w:t>等效连续A声级</w:t>
                  </w:r>
                </w:p>
              </w:tc>
            </w:tr>
            <w:tr w14:paraId="7E2A21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0" w:type="pct"/>
                <w:trHeight w:val="131" w:hRule="atLeast"/>
                <w:jc w:val="center"/>
              </w:trPr>
              <w:tc>
                <w:tcPr>
                  <w:tcW w:w="504" w:type="pct"/>
                  <w:vMerge w:val="continue"/>
                  <w:tcBorders>
                    <w:tl2br w:val="nil"/>
                    <w:tr2bl w:val="nil"/>
                  </w:tcBorders>
                  <w:vAlign w:val="center"/>
                </w:tcPr>
                <w:p w14:paraId="6C0A66AA">
                  <w:pPr>
                    <w:pStyle w:val="49"/>
                    <w:keepNext w:val="0"/>
                    <w:keepLines w:val="0"/>
                    <w:pageBreakBefore w:val="0"/>
                    <w:widowControl w:val="0"/>
                    <w:kinsoku/>
                    <w:wordWrap/>
                    <w:overflowPunct/>
                    <w:topLinePunct w:val="0"/>
                    <w:autoSpaceDE/>
                    <w:autoSpaceDN/>
                    <w:bidi w:val="0"/>
                    <w:adjustRightInd/>
                    <w:snapToGrid w:val="0"/>
                    <w:textAlignment w:val="auto"/>
                  </w:pPr>
                </w:p>
              </w:tc>
              <w:tc>
                <w:tcPr>
                  <w:tcW w:w="613" w:type="pct"/>
                  <w:vMerge w:val="restart"/>
                  <w:tcBorders>
                    <w:tl2br w:val="nil"/>
                    <w:tr2bl w:val="nil"/>
                  </w:tcBorders>
                  <w:vAlign w:val="center"/>
                </w:tcPr>
                <w:p w14:paraId="37F274F5">
                  <w:pPr>
                    <w:pStyle w:val="49"/>
                    <w:keepNext w:val="0"/>
                    <w:keepLines w:val="0"/>
                    <w:pageBreakBefore w:val="0"/>
                    <w:widowControl w:val="0"/>
                    <w:kinsoku/>
                    <w:wordWrap/>
                    <w:overflowPunct/>
                    <w:topLinePunct w:val="0"/>
                    <w:autoSpaceDE/>
                    <w:autoSpaceDN/>
                    <w:bidi w:val="0"/>
                    <w:adjustRightInd/>
                    <w:snapToGrid w:val="0"/>
                    <w:textAlignment w:val="auto"/>
                    <w:rPr>
                      <w:rFonts w:hint="eastAsia" w:eastAsia="宋体"/>
                      <w:lang w:val="en-US" w:eastAsia="zh-CN"/>
                    </w:rPr>
                  </w:pPr>
                  <w:r>
                    <w:rPr>
                      <w:rFonts w:hint="eastAsia"/>
                      <w:lang w:val="en-US" w:eastAsia="zh-CN"/>
                    </w:rPr>
                    <w:t>固废</w:t>
                  </w:r>
                </w:p>
              </w:tc>
              <w:tc>
                <w:tcPr>
                  <w:tcW w:w="1199" w:type="pct"/>
                  <w:tcBorders>
                    <w:tl2br w:val="nil"/>
                    <w:tr2bl w:val="nil"/>
                  </w:tcBorders>
                  <w:vAlign w:val="center"/>
                </w:tcPr>
                <w:p w14:paraId="18E7DE12">
                  <w:pPr>
                    <w:pStyle w:val="49"/>
                    <w:keepNext w:val="0"/>
                    <w:keepLines w:val="0"/>
                    <w:pageBreakBefore w:val="0"/>
                    <w:widowControl w:val="0"/>
                    <w:kinsoku/>
                    <w:wordWrap/>
                    <w:overflowPunct/>
                    <w:topLinePunct w:val="0"/>
                    <w:autoSpaceDE/>
                    <w:autoSpaceDN/>
                    <w:bidi w:val="0"/>
                    <w:adjustRightInd/>
                    <w:snapToGrid w:val="0"/>
                    <w:textAlignment w:val="auto"/>
                  </w:pPr>
                  <w:r>
                    <w:rPr>
                      <w:rFonts w:hint="eastAsia"/>
                    </w:rPr>
                    <w:t>清罐废液</w:t>
                  </w:r>
                </w:p>
              </w:tc>
              <w:tc>
                <w:tcPr>
                  <w:tcW w:w="1211" w:type="pct"/>
                  <w:tcBorders>
                    <w:tl2br w:val="nil"/>
                    <w:tr2bl w:val="nil"/>
                  </w:tcBorders>
                  <w:vAlign w:val="center"/>
                </w:tcPr>
                <w:p w14:paraId="4B59BDDE">
                  <w:pPr>
                    <w:pStyle w:val="49"/>
                    <w:keepNext w:val="0"/>
                    <w:keepLines w:val="0"/>
                    <w:pageBreakBefore w:val="0"/>
                    <w:widowControl w:val="0"/>
                    <w:kinsoku/>
                    <w:wordWrap/>
                    <w:overflowPunct/>
                    <w:topLinePunct w:val="0"/>
                    <w:autoSpaceDE/>
                    <w:autoSpaceDN/>
                    <w:bidi w:val="0"/>
                    <w:adjustRightInd/>
                    <w:snapToGrid w:val="0"/>
                    <w:textAlignment w:val="auto"/>
                    <w:rPr>
                      <w:rFonts w:hint="default" w:eastAsia="宋体"/>
                      <w:lang w:val="en-US" w:eastAsia="zh-CN"/>
                    </w:rPr>
                  </w:pPr>
                  <w:r>
                    <w:rPr>
                      <w:rFonts w:hint="eastAsia"/>
                      <w:lang w:val="en-US" w:eastAsia="zh-CN"/>
                    </w:rPr>
                    <w:t>油罐清理</w:t>
                  </w:r>
                </w:p>
              </w:tc>
              <w:tc>
                <w:tcPr>
                  <w:tcW w:w="1459" w:type="pct"/>
                  <w:tcBorders>
                    <w:tl2br w:val="nil"/>
                    <w:tr2bl w:val="nil"/>
                  </w:tcBorders>
                  <w:vAlign w:val="center"/>
                </w:tcPr>
                <w:p w14:paraId="57DAC2B9">
                  <w:pPr>
                    <w:pStyle w:val="49"/>
                    <w:keepNext w:val="0"/>
                    <w:keepLines w:val="0"/>
                    <w:pageBreakBefore w:val="0"/>
                    <w:widowControl w:val="0"/>
                    <w:kinsoku/>
                    <w:wordWrap/>
                    <w:overflowPunct/>
                    <w:topLinePunct w:val="0"/>
                    <w:autoSpaceDE/>
                    <w:autoSpaceDN/>
                    <w:bidi w:val="0"/>
                    <w:adjustRightInd/>
                    <w:snapToGrid w:val="0"/>
                    <w:textAlignment w:val="auto"/>
                  </w:pPr>
                  <w:r>
                    <w:rPr>
                      <w:rFonts w:hint="eastAsia"/>
                    </w:rPr>
                    <w:t>清罐废液</w:t>
                  </w:r>
                </w:p>
              </w:tc>
            </w:tr>
            <w:tr w14:paraId="3C3893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0" w:type="pct"/>
                <w:trHeight w:val="131" w:hRule="atLeast"/>
                <w:jc w:val="center"/>
              </w:trPr>
              <w:tc>
                <w:tcPr>
                  <w:tcW w:w="504" w:type="pct"/>
                  <w:vMerge w:val="continue"/>
                  <w:tcBorders>
                    <w:tl2br w:val="nil"/>
                    <w:tr2bl w:val="nil"/>
                  </w:tcBorders>
                  <w:vAlign w:val="center"/>
                </w:tcPr>
                <w:p w14:paraId="54E3D04A">
                  <w:pPr>
                    <w:pStyle w:val="49"/>
                    <w:keepNext w:val="0"/>
                    <w:keepLines w:val="0"/>
                    <w:pageBreakBefore w:val="0"/>
                    <w:widowControl w:val="0"/>
                    <w:kinsoku/>
                    <w:wordWrap/>
                    <w:overflowPunct/>
                    <w:topLinePunct w:val="0"/>
                    <w:autoSpaceDE/>
                    <w:autoSpaceDN/>
                    <w:bidi w:val="0"/>
                    <w:adjustRightInd/>
                    <w:snapToGrid w:val="0"/>
                    <w:textAlignment w:val="auto"/>
                  </w:pPr>
                </w:p>
              </w:tc>
              <w:tc>
                <w:tcPr>
                  <w:tcW w:w="613" w:type="pct"/>
                  <w:vMerge w:val="continue"/>
                  <w:tcBorders>
                    <w:tl2br w:val="nil"/>
                    <w:tr2bl w:val="nil"/>
                  </w:tcBorders>
                  <w:vAlign w:val="center"/>
                </w:tcPr>
                <w:p w14:paraId="377619A0">
                  <w:pPr>
                    <w:pStyle w:val="49"/>
                    <w:keepNext w:val="0"/>
                    <w:keepLines w:val="0"/>
                    <w:pageBreakBefore w:val="0"/>
                    <w:widowControl w:val="0"/>
                    <w:kinsoku/>
                    <w:wordWrap/>
                    <w:overflowPunct/>
                    <w:topLinePunct w:val="0"/>
                    <w:autoSpaceDE/>
                    <w:autoSpaceDN/>
                    <w:bidi w:val="0"/>
                    <w:adjustRightInd/>
                    <w:snapToGrid w:val="0"/>
                    <w:textAlignment w:val="auto"/>
                    <w:rPr>
                      <w:rFonts w:ascii="宋体" w:hAnsi="宋体"/>
                    </w:rPr>
                  </w:pPr>
                </w:p>
              </w:tc>
              <w:tc>
                <w:tcPr>
                  <w:tcW w:w="1199" w:type="pct"/>
                  <w:tcBorders>
                    <w:tl2br w:val="nil"/>
                    <w:tr2bl w:val="nil"/>
                  </w:tcBorders>
                  <w:vAlign w:val="center"/>
                </w:tcPr>
                <w:p w14:paraId="64EA4875">
                  <w:pPr>
                    <w:pStyle w:val="49"/>
                    <w:keepNext w:val="0"/>
                    <w:keepLines w:val="0"/>
                    <w:pageBreakBefore w:val="0"/>
                    <w:widowControl w:val="0"/>
                    <w:kinsoku/>
                    <w:wordWrap/>
                    <w:overflowPunct/>
                    <w:topLinePunct w:val="0"/>
                    <w:autoSpaceDE/>
                    <w:autoSpaceDN/>
                    <w:bidi w:val="0"/>
                    <w:adjustRightInd/>
                    <w:snapToGrid w:val="0"/>
                    <w:textAlignment w:val="auto"/>
                    <w:rPr>
                      <w:rFonts w:hint="eastAsia" w:ascii="宋体" w:hAnsi="宋体" w:eastAsia="宋体"/>
                      <w:color w:val="FF0000"/>
                      <w:lang w:eastAsia="zh-CN"/>
                    </w:rPr>
                  </w:pPr>
                  <w:r>
                    <w:rPr>
                      <w:rFonts w:hint="eastAsia" w:ascii="宋体" w:hAnsi="宋体"/>
                      <w:color w:val="FF0000"/>
                    </w:rPr>
                    <w:t>含油</w:t>
                  </w:r>
                  <w:r>
                    <w:rPr>
                      <w:rFonts w:hint="eastAsia" w:ascii="宋体" w:hAnsi="宋体"/>
                      <w:color w:val="FF0000"/>
                      <w:lang w:val="en-US" w:eastAsia="zh-CN"/>
                    </w:rPr>
                    <w:t>污泥</w:t>
                  </w:r>
                </w:p>
              </w:tc>
              <w:tc>
                <w:tcPr>
                  <w:tcW w:w="1211" w:type="pct"/>
                  <w:tcBorders>
                    <w:tl2br w:val="nil"/>
                    <w:tr2bl w:val="nil"/>
                  </w:tcBorders>
                  <w:vAlign w:val="center"/>
                </w:tcPr>
                <w:p w14:paraId="4453CB3E">
                  <w:pPr>
                    <w:pStyle w:val="49"/>
                    <w:keepNext w:val="0"/>
                    <w:keepLines w:val="0"/>
                    <w:pageBreakBefore w:val="0"/>
                    <w:widowControl w:val="0"/>
                    <w:kinsoku/>
                    <w:wordWrap/>
                    <w:overflowPunct/>
                    <w:topLinePunct w:val="0"/>
                    <w:autoSpaceDE/>
                    <w:autoSpaceDN/>
                    <w:bidi w:val="0"/>
                    <w:adjustRightInd/>
                    <w:snapToGrid w:val="0"/>
                    <w:textAlignment w:val="auto"/>
                    <w:rPr>
                      <w:color w:val="FF0000"/>
                    </w:rPr>
                  </w:pPr>
                  <w:r>
                    <w:rPr>
                      <w:rFonts w:hint="eastAsia" w:ascii="宋体" w:hAnsi="宋体"/>
                      <w:color w:val="FF0000"/>
                    </w:rPr>
                    <w:t>隔油池</w:t>
                  </w:r>
                </w:p>
              </w:tc>
              <w:tc>
                <w:tcPr>
                  <w:tcW w:w="1459" w:type="pct"/>
                  <w:tcBorders>
                    <w:tl2br w:val="nil"/>
                    <w:tr2bl w:val="nil"/>
                  </w:tcBorders>
                  <w:vAlign w:val="center"/>
                </w:tcPr>
                <w:p w14:paraId="052A1CFF">
                  <w:pPr>
                    <w:pStyle w:val="49"/>
                    <w:keepNext w:val="0"/>
                    <w:keepLines w:val="0"/>
                    <w:pageBreakBefore w:val="0"/>
                    <w:widowControl w:val="0"/>
                    <w:kinsoku/>
                    <w:wordWrap/>
                    <w:overflowPunct/>
                    <w:topLinePunct w:val="0"/>
                    <w:autoSpaceDE/>
                    <w:autoSpaceDN/>
                    <w:bidi w:val="0"/>
                    <w:adjustRightInd/>
                    <w:snapToGrid w:val="0"/>
                    <w:textAlignment w:val="auto"/>
                    <w:rPr>
                      <w:rFonts w:hint="eastAsia" w:eastAsia="宋体"/>
                      <w:color w:val="FF0000"/>
                      <w:lang w:eastAsia="zh-CN"/>
                    </w:rPr>
                  </w:pPr>
                  <w:r>
                    <w:rPr>
                      <w:rFonts w:hint="eastAsia" w:ascii="宋体" w:hAnsi="宋体"/>
                      <w:color w:val="FF0000"/>
                    </w:rPr>
                    <w:t>含油</w:t>
                  </w:r>
                  <w:r>
                    <w:rPr>
                      <w:rFonts w:hint="eastAsia" w:ascii="宋体" w:hAnsi="宋体"/>
                      <w:color w:val="FF0000"/>
                      <w:lang w:val="en-US" w:eastAsia="zh-CN"/>
                    </w:rPr>
                    <w:t>污泥</w:t>
                  </w:r>
                </w:p>
              </w:tc>
            </w:tr>
            <w:tr w14:paraId="6AAAB1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0" w:type="pct"/>
                <w:trHeight w:val="131" w:hRule="atLeast"/>
                <w:jc w:val="center"/>
              </w:trPr>
              <w:tc>
                <w:tcPr>
                  <w:tcW w:w="504" w:type="pct"/>
                  <w:vMerge w:val="continue"/>
                  <w:tcBorders>
                    <w:tl2br w:val="nil"/>
                    <w:tr2bl w:val="nil"/>
                  </w:tcBorders>
                  <w:vAlign w:val="center"/>
                </w:tcPr>
                <w:p w14:paraId="6704C128">
                  <w:pPr>
                    <w:pStyle w:val="49"/>
                    <w:keepNext w:val="0"/>
                    <w:keepLines w:val="0"/>
                    <w:pageBreakBefore w:val="0"/>
                    <w:widowControl w:val="0"/>
                    <w:kinsoku/>
                    <w:wordWrap/>
                    <w:overflowPunct/>
                    <w:topLinePunct w:val="0"/>
                    <w:autoSpaceDE/>
                    <w:autoSpaceDN/>
                    <w:bidi w:val="0"/>
                    <w:adjustRightInd/>
                    <w:snapToGrid w:val="0"/>
                    <w:textAlignment w:val="auto"/>
                  </w:pPr>
                </w:p>
              </w:tc>
              <w:tc>
                <w:tcPr>
                  <w:tcW w:w="613" w:type="pct"/>
                  <w:vMerge w:val="continue"/>
                  <w:tcBorders>
                    <w:tl2br w:val="nil"/>
                    <w:tr2bl w:val="nil"/>
                  </w:tcBorders>
                  <w:vAlign w:val="center"/>
                </w:tcPr>
                <w:p w14:paraId="2C7C9310">
                  <w:pPr>
                    <w:pStyle w:val="49"/>
                    <w:keepNext w:val="0"/>
                    <w:keepLines w:val="0"/>
                    <w:pageBreakBefore w:val="0"/>
                    <w:widowControl w:val="0"/>
                    <w:kinsoku/>
                    <w:wordWrap/>
                    <w:overflowPunct/>
                    <w:topLinePunct w:val="0"/>
                    <w:autoSpaceDE/>
                    <w:autoSpaceDN/>
                    <w:bidi w:val="0"/>
                    <w:adjustRightInd/>
                    <w:snapToGrid w:val="0"/>
                    <w:textAlignment w:val="auto"/>
                  </w:pPr>
                </w:p>
              </w:tc>
              <w:tc>
                <w:tcPr>
                  <w:tcW w:w="1199" w:type="pct"/>
                  <w:tcBorders>
                    <w:tl2br w:val="nil"/>
                    <w:tr2bl w:val="nil"/>
                  </w:tcBorders>
                  <w:vAlign w:val="center"/>
                </w:tcPr>
                <w:p w14:paraId="5E95BCCB">
                  <w:pPr>
                    <w:pStyle w:val="49"/>
                    <w:keepNext w:val="0"/>
                    <w:keepLines w:val="0"/>
                    <w:pageBreakBefore w:val="0"/>
                    <w:widowControl w:val="0"/>
                    <w:kinsoku/>
                    <w:wordWrap/>
                    <w:overflowPunct/>
                    <w:topLinePunct w:val="0"/>
                    <w:autoSpaceDE/>
                    <w:autoSpaceDN/>
                    <w:bidi w:val="0"/>
                    <w:adjustRightInd/>
                    <w:snapToGrid w:val="0"/>
                    <w:textAlignment w:val="auto"/>
                    <w:rPr>
                      <w:rFonts w:hint="default" w:ascii="宋体" w:hAnsi="宋体" w:eastAsia="宋体"/>
                      <w:lang w:val="en-US" w:eastAsia="zh-CN"/>
                    </w:rPr>
                  </w:pPr>
                  <w:r>
                    <w:rPr>
                      <w:rFonts w:hint="eastAsia" w:ascii="宋体" w:hAnsi="宋体"/>
                      <w:lang w:val="en-US" w:eastAsia="zh-CN"/>
                    </w:rPr>
                    <w:t>化粪池污泥</w:t>
                  </w:r>
                </w:p>
              </w:tc>
              <w:tc>
                <w:tcPr>
                  <w:tcW w:w="1211" w:type="pct"/>
                  <w:tcBorders>
                    <w:tl2br w:val="nil"/>
                    <w:tr2bl w:val="nil"/>
                  </w:tcBorders>
                  <w:vAlign w:val="center"/>
                </w:tcPr>
                <w:p w14:paraId="5BE69D9A">
                  <w:pPr>
                    <w:pStyle w:val="49"/>
                    <w:keepNext w:val="0"/>
                    <w:keepLines w:val="0"/>
                    <w:pageBreakBefore w:val="0"/>
                    <w:widowControl w:val="0"/>
                    <w:kinsoku/>
                    <w:wordWrap/>
                    <w:overflowPunct/>
                    <w:topLinePunct w:val="0"/>
                    <w:autoSpaceDE/>
                    <w:autoSpaceDN/>
                    <w:bidi w:val="0"/>
                    <w:adjustRightInd/>
                    <w:snapToGrid w:val="0"/>
                    <w:textAlignment w:val="auto"/>
                    <w:rPr>
                      <w:rFonts w:hint="eastAsia" w:ascii="宋体" w:hAnsi="宋体" w:eastAsia="宋体"/>
                      <w:lang w:val="en-US" w:eastAsia="zh-CN"/>
                    </w:rPr>
                  </w:pPr>
                  <w:r>
                    <w:rPr>
                      <w:rFonts w:hint="eastAsia" w:ascii="宋体" w:hAnsi="宋体"/>
                      <w:lang w:val="en-US" w:eastAsia="zh-CN"/>
                    </w:rPr>
                    <w:t>化粪池</w:t>
                  </w:r>
                </w:p>
              </w:tc>
              <w:tc>
                <w:tcPr>
                  <w:tcW w:w="1459" w:type="pct"/>
                  <w:tcBorders>
                    <w:tl2br w:val="nil"/>
                    <w:tr2bl w:val="nil"/>
                  </w:tcBorders>
                  <w:vAlign w:val="center"/>
                </w:tcPr>
                <w:p w14:paraId="310889FD">
                  <w:pPr>
                    <w:pStyle w:val="49"/>
                    <w:keepNext w:val="0"/>
                    <w:keepLines w:val="0"/>
                    <w:pageBreakBefore w:val="0"/>
                    <w:widowControl w:val="0"/>
                    <w:kinsoku/>
                    <w:wordWrap/>
                    <w:overflowPunct/>
                    <w:topLinePunct w:val="0"/>
                    <w:autoSpaceDE/>
                    <w:autoSpaceDN/>
                    <w:bidi w:val="0"/>
                    <w:adjustRightInd/>
                    <w:snapToGrid w:val="0"/>
                    <w:textAlignment w:val="auto"/>
                    <w:rPr>
                      <w:rFonts w:hint="eastAsia" w:ascii="宋体" w:hAnsi="宋体"/>
                    </w:rPr>
                  </w:pPr>
                  <w:r>
                    <w:rPr>
                      <w:rFonts w:hint="eastAsia" w:ascii="宋体" w:hAnsi="宋体"/>
                      <w:lang w:val="en-US" w:eastAsia="zh-CN"/>
                    </w:rPr>
                    <w:t>化粪池污泥</w:t>
                  </w:r>
                </w:p>
              </w:tc>
            </w:tr>
            <w:tr w14:paraId="3AF1B1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0" w:type="pct"/>
                <w:trHeight w:val="131" w:hRule="atLeast"/>
                <w:jc w:val="center"/>
              </w:trPr>
              <w:tc>
                <w:tcPr>
                  <w:tcW w:w="504" w:type="pct"/>
                  <w:vMerge w:val="continue"/>
                  <w:tcBorders>
                    <w:tl2br w:val="nil"/>
                    <w:tr2bl w:val="nil"/>
                  </w:tcBorders>
                  <w:vAlign w:val="center"/>
                </w:tcPr>
                <w:p w14:paraId="190B94B6">
                  <w:pPr>
                    <w:pStyle w:val="49"/>
                    <w:keepNext w:val="0"/>
                    <w:keepLines w:val="0"/>
                    <w:pageBreakBefore w:val="0"/>
                    <w:widowControl w:val="0"/>
                    <w:kinsoku/>
                    <w:wordWrap/>
                    <w:overflowPunct/>
                    <w:topLinePunct w:val="0"/>
                    <w:autoSpaceDE/>
                    <w:autoSpaceDN/>
                    <w:bidi w:val="0"/>
                    <w:adjustRightInd/>
                    <w:snapToGrid w:val="0"/>
                    <w:textAlignment w:val="auto"/>
                  </w:pPr>
                </w:p>
              </w:tc>
              <w:tc>
                <w:tcPr>
                  <w:tcW w:w="613" w:type="pct"/>
                  <w:vMerge w:val="continue"/>
                  <w:tcBorders>
                    <w:tl2br w:val="nil"/>
                    <w:tr2bl w:val="nil"/>
                  </w:tcBorders>
                  <w:vAlign w:val="center"/>
                </w:tcPr>
                <w:p w14:paraId="10C74DBC">
                  <w:pPr>
                    <w:pStyle w:val="49"/>
                    <w:keepNext w:val="0"/>
                    <w:keepLines w:val="0"/>
                    <w:pageBreakBefore w:val="0"/>
                    <w:widowControl w:val="0"/>
                    <w:kinsoku/>
                    <w:wordWrap/>
                    <w:overflowPunct/>
                    <w:topLinePunct w:val="0"/>
                    <w:autoSpaceDE/>
                    <w:autoSpaceDN/>
                    <w:bidi w:val="0"/>
                    <w:adjustRightInd/>
                    <w:snapToGrid w:val="0"/>
                    <w:textAlignment w:val="auto"/>
                    <w:rPr>
                      <w:rFonts w:ascii="宋体" w:hAnsi="宋体"/>
                    </w:rPr>
                  </w:pPr>
                </w:p>
              </w:tc>
              <w:tc>
                <w:tcPr>
                  <w:tcW w:w="1199" w:type="pct"/>
                  <w:tcBorders>
                    <w:tl2br w:val="nil"/>
                    <w:tr2bl w:val="nil"/>
                  </w:tcBorders>
                  <w:vAlign w:val="center"/>
                </w:tcPr>
                <w:p w14:paraId="5C538217">
                  <w:pPr>
                    <w:pStyle w:val="49"/>
                    <w:keepNext w:val="0"/>
                    <w:keepLines w:val="0"/>
                    <w:pageBreakBefore w:val="0"/>
                    <w:widowControl w:val="0"/>
                    <w:kinsoku/>
                    <w:wordWrap/>
                    <w:overflowPunct/>
                    <w:topLinePunct w:val="0"/>
                    <w:autoSpaceDE/>
                    <w:autoSpaceDN/>
                    <w:bidi w:val="0"/>
                    <w:adjustRightInd/>
                    <w:snapToGrid w:val="0"/>
                    <w:textAlignment w:val="auto"/>
                    <w:rPr>
                      <w:rFonts w:ascii="宋体" w:hAnsi="宋体"/>
                    </w:rPr>
                  </w:pPr>
                  <w:r>
                    <w:rPr>
                      <w:rFonts w:hint="eastAsia"/>
                      <w:color w:val="000000"/>
                      <w:lang w:val="en-US" w:eastAsia="zh-CN"/>
                    </w:rPr>
                    <w:t>废吸油毡</w:t>
                  </w:r>
                </w:p>
              </w:tc>
              <w:tc>
                <w:tcPr>
                  <w:tcW w:w="1211" w:type="pct"/>
                  <w:tcBorders>
                    <w:tl2br w:val="nil"/>
                    <w:tr2bl w:val="nil"/>
                  </w:tcBorders>
                  <w:vAlign w:val="center"/>
                </w:tcPr>
                <w:p w14:paraId="163EA99A">
                  <w:pPr>
                    <w:pStyle w:val="49"/>
                    <w:keepNext w:val="0"/>
                    <w:keepLines w:val="0"/>
                    <w:pageBreakBefore w:val="0"/>
                    <w:widowControl w:val="0"/>
                    <w:kinsoku/>
                    <w:wordWrap/>
                    <w:overflowPunct/>
                    <w:topLinePunct w:val="0"/>
                    <w:autoSpaceDE/>
                    <w:autoSpaceDN/>
                    <w:bidi w:val="0"/>
                    <w:adjustRightInd/>
                    <w:snapToGrid w:val="0"/>
                    <w:textAlignment w:val="auto"/>
                    <w:rPr>
                      <w:rFonts w:hint="default" w:eastAsia="宋体"/>
                      <w:lang w:val="en-US" w:eastAsia="zh-CN"/>
                    </w:rPr>
                  </w:pPr>
                  <w:r>
                    <w:rPr>
                      <w:rFonts w:hint="eastAsia" w:ascii="宋体" w:hAnsi="宋体"/>
                      <w:lang w:val="en-US" w:eastAsia="zh-CN"/>
                    </w:rPr>
                    <w:t>卸油、加油</w:t>
                  </w:r>
                </w:p>
              </w:tc>
              <w:tc>
                <w:tcPr>
                  <w:tcW w:w="1459" w:type="pct"/>
                  <w:tcBorders>
                    <w:tl2br w:val="nil"/>
                    <w:tr2bl w:val="nil"/>
                  </w:tcBorders>
                  <w:vAlign w:val="center"/>
                </w:tcPr>
                <w:p w14:paraId="2E14C10A">
                  <w:pPr>
                    <w:pStyle w:val="49"/>
                    <w:keepNext w:val="0"/>
                    <w:keepLines w:val="0"/>
                    <w:pageBreakBefore w:val="0"/>
                    <w:widowControl w:val="0"/>
                    <w:kinsoku/>
                    <w:wordWrap/>
                    <w:overflowPunct/>
                    <w:topLinePunct w:val="0"/>
                    <w:autoSpaceDE/>
                    <w:autoSpaceDN/>
                    <w:bidi w:val="0"/>
                    <w:adjustRightInd/>
                    <w:snapToGrid w:val="0"/>
                    <w:textAlignment w:val="auto"/>
                  </w:pPr>
                  <w:r>
                    <w:rPr>
                      <w:rFonts w:hint="eastAsia"/>
                      <w:color w:val="000000"/>
                      <w:lang w:val="en-US" w:eastAsia="zh-CN"/>
                    </w:rPr>
                    <w:t>废吸油毡</w:t>
                  </w:r>
                </w:p>
              </w:tc>
            </w:tr>
            <w:tr w14:paraId="72EBF0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0" w:type="pct"/>
                <w:trHeight w:val="131" w:hRule="atLeast"/>
                <w:jc w:val="center"/>
              </w:trPr>
              <w:tc>
                <w:tcPr>
                  <w:tcW w:w="504" w:type="pct"/>
                  <w:vMerge w:val="continue"/>
                  <w:tcBorders>
                    <w:tl2br w:val="nil"/>
                    <w:tr2bl w:val="nil"/>
                  </w:tcBorders>
                  <w:vAlign w:val="center"/>
                </w:tcPr>
                <w:p w14:paraId="57201403">
                  <w:pPr>
                    <w:pStyle w:val="49"/>
                    <w:keepNext w:val="0"/>
                    <w:keepLines w:val="0"/>
                    <w:pageBreakBefore w:val="0"/>
                    <w:widowControl w:val="0"/>
                    <w:kinsoku/>
                    <w:wordWrap/>
                    <w:overflowPunct/>
                    <w:topLinePunct w:val="0"/>
                    <w:autoSpaceDE/>
                    <w:autoSpaceDN/>
                    <w:bidi w:val="0"/>
                    <w:adjustRightInd/>
                    <w:snapToGrid w:val="0"/>
                    <w:textAlignment w:val="auto"/>
                  </w:pPr>
                </w:p>
              </w:tc>
              <w:tc>
                <w:tcPr>
                  <w:tcW w:w="613" w:type="pct"/>
                  <w:vMerge w:val="continue"/>
                  <w:tcBorders>
                    <w:tl2br w:val="nil"/>
                    <w:tr2bl w:val="nil"/>
                  </w:tcBorders>
                  <w:vAlign w:val="center"/>
                </w:tcPr>
                <w:p w14:paraId="5C6FF03A">
                  <w:pPr>
                    <w:pStyle w:val="49"/>
                    <w:keepNext w:val="0"/>
                    <w:keepLines w:val="0"/>
                    <w:pageBreakBefore w:val="0"/>
                    <w:widowControl w:val="0"/>
                    <w:kinsoku/>
                    <w:wordWrap/>
                    <w:overflowPunct/>
                    <w:topLinePunct w:val="0"/>
                    <w:autoSpaceDE/>
                    <w:autoSpaceDN/>
                    <w:bidi w:val="0"/>
                    <w:adjustRightInd/>
                    <w:snapToGrid w:val="0"/>
                    <w:textAlignment w:val="auto"/>
                  </w:pPr>
                </w:p>
              </w:tc>
              <w:tc>
                <w:tcPr>
                  <w:tcW w:w="1199" w:type="pct"/>
                  <w:tcBorders>
                    <w:tl2br w:val="nil"/>
                    <w:tr2bl w:val="nil"/>
                  </w:tcBorders>
                  <w:vAlign w:val="center"/>
                </w:tcPr>
                <w:p w14:paraId="0AB77FD6">
                  <w:pPr>
                    <w:pStyle w:val="49"/>
                    <w:keepNext w:val="0"/>
                    <w:keepLines w:val="0"/>
                    <w:pageBreakBefore w:val="0"/>
                    <w:widowControl w:val="0"/>
                    <w:kinsoku/>
                    <w:wordWrap/>
                    <w:overflowPunct/>
                    <w:topLinePunct w:val="0"/>
                    <w:autoSpaceDE/>
                    <w:autoSpaceDN/>
                    <w:bidi w:val="0"/>
                    <w:adjustRightInd/>
                    <w:snapToGrid w:val="0"/>
                    <w:textAlignment w:val="auto"/>
                    <w:rPr>
                      <w:rFonts w:hint="default"/>
                      <w:color w:val="000000"/>
                      <w:lang w:val="en-US" w:eastAsia="zh-CN"/>
                    </w:rPr>
                  </w:pPr>
                  <w:r>
                    <w:rPr>
                      <w:rFonts w:hint="eastAsia"/>
                      <w:color w:val="000000"/>
                      <w:lang w:val="en-US" w:eastAsia="zh-CN"/>
                    </w:rPr>
                    <w:t>废滤芯</w:t>
                  </w:r>
                </w:p>
              </w:tc>
              <w:tc>
                <w:tcPr>
                  <w:tcW w:w="1211" w:type="pct"/>
                  <w:tcBorders>
                    <w:tl2br w:val="nil"/>
                    <w:tr2bl w:val="nil"/>
                  </w:tcBorders>
                  <w:vAlign w:val="center"/>
                </w:tcPr>
                <w:p w14:paraId="157E457E">
                  <w:pPr>
                    <w:pStyle w:val="49"/>
                    <w:keepNext w:val="0"/>
                    <w:keepLines w:val="0"/>
                    <w:pageBreakBefore w:val="0"/>
                    <w:widowControl w:val="0"/>
                    <w:kinsoku/>
                    <w:wordWrap/>
                    <w:overflowPunct/>
                    <w:topLinePunct w:val="0"/>
                    <w:autoSpaceDE/>
                    <w:autoSpaceDN/>
                    <w:bidi w:val="0"/>
                    <w:adjustRightInd/>
                    <w:snapToGrid w:val="0"/>
                    <w:textAlignment w:val="auto"/>
                    <w:rPr>
                      <w:rFonts w:hint="default"/>
                      <w:color w:val="000000"/>
                      <w:lang w:val="en-US" w:eastAsia="zh-CN"/>
                    </w:rPr>
                  </w:pPr>
                  <w:r>
                    <w:rPr>
                      <w:rFonts w:hint="eastAsia"/>
                      <w:color w:val="000000"/>
                      <w:lang w:val="en-US" w:eastAsia="zh-CN"/>
                    </w:rPr>
                    <w:t>加油机</w:t>
                  </w:r>
                </w:p>
              </w:tc>
              <w:tc>
                <w:tcPr>
                  <w:tcW w:w="1459" w:type="pct"/>
                  <w:tcBorders>
                    <w:tl2br w:val="nil"/>
                    <w:tr2bl w:val="nil"/>
                  </w:tcBorders>
                  <w:vAlign w:val="center"/>
                </w:tcPr>
                <w:p w14:paraId="7CAD37BA">
                  <w:pPr>
                    <w:pStyle w:val="49"/>
                    <w:keepNext w:val="0"/>
                    <w:keepLines w:val="0"/>
                    <w:pageBreakBefore w:val="0"/>
                    <w:widowControl w:val="0"/>
                    <w:kinsoku/>
                    <w:wordWrap/>
                    <w:overflowPunct/>
                    <w:topLinePunct w:val="0"/>
                    <w:autoSpaceDE/>
                    <w:autoSpaceDN/>
                    <w:bidi w:val="0"/>
                    <w:adjustRightInd/>
                    <w:snapToGrid w:val="0"/>
                    <w:textAlignment w:val="auto"/>
                    <w:rPr>
                      <w:rFonts w:hint="default"/>
                      <w:color w:val="000000"/>
                      <w:lang w:val="en-US" w:eastAsia="zh-CN"/>
                    </w:rPr>
                  </w:pPr>
                  <w:r>
                    <w:rPr>
                      <w:rFonts w:hint="eastAsia"/>
                      <w:color w:val="000000"/>
                      <w:lang w:val="en-US" w:eastAsia="zh-CN"/>
                    </w:rPr>
                    <w:t>废滤芯</w:t>
                  </w:r>
                </w:p>
              </w:tc>
            </w:tr>
            <w:tr w14:paraId="5D5E4C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0" w:type="pct"/>
                <w:trHeight w:val="131" w:hRule="atLeast"/>
                <w:jc w:val="center"/>
              </w:trPr>
              <w:tc>
                <w:tcPr>
                  <w:tcW w:w="504" w:type="pct"/>
                  <w:vMerge w:val="continue"/>
                  <w:tcBorders>
                    <w:tl2br w:val="nil"/>
                    <w:tr2bl w:val="nil"/>
                  </w:tcBorders>
                  <w:vAlign w:val="center"/>
                </w:tcPr>
                <w:p w14:paraId="7CC26A0E">
                  <w:pPr>
                    <w:pStyle w:val="49"/>
                    <w:keepNext w:val="0"/>
                    <w:keepLines w:val="0"/>
                    <w:pageBreakBefore w:val="0"/>
                    <w:widowControl w:val="0"/>
                    <w:kinsoku/>
                    <w:wordWrap/>
                    <w:overflowPunct/>
                    <w:topLinePunct w:val="0"/>
                    <w:autoSpaceDE/>
                    <w:autoSpaceDN/>
                    <w:bidi w:val="0"/>
                    <w:adjustRightInd/>
                    <w:snapToGrid w:val="0"/>
                    <w:textAlignment w:val="auto"/>
                  </w:pPr>
                </w:p>
              </w:tc>
              <w:tc>
                <w:tcPr>
                  <w:tcW w:w="613" w:type="pct"/>
                  <w:vMerge w:val="continue"/>
                  <w:tcBorders>
                    <w:tl2br w:val="nil"/>
                    <w:tr2bl w:val="nil"/>
                  </w:tcBorders>
                  <w:vAlign w:val="center"/>
                </w:tcPr>
                <w:p w14:paraId="3311949A">
                  <w:pPr>
                    <w:pStyle w:val="49"/>
                    <w:keepNext w:val="0"/>
                    <w:keepLines w:val="0"/>
                    <w:pageBreakBefore w:val="0"/>
                    <w:widowControl w:val="0"/>
                    <w:kinsoku/>
                    <w:wordWrap/>
                    <w:overflowPunct/>
                    <w:topLinePunct w:val="0"/>
                    <w:autoSpaceDE/>
                    <w:autoSpaceDN/>
                    <w:bidi w:val="0"/>
                    <w:adjustRightInd/>
                    <w:snapToGrid w:val="0"/>
                    <w:textAlignment w:val="auto"/>
                  </w:pPr>
                </w:p>
              </w:tc>
              <w:tc>
                <w:tcPr>
                  <w:tcW w:w="1199" w:type="pct"/>
                  <w:tcBorders>
                    <w:tl2br w:val="nil"/>
                    <w:tr2bl w:val="nil"/>
                  </w:tcBorders>
                  <w:vAlign w:val="center"/>
                </w:tcPr>
                <w:p w14:paraId="75ADC258">
                  <w:pPr>
                    <w:pStyle w:val="49"/>
                    <w:keepNext w:val="0"/>
                    <w:keepLines w:val="0"/>
                    <w:pageBreakBefore w:val="0"/>
                    <w:widowControl w:val="0"/>
                    <w:kinsoku/>
                    <w:wordWrap/>
                    <w:overflowPunct/>
                    <w:topLinePunct w:val="0"/>
                    <w:autoSpaceDE/>
                    <w:autoSpaceDN/>
                    <w:bidi w:val="0"/>
                    <w:adjustRightInd/>
                    <w:snapToGrid w:val="0"/>
                    <w:textAlignment w:val="auto"/>
                    <w:rPr>
                      <w:rFonts w:hint="default"/>
                      <w:color w:val="FF0000"/>
                      <w:lang w:val="en-US" w:eastAsia="zh-CN"/>
                    </w:rPr>
                  </w:pPr>
                  <w:r>
                    <w:rPr>
                      <w:rFonts w:hint="eastAsia"/>
                      <w:color w:val="FF0000"/>
                      <w:lang w:val="en-US" w:eastAsia="zh-CN"/>
                    </w:rPr>
                    <w:t>废含油抹布手套</w:t>
                  </w:r>
                </w:p>
              </w:tc>
              <w:tc>
                <w:tcPr>
                  <w:tcW w:w="1211" w:type="pct"/>
                  <w:tcBorders>
                    <w:tl2br w:val="nil"/>
                    <w:tr2bl w:val="nil"/>
                  </w:tcBorders>
                  <w:vAlign w:val="center"/>
                </w:tcPr>
                <w:p w14:paraId="085D04EE">
                  <w:pPr>
                    <w:pStyle w:val="49"/>
                    <w:keepNext w:val="0"/>
                    <w:keepLines w:val="0"/>
                    <w:pageBreakBefore w:val="0"/>
                    <w:widowControl w:val="0"/>
                    <w:kinsoku/>
                    <w:wordWrap/>
                    <w:overflowPunct/>
                    <w:topLinePunct w:val="0"/>
                    <w:autoSpaceDE/>
                    <w:autoSpaceDN/>
                    <w:bidi w:val="0"/>
                    <w:adjustRightInd/>
                    <w:snapToGrid w:val="0"/>
                    <w:textAlignment w:val="auto"/>
                    <w:rPr>
                      <w:rFonts w:hint="eastAsia" w:eastAsia="宋体"/>
                      <w:color w:val="FF0000"/>
                      <w:lang w:val="en-US" w:eastAsia="zh-CN"/>
                    </w:rPr>
                  </w:pPr>
                  <w:r>
                    <w:rPr>
                      <w:rFonts w:hint="eastAsia"/>
                      <w:color w:val="FF0000"/>
                      <w:lang w:val="en-US" w:eastAsia="zh-CN"/>
                    </w:rPr>
                    <w:t>加油、</w:t>
                  </w:r>
                  <w:r>
                    <w:rPr>
                      <w:rFonts w:hint="eastAsia"/>
                      <w:color w:val="FF0000"/>
                    </w:rPr>
                    <w:t>卸油</w:t>
                  </w:r>
                  <w:r>
                    <w:rPr>
                      <w:rFonts w:hint="eastAsia"/>
                      <w:color w:val="FF0000"/>
                      <w:lang w:eastAsia="zh-CN"/>
                    </w:rPr>
                    <w:t>、</w:t>
                  </w:r>
                  <w:r>
                    <w:rPr>
                      <w:rFonts w:hint="eastAsia"/>
                      <w:color w:val="FF0000"/>
                      <w:lang w:val="en-US" w:eastAsia="zh-CN"/>
                    </w:rPr>
                    <w:t>维修保养</w:t>
                  </w:r>
                </w:p>
              </w:tc>
              <w:tc>
                <w:tcPr>
                  <w:tcW w:w="1459" w:type="pct"/>
                  <w:tcBorders>
                    <w:tl2br w:val="nil"/>
                    <w:tr2bl w:val="nil"/>
                  </w:tcBorders>
                  <w:vAlign w:val="center"/>
                </w:tcPr>
                <w:p w14:paraId="6EDE0E08">
                  <w:pPr>
                    <w:pStyle w:val="49"/>
                    <w:keepNext w:val="0"/>
                    <w:keepLines w:val="0"/>
                    <w:pageBreakBefore w:val="0"/>
                    <w:widowControl w:val="0"/>
                    <w:kinsoku/>
                    <w:wordWrap/>
                    <w:overflowPunct/>
                    <w:topLinePunct w:val="0"/>
                    <w:autoSpaceDE/>
                    <w:autoSpaceDN/>
                    <w:bidi w:val="0"/>
                    <w:adjustRightInd/>
                    <w:snapToGrid w:val="0"/>
                    <w:textAlignment w:val="auto"/>
                    <w:rPr>
                      <w:rFonts w:hint="eastAsia"/>
                      <w:color w:val="FF0000"/>
                      <w:lang w:val="en-US" w:eastAsia="zh-CN"/>
                    </w:rPr>
                  </w:pPr>
                  <w:r>
                    <w:rPr>
                      <w:rFonts w:hint="eastAsia"/>
                      <w:color w:val="FF0000"/>
                      <w:lang w:val="en-US" w:eastAsia="zh-CN"/>
                    </w:rPr>
                    <w:t>废含油抹布手套</w:t>
                  </w:r>
                </w:p>
              </w:tc>
            </w:tr>
            <w:tr w14:paraId="4CAAAC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0" w:type="pct"/>
                <w:trHeight w:val="0" w:hRule="atLeast"/>
                <w:jc w:val="center"/>
              </w:trPr>
              <w:tc>
                <w:tcPr>
                  <w:tcW w:w="504" w:type="pct"/>
                  <w:vMerge w:val="continue"/>
                  <w:tcBorders>
                    <w:tl2br w:val="nil"/>
                    <w:tr2bl w:val="nil"/>
                  </w:tcBorders>
                  <w:vAlign w:val="center"/>
                </w:tcPr>
                <w:p w14:paraId="55BC183E">
                  <w:pPr>
                    <w:pStyle w:val="49"/>
                    <w:keepNext w:val="0"/>
                    <w:keepLines w:val="0"/>
                    <w:pageBreakBefore w:val="0"/>
                    <w:widowControl w:val="0"/>
                    <w:kinsoku/>
                    <w:wordWrap/>
                    <w:overflowPunct/>
                    <w:topLinePunct w:val="0"/>
                    <w:autoSpaceDE/>
                    <w:autoSpaceDN/>
                    <w:bidi w:val="0"/>
                    <w:adjustRightInd/>
                    <w:snapToGrid w:val="0"/>
                    <w:textAlignment w:val="auto"/>
                  </w:pPr>
                </w:p>
              </w:tc>
              <w:tc>
                <w:tcPr>
                  <w:tcW w:w="613" w:type="pct"/>
                  <w:vMerge w:val="continue"/>
                  <w:tcBorders>
                    <w:tl2br w:val="nil"/>
                    <w:tr2bl w:val="nil"/>
                  </w:tcBorders>
                  <w:vAlign w:val="center"/>
                </w:tcPr>
                <w:p w14:paraId="5E82942C">
                  <w:pPr>
                    <w:pStyle w:val="49"/>
                    <w:keepNext w:val="0"/>
                    <w:keepLines w:val="0"/>
                    <w:pageBreakBefore w:val="0"/>
                    <w:widowControl w:val="0"/>
                    <w:kinsoku/>
                    <w:wordWrap/>
                    <w:overflowPunct/>
                    <w:topLinePunct w:val="0"/>
                    <w:autoSpaceDE/>
                    <w:autoSpaceDN/>
                    <w:bidi w:val="0"/>
                    <w:adjustRightInd/>
                    <w:snapToGrid w:val="0"/>
                    <w:textAlignment w:val="auto"/>
                  </w:pPr>
                </w:p>
              </w:tc>
              <w:tc>
                <w:tcPr>
                  <w:tcW w:w="1199" w:type="pct"/>
                  <w:tcBorders>
                    <w:tl2br w:val="nil"/>
                    <w:tr2bl w:val="nil"/>
                  </w:tcBorders>
                  <w:vAlign w:val="center"/>
                </w:tcPr>
                <w:p w14:paraId="4234FD0D">
                  <w:pPr>
                    <w:pStyle w:val="49"/>
                    <w:keepNext w:val="0"/>
                    <w:keepLines w:val="0"/>
                    <w:pageBreakBefore w:val="0"/>
                    <w:widowControl w:val="0"/>
                    <w:kinsoku/>
                    <w:wordWrap/>
                    <w:overflowPunct/>
                    <w:topLinePunct w:val="0"/>
                    <w:autoSpaceDE/>
                    <w:autoSpaceDN/>
                    <w:bidi w:val="0"/>
                    <w:adjustRightInd/>
                    <w:snapToGrid w:val="0"/>
                    <w:textAlignment w:val="auto"/>
                  </w:pPr>
                  <w:r>
                    <w:t>生活垃圾</w:t>
                  </w:r>
                </w:p>
              </w:tc>
              <w:tc>
                <w:tcPr>
                  <w:tcW w:w="1211" w:type="pct"/>
                  <w:tcBorders>
                    <w:tl2br w:val="nil"/>
                    <w:tr2bl w:val="nil"/>
                  </w:tcBorders>
                  <w:vAlign w:val="center"/>
                </w:tcPr>
                <w:p w14:paraId="270B91F3">
                  <w:pPr>
                    <w:pStyle w:val="49"/>
                    <w:keepNext w:val="0"/>
                    <w:keepLines w:val="0"/>
                    <w:pageBreakBefore w:val="0"/>
                    <w:widowControl w:val="0"/>
                    <w:kinsoku/>
                    <w:wordWrap/>
                    <w:overflowPunct/>
                    <w:topLinePunct w:val="0"/>
                    <w:autoSpaceDE/>
                    <w:autoSpaceDN/>
                    <w:bidi w:val="0"/>
                    <w:adjustRightInd/>
                    <w:snapToGrid w:val="0"/>
                    <w:textAlignment w:val="auto"/>
                    <w:rPr>
                      <w:rFonts w:hint="eastAsia"/>
                    </w:rPr>
                  </w:pPr>
                  <w:r>
                    <w:t>员工生活</w:t>
                  </w:r>
                </w:p>
              </w:tc>
              <w:tc>
                <w:tcPr>
                  <w:tcW w:w="1459" w:type="pct"/>
                  <w:tcBorders>
                    <w:tl2br w:val="nil"/>
                    <w:tr2bl w:val="nil"/>
                  </w:tcBorders>
                  <w:vAlign w:val="center"/>
                </w:tcPr>
                <w:p w14:paraId="594360F8">
                  <w:pPr>
                    <w:pStyle w:val="49"/>
                    <w:keepNext w:val="0"/>
                    <w:keepLines w:val="0"/>
                    <w:pageBreakBefore w:val="0"/>
                    <w:widowControl w:val="0"/>
                    <w:kinsoku/>
                    <w:wordWrap/>
                    <w:overflowPunct/>
                    <w:topLinePunct w:val="0"/>
                    <w:autoSpaceDE/>
                    <w:autoSpaceDN/>
                    <w:bidi w:val="0"/>
                    <w:adjustRightInd/>
                    <w:snapToGrid w:val="0"/>
                    <w:textAlignment w:val="auto"/>
                  </w:pPr>
                  <w:r>
                    <w:rPr>
                      <w:rFonts w:hint="eastAsia"/>
                    </w:rPr>
                    <w:t>生活垃圾</w:t>
                  </w:r>
                </w:p>
              </w:tc>
            </w:tr>
          </w:tbl>
          <w:p w14:paraId="4A2E608F">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sz w:val="21"/>
                <w:szCs w:val="21"/>
              </w:rPr>
            </w:pPr>
          </w:p>
        </w:tc>
      </w:tr>
      <w:tr w14:paraId="725AA1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54" w:type="dxa"/>
            <w:vAlign w:val="center"/>
          </w:tcPr>
          <w:p w14:paraId="6595EDFA">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pPr>
            <w:r>
              <w:rPr>
                <w:rFonts w:hint="eastAsia"/>
                <w:bCs/>
                <w:lang w:val="en-US" w:eastAsia="zh-CN"/>
              </w:rPr>
              <w:t>与</w:t>
            </w:r>
            <w:r>
              <w:rPr>
                <w:rFonts w:hint="eastAsia"/>
                <w:bCs/>
              </w:rPr>
              <w:t>项目有关的原有环境污染问题</w:t>
            </w:r>
          </w:p>
        </w:tc>
        <w:tc>
          <w:tcPr>
            <w:tcW w:w="9412" w:type="dxa"/>
            <w:vAlign w:val="top"/>
          </w:tcPr>
          <w:p w14:paraId="654C456E">
            <w:pPr>
              <w:keepNext w:val="0"/>
              <w:keepLines w:val="0"/>
              <w:pageBreakBefore w:val="0"/>
              <w:widowControl w:val="0"/>
              <w:kinsoku/>
              <w:wordWrap w:val="0"/>
              <w:overflowPunct/>
              <w:topLinePunct w:val="0"/>
              <w:autoSpaceDE/>
              <w:autoSpaceDN/>
              <w:bidi w:val="0"/>
              <w:adjustRightInd/>
              <w:snapToGrid/>
              <w:ind w:firstLine="480"/>
              <w:jc w:val="both"/>
              <w:textAlignment w:val="auto"/>
              <w:rPr>
                <w:rFonts w:ascii="Times New Roman" w:cs="Times New Roman"/>
                <w:color w:val="auto"/>
                <w:highlight w:val="none"/>
              </w:rPr>
            </w:pPr>
            <w:r>
              <w:rPr>
                <w:rFonts w:hint="eastAsia"/>
              </w:rPr>
              <w:t>本项目为新建项目，根据现场踏勘，项目用地为空地状态，</w:t>
            </w:r>
            <w:r>
              <w:rPr>
                <w:rFonts w:ascii="Times New Roman" w:cs="Times New Roman"/>
                <w:color w:val="auto"/>
                <w:highlight w:val="none"/>
              </w:rPr>
              <w:t>故无原有污染情况及环境问题。</w:t>
            </w:r>
          </w:p>
          <w:p w14:paraId="6F067DC4">
            <w:pPr>
              <w:keepNext w:val="0"/>
              <w:keepLines w:val="0"/>
              <w:pageBreakBefore w:val="0"/>
              <w:widowControl w:val="0"/>
              <w:kinsoku/>
              <w:wordWrap w:val="0"/>
              <w:overflowPunct/>
              <w:topLinePunct w:val="0"/>
              <w:autoSpaceDE/>
              <w:autoSpaceDN/>
              <w:bidi w:val="0"/>
              <w:adjustRightInd/>
              <w:snapToGrid/>
              <w:ind w:firstLine="480"/>
              <w:jc w:val="both"/>
              <w:textAlignment w:val="auto"/>
              <w:rPr>
                <w:rFonts w:hint="eastAsia" w:ascii="Times New Roman" w:hAnsi="Times New Roman" w:eastAsia="宋体" w:cs="Times New Roman"/>
              </w:rPr>
            </w:pPr>
          </w:p>
          <w:p w14:paraId="3C43C2C9">
            <w:pPr>
              <w:keepNext w:val="0"/>
              <w:keepLines w:val="0"/>
              <w:pageBreakBefore w:val="0"/>
              <w:widowControl w:val="0"/>
              <w:kinsoku/>
              <w:wordWrap w:val="0"/>
              <w:overflowPunct/>
              <w:topLinePunct w:val="0"/>
              <w:autoSpaceDE/>
              <w:autoSpaceDN/>
              <w:bidi w:val="0"/>
              <w:adjustRightInd/>
              <w:snapToGrid/>
              <w:ind w:firstLine="480"/>
              <w:jc w:val="both"/>
              <w:textAlignment w:val="auto"/>
              <w:rPr>
                <w:rFonts w:hint="eastAsia" w:ascii="Times New Roman" w:hAnsi="Times New Roman" w:eastAsia="宋体" w:cs="Times New Roman"/>
              </w:rPr>
            </w:pPr>
          </w:p>
          <w:p w14:paraId="67E300E2">
            <w:pPr>
              <w:keepNext w:val="0"/>
              <w:keepLines w:val="0"/>
              <w:pageBreakBefore w:val="0"/>
              <w:widowControl w:val="0"/>
              <w:kinsoku/>
              <w:wordWrap w:val="0"/>
              <w:overflowPunct/>
              <w:topLinePunct w:val="0"/>
              <w:autoSpaceDE/>
              <w:autoSpaceDN/>
              <w:bidi w:val="0"/>
              <w:adjustRightInd/>
              <w:snapToGrid/>
              <w:ind w:firstLine="480"/>
              <w:jc w:val="both"/>
              <w:textAlignment w:val="auto"/>
              <w:rPr>
                <w:rFonts w:hint="eastAsia" w:ascii="Times New Roman" w:hAnsi="Times New Roman" w:eastAsia="宋体" w:cs="Times New Roman"/>
              </w:rPr>
            </w:pPr>
          </w:p>
          <w:p w14:paraId="7ECEDDCA">
            <w:pPr>
              <w:keepNext w:val="0"/>
              <w:keepLines w:val="0"/>
              <w:pageBreakBefore w:val="0"/>
              <w:widowControl w:val="0"/>
              <w:kinsoku/>
              <w:wordWrap w:val="0"/>
              <w:overflowPunct/>
              <w:topLinePunct w:val="0"/>
              <w:autoSpaceDE/>
              <w:autoSpaceDN/>
              <w:bidi w:val="0"/>
              <w:adjustRightInd/>
              <w:snapToGrid/>
              <w:ind w:firstLine="480"/>
              <w:jc w:val="both"/>
              <w:textAlignment w:val="auto"/>
              <w:rPr>
                <w:rFonts w:hint="eastAsia" w:ascii="Times New Roman" w:hAnsi="Times New Roman" w:eastAsia="宋体" w:cs="Times New Roman"/>
              </w:rPr>
            </w:pPr>
          </w:p>
          <w:p w14:paraId="50AB2CB1">
            <w:pPr>
              <w:keepNext w:val="0"/>
              <w:keepLines w:val="0"/>
              <w:pageBreakBefore w:val="0"/>
              <w:widowControl w:val="0"/>
              <w:kinsoku/>
              <w:wordWrap w:val="0"/>
              <w:overflowPunct/>
              <w:topLinePunct w:val="0"/>
              <w:autoSpaceDE/>
              <w:autoSpaceDN/>
              <w:bidi w:val="0"/>
              <w:adjustRightInd/>
              <w:snapToGrid/>
              <w:ind w:firstLine="480"/>
              <w:jc w:val="both"/>
              <w:textAlignment w:val="auto"/>
              <w:rPr>
                <w:rFonts w:hint="eastAsia" w:ascii="Times New Roman" w:hAnsi="Times New Roman" w:eastAsia="宋体" w:cs="Times New Roman"/>
              </w:rPr>
            </w:pPr>
          </w:p>
          <w:p w14:paraId="78181C8A">
            <w:pPr>
              <w:keepNext w:val="0"/>
              <w:keepLines w:val="0"/>
              <w:pageBreakBefore w:val="0"/>
              <w:widowControl w:val="0"/>
              <w:kinsoku/>
              <w:wordWrap w:val="0"/>
              <w:overflowPunct/>
              <w:topLinePunct w:val="0"/>
              <w:autoSpaceDE/>
              <w:autoSpaceDN/>
              <w:bidi w:val="0"/>
              <w:adjustRightInd/>
              <w:snapToGrid/>
              <w:ind w:firstLine="480"/>
              <w:jc w:val="both"/>
              <w:textAlignment w:val="auto"/>
              <w:rPr>
                <w:rFonts w:hint="eastAsia" w:ascii="Times New Roman" w:hAnsi="Times New Roman" w:eastAsia="宋体" w:cs="Times New Roman"/>
              </w:rPr>
            </w:pPr>
          </w:p>
          <w:p w14:paraId="5E02014B">
            <w:pPr>
              <w:keepNext w:val="0"/>
              <w:keepLines w:val="0"/>
              <w:pageBreakBefore w:val="0"/>
              <w:widowControl w:val="0"/>
              <w:kinsoku/>
              <w:wordWrap w:val="0"/>
              <w:overflowPunct/>
              <w:topLinePunct w:val="0"/>
              <w:autoSpaceDE/>
              <w:autoSpaceDN/>
              <w:bidi w:val="0"/>
              <w:adjustRightInd/>
              <w:snapToGrid/>
              <w:ind w:firstLine="480"/>
              <w:jc w:val="both"/>
              <w:textAlignment w:val="auto"/>
              <w:rPr>
                <w:rFonts w:hint="eastAsia" w:ascii="Times New Roman" w:hAnsi="Times New Roman" w:eastAsia="宋体" w:cs="Times New Roman"/>
              </w:rPr>
            </w:pPr>
          </w:p>
          <w:p w14:paraId="76168192">
            <w:pPr>
              <w:keepNext w:val="0"/>
              <w:keepLines w:val="0"/>
              <w:pageBreakBefore w:val="0"/>
              <w:widowControl w:val="0"/>
              <w:kinsoku/>
              <w:wordWrap w:val="0"/>
              <w:overflowPunct/>
              <w:topLinePunct w:val="0"/>
              <w:autoSpaceDE/>
              <w:autoSpaceDN/>
              <w:bidi w:val="0"/>
              <w:adjustRightInd/>
              <w:snapToGrid/>
              <w:ind w:firstLine="480"/>
              <w:jc w:val="both"/>
              <w:textAlignment w:val="auto"/>
              <w:rPr>
                <w:rFonts w:hint="eastAsia" w:ascii="Times New Roman" w:hAnsi="Times New Roman" w:eastAsia="宋体" w:cs="Times New Roman"/>
              </w:rPr>
            </w:pPr>
          </w:p>
          <w:p w14:paraId="016467E4">
            <w:pPr>
              <w:keepNext w:val="0"/>
              <w:keepLines w:val="0"/>
              <w:pageBreakBefore w:val="0"/>
              <w:widowControl w:val="0"/>
              <w:kinsoku/>
              <w:wordWrap w:val="0"/>
              <w:overflowPunct/>
              <w:topLinePunct w:val="0"/>
              <w:autoSpaceDE/>
              <w:autoSpaceDN/>
              <w:bidi w:val="0"/>
              <w:adjustRightInd/>
              <w:snapToGrid/>
              <w:ind w:firstLine="480"/>
              <w:jc w:val="both"/>
              <w:textAlignment w:val="auto"/>
              <w:rPr>
                <w:rFonts w:hint="eastAsia" w:ascii="Times New Roman" w:hAnsi="Times New Roman" w:eastAsia="宋体" w:cs="Times New Roman"/>
              </w:rPr>
            </w:pPr>
          </w:p>
          <w:p w14:paraId="4683535A">
            <w:pPr>
              <w:keepNext w:val="0"/>
              <w:keepLines w:val="0"/>
              <w:pageBreakBefore w:val="0"/>
              <w:widowControl w:val="0"/>
              <w:kinsoku/>
              <w:wordWrap w:val="0"/>
              <w:overflowPunct/>
              <w:topLinePunct w:val="0"/>
              <w:autoSpaceDE/>
              <w:autoSpaceDN/>
              <w:bidi w:val="0"/>
              <w:adjustRightInd/>
              <w:snapToGrid/>
              <w:ind w:firstLine="480"/>
              <w:jc w:val="both"/>
              <w:textAlignment w:val="auto"/>
              <w:rPr>
                <w:rFonts w:hint="eastAsia" w:ascii="Times New Roman" w:hAnsi="Times New Roman" w:eastAsia="宋体" w:cs="Times New Roman"/>
              </w:rPr>
            </w:pPr>
          </w:p>
          <w:p w14:paraId="6E308D70">
            <w:pPr>
              <w:keepNext w:val="0"/>
              <w:keepLines w:val="0"/>
              <w:pageBreakBefore w:val="0"/>
              <w:widowControl w:val="0"/>
              <w:kinsoku/>
              <w:wordWrap w:val="0"/>
              <w:overflowPunct/>
              <w:topLinePunct w:val="0"/>
              <w:autoSpaceDE/>
              <w:autoSpaceDN/>
              <w:bidi w:val="0"/>
              <w:adjustRightInd/>
              <w:snapToGrid/>
              <w:ind w:firstLine="480"/>
              <w:jc w:val="both"/>
              <w:textAlignment w:val="auto"/>
              <w:rPr>
                <w:rFonts w:hint="eastAsia" w:ascii="Times New Roman" w:hAnsi="Times New Roman" w:eastAsia="宋体" w:cs="Times New Roman"/>
              </w:rPr>
            </w:pPr>
          </w:p>
          <w:p w14:paraId="21A46733">
            <w:pPr>
              <w:keepNext w:val="0"/>
              <w:keepLines w:val="0"/>
              <w:pageBreakBefore w:val="0"/>
              <w:widowControl w:val="0"/>
              <w:kinsoku/>
              <w:wordWrap w:val="0"/>
              <w:overflowPunct/>
              <w:topLinePunct w:val="0"/>
              <w:autoSpaceDE/>
              <w:autoSpaceDN/>
              <w:bidi w:val="0"/>
              <w:adjustRightInd/>
              <w:snapToGrid/>
              <w:ind w:firstLine="480"/>
              <w:jc w:val="both"/>
              <w:textAlignment w:val="auto"/>
              <w:rPr>
                <w:rFonts w:hint="eastAsia" w:ascii="Times New Roman" w:hAnsi="Times New Roman" w:eastAsia="宋体" w:cs="Times New Roman"/>
              </w:rPr>
            </w:pPr>
          </w:p>
          <w:p w14:paraId="2C4C7155">
            <w:pPr>
              <w:keepNext w:val="0"/>
              <w:keepLines w:val="0"/>
              <w:pageBreakBefore w:val="0"/>
              <w:widowControl w:val="0"/>
              <w:kinsoku/>
              <w:wordWrap w:val="0"/>
              <w:overflowPunct/>
              <w:topLinePunct w:val="0"/>
              <w:autoSpaceDE/>
              <w:autoSpaceDN/>
              <w:bidi w:val="0"/>
              <w:adjustRightInd/>
              <w:snapToGrid/>
              <w:ind w:firstLine="480"/>
              <w:jc w:val="both"/>
              <w:textAlignment w:val="auto"/>
              <w:rPr>
                <w:rFonts w:hint="eastAsia" w:ascii="Times New Roman" w:hAnsi="Times New Roman" w:eastAsia="宋体" w:cs="Times New Roman"/>
              </w:rPr>
            </w:pPr>
          </w:p>
          <w:p w14:paraId="1AC4633F">
            <w:pPr>
              <w:keepNext w:val="0"/>
              <w:keepLines w:val="0"/>
              <w:pageBreakBefore w:val="0"/>
              <w:widowControl w:val="0"/>
              <w:kinsoku/>
              <w:wordWrap w:val="0"/>
              <w:overflowPunct/>
              <w:topLinePunct w:val="0"/>
              <w:autoSpaceDE/>
              <w:autoSpaceDN/>
              <w:bidi w:val="0"/>
              <w:adjustRightInd/>
              <w:snapToGrid/>
              <w:ind w:firstLine="480"/>
              <w:jc w:val="both"/>
              <w:textAlignment w:val="auto"/>
            </w:pPr>
          </w:p>
          <w:p w14:paraId="69F4665E">
            <w:pPr>
              <w:keepNext w:val="0"/>
              <w:keepLines w:val="0"/>
              <w:pageBreakBefore w:val="0"/>
              <w:widowControl w:val="0"/>
              <w:kinsoku/>
              <w:wordWrap w:val="0"/>
              <w:overflowPunct/>
              <w:topLinePunct w:val="0"/>
              <w:autoSpaceDE/>
              <w:autoSpaceDN/>
              <w:bidi w:val="0"/>
              <w:adjustRightInd/>
              <w:snapToGrid/>
              <w:ind w:firstLine="480"/>
              <w:jc w:val="both"/>
              <w:textAlignment w:val="auto"/>
              <w:rPr>
                <w:rFonts w:hint="eastAsia" w:ascii="Times New Roman" w:hAnsi="Times New Roman" w:eastAsia="宋体" w:cs="Times New Roman"/>
              </w:rPr>
            </w:pPr>
          </w:p>
          <w:p w14:paraId="6BC1AB64">
            <w:pPr>
              <w:keepNext w:val="0"/>
              <w:keepLines w:val="0"/>
              <w:pageBreakBefore w:val="0"/>
              <w:widowControl w:val="0"/>
              <w:kinsoku/>
              <w:wordWrap w:val="0"/>
              <w:overflowPunct/>
              <w:topLinePunct w:val="0"/>
              <w:autoSpaceDE/>
              <w:autoSpaceDN/>
              <w:bidi w:val="0"/>
              <w:adjustRightInd/>
              <w:snapToGrid/>
              <w:ind w:firstLine="480"/>
              <w:jc w:val="both"/>
              <w:textAlignment w:val="auto"/>
              <w:rPr>
                <w:rFonts w:hint="eastAsia" w:ascii="Times New Roman" w:hAnsi="Times New Roman" w:eastAsia="宋体" w:cs="Times New Roman"/>
              </w:rPr>
            </w:pPr>
          </w:p>
          <w:p w14:paraId="615673C7">
            <w:pPr>
              <w:keepNext w:val="0"/>
              <w:keepLines w:val="0"/>
              <w:pageBreakBefore w:val="0"/>
              <w:widowControl w:val="0"/>
              <w:kinsoku/>
              <w:wordWrap w:val="0"/>
              <w:overflowPunct/>
              <w:topLinePunct w:val="0"/>
              <w:autoSpaceDE/>
              <w:autoSpaceDN/>
              <w:bidi w:val="0"/>
              <w:adjustRightInd/>
              <w:snapToGrid/>
              <w:ind w:firstLine="480"/>
              <w:jc w:val="both"/>
              <w:textAlignment w:val="auto"/>
              <w:rPr>
                <w:rFonts w:hint="eastAsia" w:ascii="Times New Roman" w:hAnsi="Times New Roman" w:eastAsia="宋体" w:cs="Times New Roman"/>
              </w:rPr>
            </w:pPr>
          </w:p>
          <w:p w14:paraId="37F292B6">
            <w:pPr>
              <w:keepNext w:val="0"/>
              <w:keepLines w:val="0"/>
              <w:pageBreakBefore w:val="0"/>
              <w:widowControl w:val="0"/>
              <w:kinsoku/>
              <w:wordWrap w:val="0"/>
              <w:overflowPunct/>
              <w:topLinePunct w:val="0"/>
              <w:autoSpaceDE/>
              <w:autoSpaceDN/>
              <w:bidi w:val="0"/>
              <w:adjustRightInd/>
              <w:snapToGrid/>
              <w:ind w:firstLine="480"/>
              <w:jc w:val="both"/>
              <w:textAlignment w:val="auto"/>
              <w:rPr>
                <w:rFonts w:hint="eastAsia" w:ascii="Times New Roman" w:hAnsi="Times New Roman" w:eastAsia="宋体" w:cs="Times New Roman"/>
              </w:rPr>
            </w:pPr>
          </w:p>
          <w:p w14:paraId="745F124D">
            <w:pPr>
              <w:keepNext w:val="0"/>
              <w:keepLines w:val="0"/>
              <w:pageBreakBefore w:val="0"/>
              <w:widowControl w:val="0"/>
              <w:kinsoku/>
              <w:wordWrap w:val="0"/>
              <w:overflowPunct/>
              <w:topLinePunct w:val="0"/>
              <w:autoSpaceDE/>
              <w:autoSpaceDN/>
              <w:bidi w:val="0"/>
              <w:adjustRightInd/>
              <w:snapToGrid/>
              <w:ind w:firstLine="480"/>
              <w:jc w:val="both"/>
              <w:textAlignment w:val="auto"/>
              <w:rPr>
                <w:rFonts w:hint="eastAsia" w:ascii="Times New Roman" w:hAnsi="Times New Roman" w:eastAsia="宋体" w:cs="Times New Roman"/>
              </w:rPr>
            </w:pPr>
          </w:p>
          <w:p w14:paraId="39945C39">
            <w:pPr>
              <w:keepNext w:val="0"/>
              <w:keepLines w:val="0"/>
              <w:pageBreakBefore w:val="0"/>
              <w:widowControl w:val="0"/>
              <w:kinsoku/>
              <w:wordWrap w:val="0"/>
              <w:overflowPunct/>
              <w:topLinePunct w:val="0"/>
              <w:autoSpaceDE/>
              <w:autoSpaceDN/>
              <w:bidi w:val="0"/>
              <w:adjustRightInd/>
              <w:snapToGrid/>
              <w:ind w:firstLine="480"/>
              <w:jc w:val="both"/>
              <w:textAlignment w:val="auto"/>
              <w:rPr>
                <w:rFonts w:hint="eastAsia" w:ascii="Times New Roman" w:hAnsi="Times New Roman" w:eastAsia="宋体" w:cs="Times New Roman"/>
              </w:rPr>
            </w:pPr>
          </w:p>
          <w:p w14:paraId="1704421C">
            <w:pPr>
              <w:keepNext w:val="0"/>
              <w:keepLines w:val="0"/>
              <w:pageBreakBefore w:val="0"/>
              <w:widowControl w:val="0"/>
              <w:kinsoku/>
              <w:wordWrap w:val="0"/>
              <w:overflowPunct/>
              <w:topLinePunct w:val="0"/>
              <w:autoSpaceDE/>
              <w:autoSpaceDN/>
              <w:bidi w:val="0"/>
              <w:adjustRightInd/>
              <w:snapToGrid/>
              <w:ind w:firstLine="480"/>
              <w:jc w:val="both"/>
              <w:textAlignment w:val="auto"/>
            </w:pPr>
          </w:p>
        </w:tc>
      </w:tr>
    </w:tbl>
    <w:p w14:paraId="371CC136">
      <w:pPr>
        <w:wordWrap w:val="0"/>
        <w:spacing w:line="240" w:lineRule="auto"/>
        <w:ind w:firstLine="0" w:firstLineChars="0"/>
        <w:jc w:val="center"/>
        <w:rPr>
          <w:rFonts w:ascii="黑体" w:hAnsi="黑体" w:eastAsia="黑体"/>
          <w:snapToGrid w:val="0"/>
        </w:rPr>
      </w:pPr>
      <w:r>
        <w:rPr>
          <w:snapToGrid w:val="0"/>
        </w:rPr>
        <w:br w:type="page"/>
      </w:r>
    </w:p>
    <w:p w14:paraId="75DA7AB2">
      <w:pPr>
        <w:pStyle w:val="22"/>
        <w:keepNext w:val="0"/>
        <w:keepLines w:val="0"/>
        <w:pageBreakBefore w:val="0"/>
        <w:widowControl/>
        <w:kinsoku/>
        <w:wordWrap w:val="0"/>
        <w:overflowPunct/>
        <w:topLinePunct w:val="0"/>
        <w:autoSpaceDE/>
        <w:autoSpaceDN/>
        <w:bidi w:val="0"/>
        <w:adjustRightInd/>
        <w:snapToGrid/>
        <w:spacing w:before="0" w:beforeAutospacing="0" w:after="0" w:afterAutospacing="0" w:line="240" w:lineRule="auto"/>
        <w:ind w:firstLine="0" w:firstLineChars="0"/>
        <w:jc w:val="center"/>
        <w:textAlignment w:val="auto"/>
        <w:outlineLvl w:val="0"/>
        <w:rPr>
          <w:rFonts w:ascii="黑体" w:hAnsi="黑体" w:eastAsia="黑体"/>
          <w:snapToGrid w:val="0"/>
          <w:color w:val="000000" w:themeColor="text1"/>
          <w:sz w:val="30"/>
          <w:szCs w:val="30"/>
          <w14:textFill>
            <w14:solidFill>
              <w14:schemeClr w14:val="tx1"/>
            </w14:solidFill>
          </w14:textFill>
        </w:rPr>
      </w:pPr>
      <w:bookmarkStart w:id="4" w:name="_Toc17619"/>
      <w:r>
        <w:rPr>
          <w:rFonts w:hint="eastAsia" w:ascii="黑体" w:hAnsi="黑体" w:eastAsia="黑体"/>
          <w:snapToGrid w:val="0"/>
          <w:color w:val="000000" w:themeColor="text1"/>
          <w:sz w:val="30"/>
          <w:szCs w:val="30"/>
          <w14:textFill>
            <w14:solidFill>
              <w14:schemeClr w14:val="tx1"/>
            </w14:solidFill>
          </w14:textFill>
        </w:rPr>
        <w:t>三、区域环境质量现状、环境保护目标及评价标准</w:t>
      </w:r>
      <w:bookmarkEnd w:id="4"/>
    </w:p>
    <w:tbl>
      <w:tblPr>
        <w:tblStyle w:val="35"/>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75"/>
        <w:gridCol w:w="9487"/>
      </w:tblGrid>
      <w:tr w14:paraId="36D554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454" w:type="dxa"/>
            <w:vAlign w:val="center"/>
          </w:tcPr>
          <w:p w14:paraId="7CAC5EA6">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pPr>
            <w:r>
              <w:rPr>
                <w:rFonts w:hint="eastAsia"/>
              </w:rPr>
              <w:t>区域环境质量现状</w:t>
            </w:r>
          </w:p>
        </w:tc>
        <w:tc>
          <w:tcPr>
            <w:tcW w:w="9076" w:type="dxa"/>
            <w:vAlign w:val="center"/>
          </w:tcPr>
          <w:p w14:paraId="78495A04">
            <w:pPr>
              <w:pStyle w:val="54"/>
              <w:keepNext w:val="0"/>
              <w:keepLines w:val="0"/>
              <w:pageBreakBefore w:val="0"/>
              <w:widowControl w:val="0"/>
              <w:numPr>
                <w:ilvl w:val="0"/>
                <w:numId w:val="0"/>
              </w:numPr>
              <w:kinsoku/>
              <w:wordWrap/>
              <w:overflowPunct/>
              <w:topLinePunct w:val="0"/>
              <w:autoSpaceDE/>
              <w:autoSpaceDN/>
              <w:bidi w:val="0"/>
              <w:adjustRightInd/>
              <w:snapToGrid/>
              <w:ind w:left="0" w:leftChars="0" w:firstLine="482" w:firstLineChars="200"/>
              <w:textAlignment w:val="auto"/>
              <w:rPr>
                <w:b/>
              </w:rPr>
            </w:pPr>
            <w:bookmarkStart w:id="5" w:name="_Toc123850978"/>
            <w:r>
              <w:rPr>
                <w:rFonts w:hint="eastAsia"/>
                <w:b/>
                <w:lang w:val="en-US" w:eastAsia="zh-CN"/>
              </w:rPr>
              <w:t>1、</w:t>
            </w:r>
            <w:r>
              <w:rPr>
                <w:rFonts w:hint="eastAsia"/>
                <w:b/>
              </w:rPr>
              <w:t>环境空气质量</w:t>
            </w:r>
            <w:bookmarkEnd w:id="5"/>
          </w:p>
          <w:p w14:paraId="102ED84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rPr>
            </w:pPr>
            <w:r>
              <w:rPr>
                <w:sz w:val="24"/>
              </w:rPr>
              <w:t>（1）基本污染物</w:t>
            </w:r>
          </w:p>
          <w:p w14:paraId="5B2FD053">
            <w:pPr>
              <w:keepNext w:val="0"/>
              <w:keepLines w:val="0"/>
              <w:pageBreakBefore w:val="0"/>
              <w:widowControl w:val="0"/>
              <w:kinsoku/>
              <w:wordWrap/>
              <w:overflowPunct/>
              <w:topLinePunct w:val="0"/>
              <w:autoSpaceDE/>
              <w:autoSpaceDN/>
              <w:bidi w:val="0"/>
              <w:adjustRightInd/>
              <w:snapToGrid/>
              <w:ind w:firstLine="480"/>
              <w:textAlignment w:val="auto"/>
              <w:rPr>
                <w:kern w:val="0"/>
                <w:szCs w:val="21"/>
              </w:rPr>
            </w:pPr>
            <w:r>
              <w:rPr>
                <w:rFonts w:hint="default" w:ascii="Times New Roman" w:hAnsi="Times New Roman" w:eastAsia="宋体" w:cs="Times New Roman"/>
                <w:color w:val="auto"/>
                <w:sz w:val="24"/>
                <w:szCs w:val="24"/>
              </w:rPr>
              <w:t>根据大气功能区划分，本项目所在地为二类功能区，环境空气质量执行《环境空气质量标准》（GB3095-2012）及其修改单中二级标准。项目涉及的行政区（县级以上）为</w:t>
            </w:r>
            <w:r>
              <w:rPr>
                <w:rFonts w:hint="eastAsia" w:ascii="Times New Roman" w:hAnsi="Times New Roman" w:eastAsia="宋体" w:cs="Times New Roman"/>
                <w:color w:val="auto"/>
                <w:sz w:val="24"/>
                <w:szCs w:val="24"/>
                <w:lang w:val="en-US" w:eastAsia="zh-CN"/>
              </w:rPr>
              <w:t>柴桑区</w:t>
            </w:r>
            <w:r>
              <w:rPr>
                <w:rFonts w:hint="default" w:ascii="Times New Roman" w:hAnsi="Times New Roman" w:eastAsia="宋体" w:cs="Times New Roman"/>
                <w:color w:val="auto"/>
                <w:sz w:val="24"/>
                <w:szCs w:val="24"/>
              </w:rPr>
              <w:t>，环境空气常规因子现状监测数据引用江西省生态环境厅发布的《20</w:t>
            </w:r>
            <w:r>
              <w:rPr>
                <w:rFonts w:hint="default"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年江西省各县（市、区）六项污染物浓度年均值》中</w:t>
            </w:r>
            <w:r>
              <w:rPr>
                <w:rFonts w:hint="default" w:ascii="Times New Roman" w:hAnsi="Times New Roman" w:eastAsia="宋体" w:cs="Times New Roman"/>
                <w:color w:val="auto"/>
                <w:sz w:val="24"/>
                <w:szCs w:val="24"/>
                <w:lang w:val="en-US" w:eastAsia="zh-CN"/>
              </w:rPr>
              <w:t>柴桑区</w:t>
            </w:r>
            <w:r>
              <w:rPr>
                <w:rFonts w:hint="default" w:ascii="Times New Roman" w:hAnsi="Times New Roman" w:eastAsia="宋体" w:cs="Times New Roman"/>
                <w:color w:val="auto"/>
                <w:sz w:val="24"/>
                <w:szCs w:val="24"/>
              </w:rPr>
              <w:t>数据，监测结果</w:t>
            </w:r>
            <w:r>
              <w:rPr>
                <w:rFonts w:hint="eastAsia" w:ascii="Times New Roman" w:hAnsi="Times New Roman" w:eastAsia="宋体" w:cs="Times New Roman"/>
                <w:color w:val="auto"/>
                <w:sz w:val="24"/>
                <w:szCs w:val="24"/>
                <w:lang w:eastAsia="zh-CN"/>
              </w:rPr>
              <w:t>详</w:t>
            </w:r>
            <w:r>
              <w:rPr>
                <w:rFonts w:hint="default" w:ascii="Times New Roman" w:hAnsi="Times New Roman" w:eastAsia="宋体" w:cs="Times New Roman"/>
                <w:color w:val="auto"/>
                <w:sz w:val="24"/>
                <w:szCs w:val="24"/>
              </w:rPr>
              <w:t>见表</w:t>
            </w:r>
            <w:r>
              <w:rPr>
                <w:rFonts w:hint="default" w:ascii="Times New Roman" w:hAnsi="Times New Roman" w:eastAsia="宋体" w:cs="Times New Roman"/>
                <w:color w:val="auto"/>
                <w:sz w:val="24"/>
                <w:szCs w:val="24"/>
                <w:lang w:val="en-US" w:eastAsia="zh-CN"/>
              </w:rPr>
              <w:t>3-1</w:t>
            </w:r>
            <w:r>
              <w:rPr>
                <w:rFonts w:hint="default" w:ascii="Times New Roman" w:hAnsi="Times New Roman" w:eastAsia="宋体" w:cs="Times New Roman"/>
                <w:color w:val="auto"/>
                <w:sz w:val="24"/>
                <w:szCs w:val="24"/>
              </w:rPr>
              <w:t>。</w:t>
            </w:r>
          </w:p>
          <w:p w14:paraId="3887C59E">
            <w:pPr>
              <w:pStyle w:val="49"/>
              <w:keepNext w:val="0"/>
              <w:keepLines w:val="0"/>
              <w:pageBreakBefore w:val="0"/>
              <w:widowControl w:val="0"/>
              <w:kinsoku/>
              <w:wordWrap/>
              <w:overflowPunct/>
              <w:topLinePunct w:val="0"/>
              <w:autoSpaceDE/>
              <w:autoSpaceDN/>
              <w:bidi w:val="0"/>
              <w:adjustRightInd/>
              <w:snapToGrid/>
              <w:textAlignment w:val="auto"/>
              <w:rPr>
                <w:b/>
              </w:rPr>
            </w:pPr>
            <w:r>
              <w:rPr>
                <w:b/>
              </w:rPr>
              <w:t>表3-1</w:t>
            </w:r>
            <w:r>
              <w:rPr>
                <w:rFonts w:hint="eastAsia"/>
                <w:b/>
                <w:lang w:val="en-US" w:eastAsia="zh-CN"/>
              </w:rPr>
              <w:t xml:space="preserve">   </w:t>
            </w:r>
            <w:r>
              <w:rPr>
                <w:rFonts w:hAnsi="Times New Roman"/>
                <w:b/>
                <w:szCs w:val="21"/>
              </w:rPr>
              <w:t>202</w:t>
            </w:r>
            <w:r>
              <w:rPr>
                <w:rFonts w:hint="eastAsia"/>
                <w:b/>
                <w:szCs w:val="21"/>
                <w:lang w:val="en-US" w:eastAsia="zh-CN"/>
              </w:rPr>
              <w:t>4</w:t>
            </w:r>
            <w:r>
              <w:rPr>
                <w:rFonts w:hAnsi="Times New Roman"/>
                <w:b/>
                <w:szCs w:val="21"/>
              </w:rPr>
              <w:t>年</w:t>
            </w:r>
            <w:r>
              <w:rPr>
                <w:rFonts w:hint="eastAsia" w:hAnsi="Times New Roman"/>
                <w:b/>
                <w:szCs w:val="21"/>
                <w:lang w:val="en-US" w:eastAsia="zh-CN"/>
              </w:rPr>
              <w:t>柴桑区</w:t>
            </w:r>
            <w:r>
              <w:rPr>
                <w:rFonts w:hAnsi="Times New Roman"/>
                <w:b/>
                <w:szCs w:val="21"/>
              </w:rPr>
              <w:t>空气质量监测结果一览表</w:t>
            </w:r>
          </w:p>
          <w:tbl>
            <w:tblPr>
              <w:tblStyle w:val="35"/>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883"/>
              <w:gridCol w:w="3323"/>
              <w:gridCol w:w="1423"/>
              <w:gridCol w:w="1423"/>
              <w:gridCol w:w="1425"/>
              <w:gridCol w:w="794"/>
            </w:tblGrid>
            <w:tr w14:paraId="3911F75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476" w:type="pct"/>
                  <w:vAlign w:val="center"/>
                </w:tcPr>
                <w:p w14:paraId="64283586">
                  <w:pPr>
                    <w:pStyle w:val="49"/>
                    <w:keepNext w:val="0"/>
                    <w:keepLines w:val="0"/>
                    <w:pageBreakBefore w:val="0"/>
                    <w:widowControl w:val="0"/>
                    <w:kinsoku/>
                    <w:wordWrap/>
                    <w:overflowPunct/>
                    <w:topLinePunct w:val="0"/>
                    <w:autoSpaceDE/>
                    <w:autoSpaceDN/>
                    <w:bidi w:val="0"/>
                    <w:adjustRightInd/>
                    <w:snapToGrid w:val="0"/>
                    <w:textAlignment w:val="auto"/>
                    <w:rPr>
                      <w:b/>
                    </w:rPr>
                  </w:pPr>
                  <w:r>
                    <w:rPr>
                      <w:b/>
                    </w:rPr>
                    <w:t>污染物</w:t>
                  </w:r>
                </w:p>
              </w:tc>
              <w:tc>
                <w:tcPr>
                  <w:tcW w:w="1791" w:type="pct"/>
                  <w:vAlign w:val="center"/>
                </w:tcPr>
                <w:p w14:paraId="6EC057BF">
                  <w:pPr>
                    <w:pStyle w:val="49"/>
                    <w:keepNext w:val="0"/>
                    <w:keepLines w:val="0"/>
                    <w:pageBreakBefore w:val="0"/>
                    <w:widowControl w:val="0"/>
                    <w:kinsoku/>
                    <w:wordWrap/>
                    <w:overflowPunct/>
                    <w:topLinePunct w:val="0"/>
                    <w:autoSpaceDE/>
                    <w:autoSpaceDN/>
                    <w:bidi w:val="0"/>
                    <w:adjustRightInd/>
                    <w:snapToGrid w:val="0"/>
                    <w:textAlignment w:val="auto"/>
                    <w:rPr>
                      <w:b/>
                    </w:rPr>
                  </w:pPr>
                  <w:r>
                    <w:rPr>
                      <w:b/>
                    </w:rPr>
                    <w:t>年评价指标</w:t>
                  </w:r>
                </w:p>
              </w:tc>
              <w:tc>
                <w:tcPr>
                  <w:tcW w:w="767" w:type="pct"/>
                  <w:vAlign w:val="center"/>
                </w:tcPr>
                <w:p w14:paraId="776CCFE4">
                  <w:pPr>
                    <w:pStyle w:val="49"/>
                    <w:keepNext w:val="0"/>
                    <w:keepLines w:val="0"/>
                    <w:pageBreakBefore w:val="0"/>
                    <w:widowControl w:val="0"/>
                    <w:kinsoku/>
                    <w:wordWrap/>
                    <w:overflowPunct/>
                    <w:topLinePunct w:val="0"/>
                    <w:autoSpaceDE/>
                    <w:autoSpaceDN/>
                    <w:bidi w:val="0"/>
                    <w:adjustRightInd/>
                    <w:snapToGrid w:val="0"/>
                    <w:textAlignment w:val="auto"/>
                    <w:rPr>
                      <w:b/>
                    </w:rPr>
                  </w:pPr>
                  <w:r>
                    <w:rPr>
                      <w:b/>
                    </w:rPr>
                    <w:t>现状浓度</w:t>
                  </w:r>
                </w:p>
                <w:p w14:paraId="1B6D4A6C">
                  <w:pPr>
                    <w:pStyle w:val="49"/>
                    <w:keepNext w:val="0"/>
                    <w:keepLines w:val="0"/>
                    <w:pageBreakBefore w:val="0"/>
                    <w:widowControl w:val="0"/>
                    <w:kinsoku/>
                    <w:wordWrap/>
                    <w:overflowPunct/>
                    <w:topLinePunct w:val="0"/>
                    <w:autoSpaceDE/>
                    <w:autoSpaceDN/>
                    <w:bidi w:val="0"/>
                    <w:adjustRightInd/>
                    <w:snapToGrid w:val="0"/>
                    <w:textAlignment w:val="auto"/>
                    <w:rPr>
                      <w:b/>
                    </w:rPr>
                  </w:pPr>
                  <w:r>
                    <w:rPr>
                      <w:b/>
                    </w:rPr>
                    <w:t>（μg/m</w:t>
                  </w:r>
                  <w:r>
                    <w:rPr>
                      <w:b/>
                      <w:vertAlign w:val="superscript"/>
                    </w:rPr>
                    <w:t>3</w:t>
                  </w:r>
                  <w:r>
                    <w:rPr>
                      <w:b/>
                    </w:rPr>
                    <w:t>）</w:t>
                  </w:r>
                </w:p>
              </w:tc>
              <w:tc>
                <w:tcPr>
                  <w:tcW w:w="767" w:type="pct"/>
                  <w:vAlign w:val="center"/>
                </w:tcPr>
                <w:p w14:paraId="0348984E">
                  <w:pPr>
                    <w:pStyle w:val="49"/>
                    <w:keepNext w:val="0"/>
                    <w:keepLines w:val="0"/>
                    <w:pageBreakBefore w:val="0"/>
                    <w:widowControl w:val="0"/>
                    <w:kinsoku/>
                    <w:wordWrap/>
                    <w:overflowPunct/>
                    <w:topLinePunct w:val="0"/>
                    <w:autoSpaceDE/>
                    <w:autoSpaceDN/>
                    <w:bidi w:val="0"/>
                    <w:adjustRightInd/>
                    <w:snapToGrid w:val="0"/>
                    <w:textAlignment w:val="auto"/>
                    <w:rPr>
                      <w:rFonts w:hint="eastAsia" w:eastAsia="宋体"/>
                      <w:b/>
                      <w:lang w:val="en-US" w:eastAsia="zh-CN"/>
                    </w:rPr>
                  </w:pPr>
                  <w:r>
                    <w:rPr>
                      <w:b/>
                    </w:rPr>
                    <w:t>标准</w:t>
                  </w:r>
                  <w:r>
                    <w:rPr>
                      <w:rFonts w:hint="eastAsia"/>
                      <w:b/>
                      <w:lang w:val="en-US" w:eastAsia="zh-CN"/>
                    </w:rPr>
                    <w:t>浓度</w:t>
                  </w:r>
                </w:p>
                <w:p w14:paraId="29F0A11A">
                  <w:pPr>
                    <w:pStyle w:val="49"/>
                    <w:keepNext w:val="0"/>
                    <w:keepLines w:val="0"/>
                    <w:pageBreakBefore w:val="0"/>
                    <w:widowControl w:val="0"/>
                    <w:kinsoku/>
                    <w:wordWrap/>
                    <w:overflowPunct/>
                    <w:topLinePunct w:val="0"/>
                    <w:autoSpaceDE/>
                    <w:autoSpaceDN/>
                    <w:bidi w:val="0"/>
                    <w:adjustRightInd/>
                    <w:snapToGrid w:val="0"/>
                    <w:textAlignment w:val="auto"/>
                    <w:rPr>
                      <w:b/>
                    </w:rPr>
                  </w:pPr>
                  <w:r>
                    <w:rPr>
                      <w:b/>
                    </w:rPr>
                    <w:t>（μg/m</w:t>
                  </w:r>
                  <w:r>
                    <w:rPr>
                      <w:b/>
                      <w:vertAlign w:val="superscript"/>
                    </w:rPr>
                    <w:t>3</w:t>
                  </w:r>
                  <w:r>
                    <w:rPr>
                      <w:b/>
                    </w:rPr>
                    <w:t>）</w:t>
                  </w:r>
                </w:p>
              </w:tc>
              <w:tc>
                <w:tcPr>
                  <w:tcW w:w="768" w:type="pct"/>
                  <w:vAlign w:val="center"/>
                </w:tcPr>
                <w:p w14:paraId="4B8CF7FD">
                  <w:pPr>
                    <w:pStyle w:val="49"/>
                    <w:keepNext w:val="0"/>
                    <w:keepLines w:val="0"/>
                    <w:pageBreakBefore w:val="0"/>
                    <w:widowControl w:val="0"/>
                    <w:kinsoku/>
                    <w:wordWrap/>
                    <w:overflowPunct/>
                    <w:topLinePunct w:val="0"/>
                    <w:autoSpaceDE/>
                    <w:autoSpaceDN/>
                    <w:bidi w:val="0"/>
                    <w:adjustRightInd/>
                    <w:snapToGrid w:val="0"/>
                    <w:textAlignment w:val="auto"/>
                    <w:rPr>
                      <w:b/>
                    </w:rPr>
                  </w:pPr>
                  <w:r>
                    <w:rPr>
                      <w:b/>
                    </w:rPr>
                    <w:t>占标率</w:t>
                  </w:r>
                </w:p>
                <w:p w14:paraId="3DE60667">
                  <w:pPr>
                    <w:pStyle w:val="49"/>
                    <w:keepNext w:val="0"/>
                    <w:keepLines w:val="0"/>
                    <w:pageBreakBefore w:val="0"/>
                    <w:widowControl w:val="0"/>
                    <w:kinsoku/>
                    <w:wordWrap/>
                    <w:overflowPunct/>
                    <w:topLinePunct w:val="0"/>
                    <w:autoSpaceDE/>
                    <w:autoSpaceDN/>
                    <w:bidi w:val="0"/>
                    <w:adjustRightInd/>
                    <w:snapToGrid w:val="0"/>
                    <w:textAlignment w:val="auto"/>
                    <w:rPr>
                      <w:b/>
                    </w:rPr>
                  </w:pPr>
                  <w:r>
                    <w:rPr>
                      <w:b/>
                    </w:rPr>
                    <w:t>（%）</w:t>
                  </w:r>
                </w:p>
              </w:tc>
              <w:tc>
                <w:tcPr>
                  <w:tcW w:w="428" w:type="pct"/>
                  <w:vAlign w:val="center"/>
                </w:tcPr>
                <w:p w14:paraId="35A0B349">
                  <w:pPr>
                    <w:pStyle w:val="49"/>
                    <w:keepNext w:val="0"/>
                    <w:keepLines w:val="0"/>
                    <w:pageBreakBefore w:val="0"/>
                    <w:widowControl w:val="0"/>
                    <w:kinsoku/>
                    <w:wordWrap/>
                    <w:overflowPunct/>
                    <w:topLinePunct w:val="0"/>
                    <w:autoSpaceDE/>
                    <w:autoSpaceDN/>
                    <w:bidi w:val="0"/>
                    <w:adjustRightInd/>
                    <w:snapToGrid w:val="0"/>
                    <w:textAlignment w:val="auto"/>
                    <w:rPr>
                      <w:b/>
                    </w:rPr>
                  </w:pPr>
                  <w:r>
                    <w:rPr>
                      <w:b/>
                    </w:rPr>
                    <w:t>达标情况</w:t>
                  </w:r>
                </w:p>
              </w:tc>
            </w:tr>
            <w:tr w14:paraId="1D72CF8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476" w:type="pct"/>
                  <w:vAlign w:val="center"/>
                </w:tcPr>
                <w:p w14:paraId="608E1117">
                  <w:pPr>
                    <w:pStyle w:val="49"/>
                    <w:keepNext w:val="0"/>
                    <w:keepLines w:val="0"/>
                    <w:pageBreakBefore w:val="0"/>
                    <w:widowControl w:val="0"/>
                    <w:kinsoku/>
                    <w:wordWrap/>
                    <w:overflowPunct/>
                    <w:topLinePunct w:val="0"/>
                    <w:autoSpaceDE/>
                    <w:autoSpaceDN/>
                    <w:bidi w:val="0"/>
                    <w:adjustRightInd/>
                    <w:snapToGrid w:val="0"/>
                    <w:textAlignment w:val="auto"/>
                  </w:pPr>
                  <w:r>
                    <w:t>SO</w:t>
                  </w:r>
                  <w:r>
                    <w:rPr>
                      <w:vertAlign w:val="subscript"/>
                    </w:rPr>
                    <w:t>2</w:t>
                  </w:r>
                </w:p>
              </w:tc>
              <w:tc>
                <w:tcPr>
                  <w:tcW w:w="1791" w:type="pct"/>
                  <w:vAlign w:val="center"/>
                </w:tcPr>
                <w:p w14:paraId="3C62608E">
                  <w:pPr>
                    <w:pStyle w:val="49"/>
                    <w:keepNext w:val="0"/>
                    <w:keepLines w:val="0"/>
                    <w:pageBreakBefore w:val="0"/>
                    <w:widowControl w:val="0"/>
                    <w:kinsoku/>
                    <w:wordWrap/>
                    <w:overflowPunct/>
                    <w:topLinePunct w:val="0"/>
                    <w:autoSpaceDE/>
                    <w:autoSpaceDN/>
                    <w:bidi w:val="0"/>
                    <w:adjustRightInd/>
                    <w:snapToGrid w:val="0"/>
                    <w:textAlignment w:val="auto"/>
                  </w:pPr>
                  <w:r>
                    <w:t>年平均质量浓度</w:t>
                  </w:r>
                </w:p>
              </w:tc>
              <w:tc>
                <w:tcPr>
                  <w:tcW w:w="767" w:type="pct"/>
                  <w:vAlign w:val="center"/>
                </w:tcPr>
                <w:p w14:paraId="4F148D33">
                  <w:pPr>
                    <w:pStyle w:val="49"/>
                    <w:keepNext w:val="0"/>
                    <w:keepLines w:val="0"/>
                    <w:pageBreakBefore w:val="0"/>
                    <w:widowControl w:val="0"/>
                    <w:kinsoku/>
                    <w:wordWrap/>
                    <w:overflowPunct/>
                    <w:topLinePunct w:val="0"/>
                    <w:autoSpaceDE/>
                    <w:autoSpaceDN/>
                    <w:bidi w:val="0"/>
                    <w:adjustRightInd/>
                    <w:snapToGrid w:val="0"/>
                    <w:textAlignment w:val="auto"/>
                    <w:rPr>
                      <w:rFonts w:hint="eastAsia" w:eastAsia="宋体"/>
                      <w:lang w:eastAsia="zh-CN"/>
                    </w:rPr>
                  </w:pPr>
                  <w:r>
                    <w:rPr>
                      <w:rFonts w:hint="eastAsia"/>
                      <w:lang w:val="en-US" w:eastAsia="zh-CN"/>
                    </w:rPr>
                    <w:t>7</w:t>
                  </w:r>
                </w:p>
              </w:tc>
              <w:tc>
                <w:tcPr>
                  <w:tcW w:w="767" w:type="pct"/>
                  <w:vAlign w:val="center"/>
                </w:tcPr>
                <w:p w14:paraId="7F79D25C">
                  <w:pPr>
                    <w:pStyle w:val="49"/>
                    <w:keepNext w:val="0"/>
                    <w:keepLines w:val="0"/>
                    <w:pageBreakBefore w:val="0"/>
                    <w:widowControl w:val="0"/>
                    <w:kinsoku/>
                    <w:wordWrap/>
                    <w:overflowPunct/>
                    <w:topLinePunct w:val="0"/>
                    <w:autoSpaceDE/>
                    <w:autoSpaceDN/>
                    <w:bidi w:val="0"/>
                    <w:adjustRightInd/>
                    <w:snapToGrid w:val="0"/>
                    <w:textAlignment w:val="auto"/>
                  </w:pPr>
                  <w:r>
                    <w:rPr>
                      <w:rFonts w:cs="Courier New"/>
                    </w:rPr>
                    <w:t>60</w:t>
                  </w:r>
                </w:p>
              </w:tc>
              <w:tc>
                <w:tcPr>
                  <w:tcW w:w="768" w:type="pct"/>
                  <w:vAlign w:val="center"/>
                </w:tcPr>
                <w:p w14:paraId="14C6C9BB">
                  <w:pPr>
                    <w:pStyle w:val="49"/>
                    <w:keepNext w:val="0"/>
                    <w:keepLines w:val="0"/>
                    <w:pageBreakBefore w:val="0"/>
                    <w:widowControl w:val="0"/>
                    <w:kinsoku/>
                    <w:wordWrap/>
                    <w:overflowPunct/>
                    <w:topLinePunct w:val="0"/>
                    <w:autoSpaceDE/>
                    <w:autoSpaceDN/>
                    <w:bidi w:val="0"/>
                    <w:adjustRightInd/>
                    <w:snapToGrid w:val="0"/>
                    <w:textAlignment w:val="auto"/>
                    <w:rPr>
                      <w:rFonts w:hint="default" w:ascii="宋体" w:hAnsi="宋体" w:eastAsia="宋体" w:cs="宋体"/>
                      <w:color w:val="000000"/>
                      <w:sz w:val="21"/>
                      <w:szCs w:val="21"/>
                      <w:lang w:val="en-US" w:eastAsia="zh-CN"/>
                    </w:rPr>
                  </w:pPr>
                  <w:r>
                    <w:rPr>
                      <w:rFonts w:hint="eastAsia"/>
                      <w:color w:val="000000"/>
                      <w:sz w:val="21"/>
                      <w:szCs w:val="21"/>
                      <w:lang w:val="en-US" w:eastAsia="zh-CN"/>
                    </w:rPr>
                    <w:t>11.7</w:t>
                  </w:r>
                </w:p>
              </w:tc>
              <w:tc>
                <w:tcPr>
                  <w:tcW w:w="428" w:type="pct"/>
                  <w:vAlign w:val="center"/>
                </w:tcPr>
                <w:p w14:paraId="480E7201">
                  <w:pPr>
                    <w:pStyle w:val="49"/>
                    <w:keepNext w:val="0"/>
                    <w:keepLines w:val="0"/>
                    <w:pageBreakBefore w:val="0"/>
                    <w:widowControl w:val="0"/>
                    <w:kinsoku/>
                    <w:wordWrap/>
                    <w:overflowPunct/>
                    <w:topLinePunct w:val="0"/>
                    <w:autoSpaceDE/>
                    <w:autoSpaceDN/>
                    <w:bidi w:val="0"/>
                    <w:adjustRightInd/>
                    <w:snapToGrid w:val="0"/>
                    <w:textAlignment w:val="auto"/>
                  </w:pPr>
                  <w:r>
                    <w:t>达标</w:t>
                  </w:r>
                </w:p>
              </w:tc>
            </w:tr>
            <w:tr w14:paraId="796D26B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476" w:type="pct"/>
                  <w:vAlign w:val="center"/>
                </w:tcPr>
                <w:p w14:paraId="724D3409">
                  <w:pPr>
                    <w:pStyle w:val="49"/>
                    <w:keepNext w:val="0"/>
                    <w:keepLines w:val="0"/>
                    <w:pageBreakBefore w:val="0"/>
                    <w:widowControl w:val="0"/>
                    <w:kinsoku/>
                    <w:wordWrap/>
                    <w:overflowPunct/>
                    <w:topLinePunct w:val="0"/>
                    <w:autoSpaceDE/>
                    <w:autoSpaceDN/>
                    <w:bidi w:val="0"/>
                    <w:adjustRightInd/>
                    <w:snapToGrid w:val="0"/>
                    <w:textAlignment w:val="auto"/>
                  </w:pPr>
                  <w:r>
                    <w:t>NO</w:t>
                  </w:r>
                  <w:r>
                    <w:rPr>
                      <w:vertAlign w:val="subscript"/>
                    </w:rPr>
                    <w:t>2</w:t>
                  </w:r>
                </w:p>
              </w:tc>
              <w:tc>
                <w:tcPr>
                  <w:tcW w:w="1791" w:type="pct"/>
                  <w:vAlign w:val="center"/>
                </w:tcPr>
                <w:p w14:paraId="301DC344">
                  <w:pPr>
                    <w:pStyle w:val="49"/>
                    <w:keepNext w:val="0"/>
                    <w:keepLines w:val="0"/>
                    <w:pageBreakBefore w:val="0"/>
                    <w:widowControl w:val="0"/>
                    <w:kinsoku/>
                    <w:wordWrap/>
                    <w:overflowPunct/>
                    <w:topLinePunct w:val="0"/>
                    <w:autoSpaceDE/>
                    <w:autoSpaceDN/>
                    <w:bidi w:val="0"/>
                    <w:adjustRightInd/>
                    <w:snapToGrid w:val="0"/>
                    <w:textAlignment w:val="auto"/>
                  </w:pPr>
                  <w:r>
                    <w:t>年平均质量浓度</w:t>
                  </w:r>
                </w:p>
              </w:tc>
              <w:tc>
                <w:tcPr>
                  <w:tcW w:w="767" w:type="pct"/>
                  <w:vAlign w:val="center"/>
                </w:tcPr>
                <w:p w14:paraId="15448406">
                  <w:pPr>
                    <w:pStyle w:val="49"/>
                    <w:keepNext w:val="0"/>
                    <w:keepLines w:val="0"/>
                    <w:pageBreakBefore w:val="0"/>
                    <w:widowControl w:val="0"/>
                    <w:kinsoku/>
                    <w:wordWrap/>
                    <w:overflowPunct/>
                    <w:topLinePunct w:val="0"/>
                    <w:autoSpaceDE/>
                    <w:autoSpaceDN/>
                    <w:bidi w:val="0"/>
                    <w:adjustRightInd/>
                    <w:snapToGrid w:val="0"/>
                    <w:textAlignment w:val="auto"/>
                    <w:rPr>
                      <w:rFonts w:hint="default" w:eastAsia="宋体"/>
                      <w:lang w:val="en-US" w:eastAsia="zh-CN"/>
                    </w:rPr>
                  </w:pPr>
                  <w:r>
                    <w:rPr>
                      <w:rFonts w:hint="eastAsia"/>
                      <w:lang w:val="en-US" w:eastAsia="zh-CN"/>
                    </w:rPr>
                    <w:t>22</w:t>
                  </w:r>
                </w:p>
              </w:tc>
              <w:tc>
                <w:tcPr>
                  <w:tcW w:w="767" w:type="pct"/>
                  <w:vAlign w:val="center"/>
                </w:tcPr>
                <w:p w14:paraId="50AA7D61">
                  <w:pPr>
                    <w:pStyle w:val="49"/>
                    <w:keepNext w:val="0"/>
                    <w:keepLines w:val="0"/>
                    <w:pageBreakBefore w:val="0"/>
                    <w:widowControl w:val="0"/>
                    <w:kinsoku/>
                    <w:wordWrap/>
                    <w:overflowPunct/>
                    <w:topLinePunct w:val="0"/>
                    <w:autoSpaceDE/>
                    <w:autoSpaceDN/>
                    <w:bidi w:val="0"/>
                    <w:adjustRightInd/>
                    <w:snapToGrid w:val="0"/>
                    <w:textAlignment w:val="auto"/>
                  </w:pPr>
                  <w:r>
                    <w:rPr>
                      <w:rFonts w:cs="Courier New"/>
                    </w:rPr>
                    <w:t>40</w:t>
                  </w:r>
                </w:p>
              </w:tc>
              <w:tc>
                <w:tcPr>
                  <w:tcW w:w="768" w:type="pct"/>
                  <w:vAlign w:val="center"/>
                </w:tcPr>
                <w:p w14:paraId="0FC6A4C6">
                  <w:pPr>
                    <w:pStyle w:val="49"/>
                    <w:keepNext w:val="0"/>
                    <w:keepLines w:val="0"/>
                    <w:pageBreakBefore w:val="0"/>
                    <w:widowControl w:val="0"/>
                    <w:kinsoku/>
                    <w:wordWrap/>
                    <w:overflowPunct/>
                    <w:topLinePunct w:val="0"/>
                    <w:autoSpaceDE/>
                    <w:autoSpaceDN/>
                    <w:bidi w:val="0"/>
                    <w:adjustRightInd/>
                    <w:snapToGrid w:val="0"/>
                    <w:textAlignment w:val="auto"/>
                    <w:rPr>
                      <w:rFonts w:hint="default" w:ascii="宋体" w:hAnsi="宋体" w:eastAsia="宋体" w:cs="宋体"/>
                      <w:color w:val="000000"/>
                      <w:sz w:val="21"/>
                      <w:szCs w:val="21"/>
                      <w:lang w:val="en-US" w:eastAsia="zh-CN"/>
                    </w:rPr>
                  </w:pPr>
                  <w:r>
                    <w:rPr>
                      <w:rFonts w:hint="eastAsia"/>
                      <w:color w:val="000000"/>
                      <w:sz w:val="21"/>
                      <w:szCs w:val="21"/>
                      <w:lang w:val="en-US" w:eastAsia="zh-CN"/>
                    </w:rPr>
                    <w:t>55.0</w:t>
                  </w:r>
                </w:p>
              </w:tc>
              <w:tc>
                <w:tcPr>
                  <w:tcW w:w="428" w:type="pct"/>
                  <w:vAlign w:val="center"/>
                </w:tcPr>
                <w:p w14:paraId="580222D1">
                  <w:pPr>
                    <w:pStyle w:val="49"/>
                    <w:keepNext w:val="0"/>
                    <w:keepLines w:val="0"/>
                    <w:pageBreakBefore w:val="0"/>
                    <w:widowControl w:val="0"/>
                    <w:kinsoku/>
                    <w:wordWrap/>
                    <w:overflowPunct/>
                    <w:topLinePunct w:val="0"/>
                    <w:autoSpaceDE/>
                    <w:autoSpaceDN/>
                    <w:bidi w:val="0"/>
                    <w:adjustRightInd/>
                    <w:snapToGrid w:val="0"/>
                    <w:textAlignment w:val="auto"/>
                  </w:pPr>
                  <w:r>
                    <w:t>达标</w:t>
                  </w:r>
                </w:p>
              </w:tc>
            </w:tr>
            <w:tr w14:paraId="0B6FDBC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476" w:type="pct"/>
                  <w:vAlign w:val="center"/>
                </w:tcPr>
                <w:p w14:paraId="3B189649">
                  <w:pPr>
                    <w:pStyle w:val="49"/>
                    <w:keepNext w:val="0"/>
                    <w:keepLines w:val="0"/>
                    <w:pageBreakBefore w:val="0"/>
                    <w:widowControl w:val="0"/>
                    <w:kinsoku/>
                    <w:wordWrap/>
                    <w:overflowPunct/>
                    <w:topLinePunct w:val="0"/>
                    <w:autoSpaceDE/>
                    <w:autoSpaceDN/>
                    <w:bidi w:val="0"/>
                    <w:adjustRightInd/>
                    <w:snapToGrid w:val="0"/>
                    <w:textAlignment w:val="auto"/>
                  </w:pPr>
                  <w:r>
                    <w:t>PM</w:t>
                  </w:r>
                  <w:r>
                    <w:rPr>
                      <w:vertAlign w:val="subscript"/>
                    </w:rPr>
                    <w:t>10</w:t>
                  </w:r>
                </w:p>
              </w:tc>
              <w:tc>
                <w:tcPr>
                  <w:tcW w:w="1791" w:type="pct"/>
                  <w:vAlign w:val="center"/>
                </w:tcPr>
                <w:p w14:paraId="625F4C43">
                  <w:pPr>
                    <w:pStyle w:val="49"/>
                    <w:keepNext w:val="0"/>
                    <w:keepLines w:val="0"/>
                    <w:pageBreakBefore w:val="0"/>
                    <w:widowControl w:val="0"/>
                    <w:kinsoku/>
                    <w:wordWrap/>
                    <w:overflowPunct/>
                    <w:topLinePunct w:val="0"/>
                    <w:autoSpaceDE/>
                    <w:autoSpaceDN/>
                    <w:bidi w:val="0"/>
                    <w:adjustRightInd/>
                    <w:snapToGrid w:val="0"/>
                    <w:textAlignment w:val="auto"/>
                  </w:pPr>
                  <w:r>
                    <w:t>年平均质量浓度</w:t>
                  </w:r>
                </w:p>
              </w:tc>
              <w:tc>
                <w:tcPr>
                  <w:tcW w:w="767" w:type="pct"/>
                  <w:vAlign w:val="center"/>
                </w:tcPr>
                <w:p w14:paraId="77CC07B3">
                  <w:pPr>
                    <w:pStyle w:val="49"/>
                    <w:keepNext w:val="0"/>
                    <w:keepLines w:val="0"/>
                    <w:pageBreakBefore w:val="0"/>
                    <w:widowControl w:val="0"/>
                    <w:kinsoku/>
                    <w:wordWrap/>
                    <w:overflowPunct/>
                    <w:topLinePunct w:val="0"/>
                    <w:autoSpaceDE/>
                    <w:autoSpaceDN/>
                    <w:bidi w:val="0"/>
                    <w:adjustRightInd/>
                    <w:snapToGrid w:val="0"/>
                    <w:textAlignment w:val="auto"/>
                    <w:rPr>
                      <w:rFonts w:hint="default" w:eastAsia="宋体"/>
                      <w:lang w:val="en-US" w:eastAsia="zh-CN"/>
                    </w:rPr>
                  </w:pPr>
                  <w:r>
                    <w:rPr>
                      <w:rFonts w:hint="eastAsia"/>
                      <w:lang w:val="en-US" w:eastAsia="zh-CN"/>
                    </w:rPr>
                    <w:t>44</w:t>
                  </w:r>
                </w:p>
              </w:tc>
              <w:tc>
                <w:tcPr>
                  <w:tcW w:w="767" w:type="pct"/>
                  <w:vAlign w:val="center"/>
                </w:tcPr>
                <w:p w14:paraId="47217166">
                  <w:pPr>
                    <w:pStyle w:val="49"/>
                    <w:keepNext w:val="0"/>
                    <w:keepLines w:val="0"/>
                    <w:pageBreakBefore w:val="0"/>
                    <w:widowControl w:val="0"/>
                    <w:kinsoku/>
                    <w:wordWrap/>
                    <w:overflowPunct/>
                    <w:topLinePunct w:val="0"/>
                    <w:autoSpaceDE/>
                    <w:autoSpaceDN/>
                    <w:bidi w:val="0"/>
                    <w:adjustRightInd/>
                    <w:snapToGrid w:val="0"/>
                    <w:textAlignment w:val="auto"/>
                  </w:pPr>
                  <w:r>
                    <w:rPr>
                      <w:rFonts w:cs="Courier New"/>
                    </w:rPr>
                    <w:t>70</w:t>
                  </w:r>
                </w:p>
              </w:tc>
              <w:tc>
                <w:tcPr>
                  <w:tcW w:w="768" w:type="pct"/>
                  <w:vAlign w:val="center"/>
                </w:tcPr>
                <w:p w14:paraId="157B83B2">
                  <w:pPr>
                    <w:pStyle w:val="49"/>
                    <w:keepNext w:val="0"/>
                    <w:keepLines w:val="0"/>
                    <w:pageBreakBefore w:val="0"/>
                    <w:widowControl w:val="0"/>
                    <w:kinsoku/>
                    <w:wordWrap/>
                    <w:overflowPunct/>
                    <w:topLinePunct w:val="0"/>
                    <w:autoSpaceDE/>
                    <w:autoSpaceDN/>
                    <w:bidi w:val="0"/>
                    <w:adjustRightInd/>
                    <w:snapToGrid w:val="0"/>
                    <w:textAlignment w:val="auto"/>
                    <w:rPr>
                      <w:rFonts w:hint="default" w:ascii="宋体" w:hAnsi="宋体" w:eastAsia="宋体" w:cs="宋体"/>
                      <w:color w:val="000000"/>
                      <w:sz w:val="21"/>
                      <w:szCs w:val="21"/>
                      <w:lang w:val="en-US" w:eastAsia="zh-CN"/>
                    </w:rPr>
                  </w:pPr>
                  <w:r>
                    <w:rPr>
                      <w:rFonts w:hint="eastAsia"/>
                      <w:color w:val="000000"/>
                      <w:sz w:val="21"/>
                      <w:szCs w:val="21"/>
                      <w:lang w:val="en-US" w:eastAsia="zh-CN"/>
                    </w:rPr>
                    <w:t>62.9</w:t>
                  </w:r>
                </w:p>
              </w:tc>
              <w:tc>
                <w:tcPr>
                  <w:tcW w:w="428" w:type="pct"/>
                  <w:vAlign w:val="center"/>
                </w:tcPr>
                <w:p w14:paraId="3055A5D1">
                  <w:pPr>
                    <w:pStyle w:val="49"/>
                    <w:keepNext w:val="0"/>
                    <w:keepLines w:val="0"/>
                    <w:pageBreakBefore w:val="0"/>
                    <w:widowControl w:val="0"/>
                    <w:kinsoku/>
                    <w:wordWrap/>
                    <w:overflowPunct/>
                    <w:topLinePunct w:val="0"/>
                    <w:autoSpaceDE/>
                    <w:autoSpaceDN/>
                    <w:bidi w:val="0"/>
                    <w:adjustRightInd/>
                    <w:snapToGrid w:val="0"/>
                    <w:textAlignment w:val="auto"/>
                  </w:pPr>
                  <w:r>
                    <w:t>达标</w:t>
                  </w:r>
                </w:p>
              </w:tc>
            </w:tr>
            <w:tr w14:paraId="3C51C02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476" w:type="pct"/>
                  <w:vAlign w:val="center"/>
                </w:tcPr>
                <w:p w14:paraId="3BD0DE0F">
                  <w:pPr>
                    <w:pStyle w:val="49"/>
                    <w:keepNext w:val="0"/>
                    <w:keepLines w:val="0"/>
                    <w:pageBreakBefore w:val="0"/>
                    <w:widowControl w:val="0"/>
                    <w:kinsoku/>
                    <w:wordWrap/>
                    <w:overflowPunct/>
                    <w:topLinePunct w:val="0"/>
                    <w:autoSpaceDE/>
                    <w:autoSpaceDN/>
                    <w:bidi w:val="0"/>
                    <w:adjustRightInd/>
                    <w:snapToGrid w:val="0"/>
                    <w:textAlignment w:val="auto"/>
                  </w:pPr>
                  <w:r>
                    <w:t>PM</w:t>
                  </w:r>
                  <w:r>
                    <w:rPr>
                      <w:vertAlign w:val="subscript"/>
                    </w:rPr>
                    <w:t>2.5</w:t>
                  </w:r>
                </w:p>
              </w:tc>
              <w:tc>
                <w:tcPr>
                  <w:tcW w:w="1791" w:type="pct"/>
                  <w:vAlign w:val="center"/>
                </w:tcPr>
                <w:p w14:paraId="1B46748F">
                  <w:pPr>
                    <w:pStyle w:val="49"/>
                    <w:keepNext w:val="0"/>
                    <w:keepLines w:val="0"/>
                    <w:pageBreakBefore w:val="0"/>
                    <w:widowControl w:val="0"/>
                    <w:kinsoku/>
                    <w:wordWrap/>
                    <w:overflowPunct/>
                    <w:topLinePunct w:val="0"/>
                    <w:autoSpaceDE/>
                    <w:autoSpaceDN/>
                    <w:bidi w:val="0"/>
                    <w:adjustRightInd/>
                    <w:snapToGrid w:val="0"/>
                    <w:textAlignment w:val="auto"/>
                  </w:pPr>
                  <w:r>
                    <w:t>年平均质量浓度</w:t>
                  </w:r>
                </w:p>
              </w:tc>
              <w:tc>
                <w:tcPr>
                  <w:tcW w:w="767" w:type="pct"/>
                  <w:vAlign w:val="center"/>
                </w:tcPr>
                <w:p w14:paraId="010F7D82">
                  <w:pPr>
                    <w:pStyle w:val="49"/>
                    <w:keepNext w:val="0"/>
                    <w:keepLines w:val="0"/>
                    <w:pageBreakBefore w:val="0"/>
                    <w:widowControl w:val="0"/>
                    <w:kinsoku/>
                    <w:wordWrap/>
                    <w:overflowPunct/>
                    <w:topLinePunct w:val="0"/>
                    <w:autoSpaceDE/>
                    <w:autoSpaceDN/>
                    <w:bidi w:val="0"/>
                    <w:adjustRightInd/>
                    <w:snapToGrid w:val="0"/>
                    <w:textAlignment w:val="auto"/>
                    <w:rPr>
                      <w:rFonts w:hint="default" w:eastAsia="宋体"/>
                      <w:lang w:val="en-US" w:eastAsia="zh-CN"/>
                    </w:rPr>
                  </w:pPr>
                  <w:r>
                    <w:rPr>
                      <w:rFonts w:hint="eastAsia"/>
                      <w:lang w:val="en-US" w:eastAsia="zh-CN"/>
                    </w:rPr>
                    <w:t>30.6</w:t>
                  </w:r>
                </w:p>
              </w:tc>
              <w:tc>
                <w:tcPr>
                  <w:tcW w:w="767" w:type="pct"/>
                  <w:vAlign w:val="center"/>
                </w:tcPr>
                <w:p w14:paraId="79B6E95D">
                  <w:pPr>
                    <w:pStyle w:val="49"/>
                    <w:keepNext w:val="0"/>
                    <w:keepLines w:val="0"/>
                    <w:pageBreakBefore w:val="0"/>
                    <w:widowControl w:val="0"/>
                    <w:kinsoku/>
                    <w:wordWrap/>
                    <w:overflowPunct/>
                    <w:topLinePunct w:val="0"/>
                    <w:autoSpaceDE/>
                    <w:autoSpaceDN/>
                    <w:bidi w:val="0"/>
                    <w:adjustRightInd/>
                    <w:snapToGrid w:val="0"/>
                    <w:textAlignment w:val="auto"/>
                  </w:pPr>
                  <w:r>
                    <w:rPr>
                      <w:rFonts w:cs="Courier New"/>
                    </w:rPr>
                    <w:t>35</w:t>
                  </w:r>
                </w:p>
              </w:tc>
              <w:tc>
                <w:tcPr>
                  <w:tcW w:w="768" w:type="pct"/>
                  <w:vAlign w:val="center"/>
                </w:tcPr>
                <w:p w14:paraId="2D66E9E1">
                  <w:pPr>
                    <w:pStyle w:val="49"/>
                    <w:keepNext w:val="0"/>
                    <w:keepLines w:val="0"/>
                    <w:pageBreakBefore w:val="0"/>
                    <w:widowControl w:val="0"/>
                    <w:kinsoku/>
                    <w:wordWrap/>
                    <w:overflowPunct/>
                    <w:topLinePunct w:val="0"/>
                    <w:autoSpaceDE/>
                    <w:autoSpaceDN/>
                    <w:bidi w:val="0"/>
                    <w:adjustRightInd/>
                    <w:snapToGrid w:val="0"/>
                    <w:textAlignment w:val="auto"/>
                    <w:rPr>
                      <w:rFonts w:hint="default" w:ascii="宋体" w:hAnsi="宋体" w:eastAsia="宋体" w:cs="宋体"/>
                      <w:color w:val="000000"/>
                      <w:sz w:val="21"/>
                      <w:szCs w:val="21"/>
                      <w:lang w:val="en-US" w:eastAsia="zh-CN"/>
                    </w:rPr>
                  </w:pPr>
                  <w:r>
                    <w:rPr>
                      <w:rFonts w:hint="eastAsia"/>
                      <w:color w:val="000000"/>
                      <w:sz w:val="21"/>
                      <w:szCs w:val="21"/>
                      <w:lang w:val="en-US" w:eastAsia="zh-CN"/>
                    </w:rPr>
                    <w:t>87.4</w:t>
                  </w:r>
                </w:p>
              </w:tc>
              <w:tc>
                <w:tcPr>
                  <w:tcW w:w="428" w:type="pct"/>
                  <w:vAlign w:val="center"/>
                </w:tcPr>
                <w:p w14:paraId="0E5D6D36">
                  <w:pPr>
                    <w:pStyle w:val="49"/>
                    <w:keepNext w:val="0"/>
                    <w:keepLines w:val="0"/>
                    <w:pageBreakBefore w:val="0"/>
                    <w:widowControl w:val="0"/>
                    <w:kinsoku/>
                    <w:wordWrap/>
                    <w:overflowPunct/>
                    <w:topLinePunct w:val="0"/>
                    <w:autoSpaceDE/>
                    <w:autoSpaceDN/>
                    <w:bidi w:val="0"/>
                    <w:adjustRightInd/>
                    <w:snapToGrid w:val="0"/>
                    <w:textAlignment w:val="auto"/>
                  </w:pPr>
                  <w:r>
                    <w:t>达标</w:t>
                  </w:r>
                </w:p>
              </w:tc>
            </w:tr>
            <w:tr w14:paraId="642067F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476" w:type="pct"/>
                  <w:vAlign w:val="center"/>
                </w:tcPr>
                <w:p w14:paraId="49416E77">
                  <w:pPr>
                    <w:pStyle w:val="49"/>
                    <w:keepNext w:val="0"/>
                    <w:keepLines w:val="0"/>
                    <w:pageBreakBefore w:val="0"/>
                    <w:widowControl w:val="0"/>
                    <w:kinsoku/>
                    <w:wordWrap/>
                    <w:overflowPunct/>
                    <w:topLinePunct w:val="0"/>
                    <w:autoSpaceDE/>
                    <w:autoSpaceDN/>
                    <w:bidi w:val="0"/>
                    <w:adjustRightInd/>
                    <w:snapToGrid w:val="0"/>
                    <w:textAlignment w:val="auto"/>
                  </w:pPr>
                  <w:r>
                    <w:t>CO</w:t>
                  </w:r>
                </w:p>
              </w:tc>
              <w:tc>
                <w:tcPr>
                  <w:tcW w:w="1791" w:type="pct"/>
                  <w:vAlign w:val="center"/>
                </w:tcPr>
                <w:p w14:paraId="241ECE4C">
                  <w:pPr>
                    <w:pStyle w:val="49"/>
                    <w:keepNext w:val="0"/>
                    <w:keepLines w:val="0"/>
                    <w:pageBreakBefore w:val="0"/>
                    <w:widowControl w:val="0"/>
                    <w:kinsoku/>
                    <w:wordWrap/>
                    <w:overflowPunct/>
                    <w:topLinePunct w:val="0"/>
                    <w:autoSpaceDE/>
                    <w:autoSpaceDN/>
                    <w:bidi w:val="0"/>
                    <w:adjustRightInd/>
                    <w:snapToGrid w:val="0"/>
                    <w:textAlignment w:val="auto"/>
                  </w:pPr>
                  <w:r>
                    <w:t>日均值95%位数质量浓度</w:t>
                  </w:r>
                </w:p>
              </w:tc>
              <w:tc>
                <w:tcPr>
                  <w:tcW w:w="767" w:type="pct"/>
                  <w:vAlign w:val="center"/>
                </w:tcPr>
                <w:p w14:paraId="4710CB27">
                  <w:pPr>
                    <w:pStyle w:val="49"/>
                    <w:keepNext w:val="0"/>
                    <w:keepLines w:val="0"/>
                    <w:pageBreakBefore w:val="0"/>
                    <w:widowControl w:val="0"/>
                    <w:kinsoku/>
                    <w:wordWrap/>
                    <w:overflowPunct/>
                    <w:topLinePunct w:val="0"/>
                    <w:autoSpaceDE/>
                    <w:autoSpaceDN/>
                    <w:bidi w:val="0"/>
                    <w:adjustRightInd/>
                    <w:snapToGrid w:val="0"/>
                    <w:textAlignment w:val="auto"/>
                    <w:rPr>
                      <w:rFonts w:hint="default" w:eastAsia="宋体"/>
                      <w:lang w:val="en-US" w:eastAsia="zh-CN"/>
                    </w:rPr>
                  </w:pPr>
                  <w:r>
                    <w:rPr>
                      <w:rFonts w:hint="eastAsia"/>
                      <w:lang w:val="en-US" w:eastAsia="zh-CN"/>
                    </w:rPr>
                    <w:t>1000</w:t>
                  </w:r>
                </w:p>
              </w:tc>
              <w:tc>
                <w:tcPr>
                  <w:tcW w:w="767" w:type="pct"/>
                  <w:vAlign w:val="center"/>
                </w:tcPr>
                <w:p w14:paraId="74156025">
                  <w:pPr>
                    <w:pStyle w:val="49"/>
                    <w:keepNext w:val="0"/>
                    <w:keepLines w:val="0"/>
                    <w:pageBreakBefore w:val="0"/>
                    <w:widowControl w:val="0"/>
                    <w:kinsoku/>
                    <w:wordWrap/>
                    <w:overflowPunct/>
                    <w:topLinePunct w:val="0"/>
                    <w:autoSpaceDE/>
                    <w:autoSpaceDN/>
                    <w:bidi w:val="0"/>
                    <w:adjustRightInd/>
                    <w:snapToGrid w:val="0"/>
                    <w:textAlignment w:val="auto"/>
                  </w:pPr>
                  <w:r>
                    <w:rPr>
                      <w:rFonts w:cs="Courier New"/>
                    </w:rPr>
                    <w:t>4000</w:t>
                  </w:r>
                </w:p>
              </w:tc>
              <w:tc>
                <w:tcPr>
                  <w:tcW w:w="768" w:type="pct"/>
                  <w:vAlign w:val="center"/>
                </w:tcPr>
                <w:p w14:paraId="385A8C3B">
                  <w:pPr>
                    <w:pStyle w:val="49"/>
                    <w:keepNext w:val="0"/>
                    <w:keepLines w:val="0"/>
                    <w:pageBreakBefore w:val="0"/>
                    <w:widowControl w:val="0"/>
                    <w:kinsoku/>
                    <w:wordWrap/>
                    <w:overflowPunct/>
                    <w:topLinePunct w:val="0"/>
                    <w:autoSpaceDE/>
                    <w:autoSpaceDN/>
                    <w:bidi w:val="0"/>
                    <w:adjustRightInd/>
                    <w:snapToGrid w:val="0"/>
                    <w:textAlignment w:val="auto"/>
                    <w:rPr>
                      <w:rFonts w:hint="default" w:ascii="宋体" w:hAnsi="宋体" w:eastAsia="宋体" w:cs="宋体"/>
                      <w:color w:val="000000"/>
                      <w:sz w:val="21"/>
                      <w:szCs w:val="21"/>
                      <w:lang w:val="en-US" w:eastAsia="zh-CN"/>
                    </w:rPr>
                  </w:pPr>
                  <w:r>
                    <w:rPr>
                      <w:rFonts w:hint="eastAsia"/>
                      <w:color w:val="000000"/>
                      <w:sz w:val="21"/>
                      <w:szCs w:val="21"/>
                      <w:lang w:val="en-US" w:eastAsia="zh-CN"/>
                    </w:rPr>
                    <w:t>25.0</w:t>
                  </w:r>
                </w:p>
              </w:tc>
              <w:tc>
                <w:tcPr>
                  <w:tcW w:w="428" w:type="pct"/>
                  <w:vAlign w:val="center"/>
                </w:tcPr>
                <w:p w14:paraId="2291D51F">
                  <w:pPr>
                    <w:pStyle w:val="49"/>
                    <w:keepNext w:val="0"/>
                    <w:keepLines w:val="0"/>
                    <w:pageBreakBefore w:val="0"/>
                    <w:widowControl w:val="0"/>
                    <w:kinsoku/>
                    <w:wordWrap/>
                    <w:overflowPunct/>
                    <w:topLinePunct w:val="0"/>
                    <w:autoSpaceDE/>
                    <w:autoSpaceDN/>
                    <w:bidi w:val="0"/>
                    <w:adjustRightInd/>
                    <w:snapToGrid w:val="0"/>
                    <w:textAlignment w:val="auto"/>
                  </w:pPr>
                  <w:r>
                    <w:t>达标</w:t>
                  </w:r>
                </w:p>
              </w:tc>
            </w:tr>
            <w:tr w14:paraId="3DD6A35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476" w:type="pct"/>
                  <w:vAlign w:val="center"/>
                </w:tcPr>
                <w:p w14:paraId="456AE0D2">
                  <w:pPr>
                    <w:pStyle w:val="49"/>
                    <w:keepNext w:val="0"/>
                    <w:keepLines w:val="0"/>
                    <w:pageBreakBefore w:val="0"/>
                    <w:widowControl w:val="0"/>
                    <w:kinsoku/>
                    <w:wordWrap/>
                    <w:overflowPunct/>
                    <w:topLinePunct w:val="0"/>
                    <w:autoSpaceDE/>
                    <w:autoSpaceDN/>
                    <w:bidi w:val="0"/>
                    <w:adjustRightInd/>
                    <w:snapToGrid w:val="0"/>
                    <w:textAlignment w:val="auto"/>
                  </w:pPr>
                  <w:r>
                    <w:t>O</w:t>
                  </w:r>
                  <w:r>
                    <w:rPr>
                      <w:vertAlign w:val="subscript"/>
                    </w:rPr>
                    <w:t>3</w:t>
                  </w:r>
                </w:p>
              </w:tc>
              <w:tc>
                <w:tcPr>
                  <w:tcW w:w="1791" w:type="pct"/>
                  <w:vAlign w:val="center"/>
                </w:tcPr>
                <w:p w14:paraId="32E7EBE3">
                  <w:pPr>
                    <w:pStyle w:val="49"/>
                    <w:keepNext w:val="0"/>
                    <w:keepLines w:val="0"/>
                    <w:pageBreakBefore w:val="0"/>
                    <w:widowControl w:val="0"/>
                    <w:kinsoku/>
                    <w:wordWrap/>
                    <w:overflowPunct/>
                    <w:topLinePunct w:val="0"/>
                    <w:autoSpaceDE/>
                    <w:autoSpaceDN/>
                    <w:bidi w:val="0"/>
                    <w:adjustRightInd/>
                    <w:snapToGrid w:val="0"/>
                    <w:textAlignment w:val="auto"/>
                  </w:pPr>
                  <w:r>
                    <w:t>日最大8小时值90%位数质量浓度</w:t>
                  </w:r>
                </w:p>
              </w:tc>
              <w:tc>
                <w:tcPr>
                  <w:tcW w:w="767" w:type="pct"/>
                  <w:vAlign w:val="center"/>
                </w:tcPr>
                <w:p w14:paraId="185BA94F">
                  <w:pPr>
                    <w:pStyle w:val="49"/>
                    <w:keepNext w:val="0"/>
                    <w:keepLines w:val="0"/>
                    <w:pageBreakBefore w:val="0"/>
                    <w:widowControl w:val="0"/>
                    <w:kinsoku/>
                    <w:wordWrap/>
                    <w:overflowPunct/>
                    <w:topLinePunct w:val="0"/>
                    <w:autoSpaceDE/>
                    <w:autoSpaceDN/>
                    <w:bidi w:val="0"/>
                    <w:adjustRightInd/>
                    <w:snapToGrid w:val="0"/>
                    <w:textAlignment w:val="auto"/>
                    <w:rPr>
                      <w:rFonts w:hint="default" w:eastAsia="宋体"/>
                      <w:lang w:val="en-US" w:eastAsia="zh-CN"/>
                    </w:rPr>
                  </w:pPr>
                  <w:r>
                    <w:rPr>
                      <w:rFonts w:hint="eastAsia"/>
                    </w:rPr>
                    <w:t>1</w:t>
                  </w:r>
                  <w:r>
                    <w:rPr>
                      <w:rFonts w:hint="eastAsia"/>
                      <w:lang w:val="en-US" w:eastAsia="zh-CN"/>
                    </w:rPr>
                    <w:t>42</w:t>
                  </w:r>
                </w:p>
              </w:tc>
              <w:tc>
                <w:tcPr>
                  <w:tcW w:w="767" w:type="pct"/>
                  <w:vAlign w:val="center"/>
                </w:tcPr>
                <w:p w14:paraId="386CCB02">
                  <w:pPr>
                    <w:pStyle w:val="49"/>
                    <w:keepNext w:val="0"/>
                    <w:keepLines w:val="0"/>
                    <w:pageBreakBefore w:val="0"/>
                    <w:widowControl w:val="0"/>
                    <w:kinsoku/>
                    <w:wordWrap/>
                    <w:overflowPunct/>
                    <w:topLinePunct w:val="0"/>
                    <w:autoSpaceDE/>
                    <w:autoSpaceDN/>
                    <w:bidi w:val="0"/>
                    <w:adjustRightInd/>
                    <w:snapToGrid w:val="0"/>
                    <w:textAlignment w:val="auto"/>
                  </w:pPr>
                  <w:r>
                    <w:rPr>
                      <w:rFonts w:cs="Courier New"/>
                    </w:rPr>
                    <w:t>16</w:t>
                  </w:r>
                  <w:r>
                    <w:rPr>
                      <w:rFonts w:hint="eastAsia" w:cs="Courier New"/>
                    </w:rPr>
                    <w:t>0</w:t>
                  </w:r>
                </w:p>
              </w:tc>
              <w:tc>
                <w:tcPr>
                  <w:tcW w:w="768" w:type="pct"/>
                  <w:vAlign w:val="center"/>
                </w:tcPr>
                <w:p w14:paraId="2C2601A9">
                  <w:pPr>
                    <w:pStyle w:val="49"/>
                    <w:keepNext w:val="0"/>
                    <w:keepLines w:val="0"/>
                    <w:pageBreakBefore w:val="0"/>
                    <w:widowControl w:val="0"/>
                    <w:kinsoku/>
                    <w:wordWrap/>
                    <w:overflowPunct/>
                    <w:topLinePunct w:val="0"/>
                    <w:autoSpaceDE/>
                    <w:autoSpaceDN/>
                    <w:bidi w:val="0"/>
                    <w:adjustRightInd/>
                    <w:snapToGrid w:val="0"/>
                    <w:textAlignment w:val="auto"/>
                    <w:rPr>
                      <w:rFonts w:hint="default" w:ascii="宋体" w:hAnsi="宋体" w:eastAsia="宋体" w:cs="宋体"/>
                      <w:color w:val="000000"/>
                      <w:sz w:val="21"/>
                      <w:szCs w:val="21"/>
                      <w:lang w:val="en-US" w:eastAsia="zh-CN"/>
                    </w:rPr>
                  </w:pPr>
                  <w:r>
                    <w:rPr>
                      <w:rFonts w:hint="eastAsia"/>
                      <w:color w:val="000000"/>
                      <w:sz w:val="21"/>
                      <w:szCs w:val="21"/>
                      <w:lang w:val="en-US" w:eastAsia="zh-CN"/>
                    </w:rPr>
                    <w:t>88.8</w:t>
                  </w:r>
                </w:p>
              </w:tc>
              <w:tc>
                <w:tcPr>
                  <w:tcW w:w="428" w:type="pct"/>
                  <w:vAlign w:val="center"/>
                </w:tcPr>
                <w:p w14:paraId="05DB7858">
                  <w:pPr>
                    <w:pStyle w:val="49"/>
                    <w:keepNext w:val="0"/>
                    <w:keepLines w:val="0"/>
                    <w:pageBreakBefore w:val="0"/>
                    <w:widowControl w:val="0"/>
                    <w:kinsoku/>
                    <w:wordWrap/>
                    <w:overflowPunct/>
                    <w:topLinePunct w:val="0"/>
                    <w:autoSpaceDE/>
                    <w:autoSpaceDN/>
                    <w:bidi w:val="0"/>
                    <w:adjustRightInd/>
                    <w:snapToGrid w:val="0"/>
                    <w:textAlignment w:val="auto"/>
                  </w:pPr>
                  <w:r>
                    <w:t>达标</w:t>
                  </w:r>
                </w:p>
              </w:tc>
            </w:tr>
          </w:tbl>
          <w:p w14:paraId="573E6C00">
            <w:pPr>
              <w:pStyle w:val="69"/>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cs="Times New Roman"/>
                <w:kern w:val="0"/>
              </w:rPr>
            </w:pPr>
            <w:r>
              <w:rPr>
                <w:sz w:val="24"/>
              </w:rPr>
              <w:t>由表3-1可知，202</w:t>
            </w:r>
            <w:r>
              <w:rPr>
                <w:rFonts w:hint="eastAsia"/>
                <w:sz w:val="24"/>
                <w:lang w:val="en-US" w:eastAsia="zh-CN"/>
              </w:rPr>
              <w:t>4</w:t>
            </w:r>
            <w:r>
              <w:rPr>
                <w:sz w:val="24"/>
              </w:rPr>
              <w:t>年</w:t>
            </w:r>
            <w:r>
              <w:rPr>
                <w:rFonts w:hint="eastAsia"/>
                <w:sz w:val="24"/>
                <w:lang w:val="en-US" w:eastAsia="zh-CN"/>
              </w:rPr>
              <w:t>柴桑区</w:t>
            </w:r>
            <w:r>
              <w:rPr>
                <w:sz w:val="24"/>
              </w:rPr>
              <w:t>常规污染物均满足《环境空气质量标准》（GB3095-2012）及其修改单中二级标准要求，</w:t>
            </w:r>
            <w:r>
              <w:rPr>
                <w:rFonts w:hint="eastAsia"/>
                <w:sz w:val="24"/>
                <w:lang w:eastAsia="zh-CN"/>
              </w:rPr>
              <w:t>项目</w:t>
            </w:r>
            <w:r>
              <w:rPr>
                <w:sz w:val="24"/>
              </w:rPr>
              <w:t>所在区域为达标区。</w:t>
            </w:r>
          </w:p>
          <w:p w14:paraId="0CE36AAB">
            <w:pPr>
              <w:pStyle w:val="49"/>
              <w:keepNext w:val="0"/>
              <w:keepLines w:val="0"/>
              <w:pageBreakBefore w:val="0"/>
              <w:widowControl w:val="0"/>
              <w:kinsoku/>
              <w:wordWrap/>
              <w:overflowPunct/>
              <w:topLinePunct w:val="0"/>
              <w:autoSpaceDE/>
              <w:autoSpaceDN/>
              <w:bidi w:val="0"/>
              <w:adjustRightInd/>
              <w:snapToGrid w:val="0"/>
              <w:textAlignment w:val="auto"/>
              <w:rPr>
                <w:kern w:val="0"/>
              </w:rPr>
            </w:pPr>
            <w:r>
              <w:drawing>
                <wp:inline distT="0" distB="0" distL="114300" distR="114300">
                  <wp:extent cx="5899150" cy="3155315"/>
                  <wp:effectExtent l="0" t="0" r="6350" b="6985"/>
                  <wp:docPr id="3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pic:cNvPicPr>
                            <a:picLocks noChangeAspect="1"/>
                          </pic:cNvPicPr>
                        </pic:nvPicPr>
                        <pic:blipFill>
                          <a:blip r:embed="rId32"/>
                          <a:stretch>
                            <a:fillRect/>
                          </a:stretch>
                        </pic:blipFill>
                        <pic:spPr>
                          <a:xfrm>
                            <a:off x="0" y="0"/>
                            <a:ext cx="5899150" cy="3155315"/>
                          </a:xfrm>
                          <a:prstGeom prst="rect">
                            <a:avLst/>
                          </a:prstGeom>
                          <a:noFill/>
                          <a:ln>
                            <a:noFill/>
                          </a:ln>
                        </pic:spPr>
                      </pic:pic>
                    </a:graphicData>
                  </a:graphic>
                </wp:inline>
              </w:drawing>
            </w:r>
          </w:p>
          <w:p w14:paraId="0183BF5C">
            <w:pPr>
              <w:pStyle w:val="49"/>
              <w:keepNext w:val="0"/>
              <w:keepLines w:val="0"/>
              <w:pageBreakBefore w:val="0"/>
              <w:widowControl w:val="0"/>
              <w:kinsoku/>
              <w:wordWrap/>
              <w:overflowPunct/>
              <w:topLinePunct w:val="0"/>
              <w:autoSpaceDE/>
              <w:autoSpaceDN/>
              <w:bidi w:val="0"/>
              <w:adjustRightInd/>
              <w:snapToGrid/>
              <w:textAlignment w:val="auto"/>
              <w:rPr>
                <w:b/>
              </w:rPr>
            </w:pPr>
            <w:r>
              <w:rPr>
                <w:rFonts w:hint="eastAsia"/>
                <w:b/>
              </w:rPr>
              <w:t>图3-1</w:t>
            </w:r>
            <w:r>
              <w:rPr>
                <w:rFonts w:hint="eastAsia"/>
                <w:b/>
                <w:lang w:val="en-US" w:eastAsia="zh-CN"/>
              </w:rPr>
              <w:t xml:space="preserve">  </w:t>
            </w:r>
            <w:r>
              <w:rPr>
                <w:rFonts w:hint="eastAsia"/>
                <w:b/>
              </w:rPr>
              <w:t xml:space="preserve"> 202</w:t>
            </w:r>
            <w:r>
              <w:rPr>
                <w:rFonts w:hint="eastAsia"/>
                <w:b/>
                <w:lang w:val="en-US" w:eastAsia="zh-CN"/>
              </w:rPr>
              <w:t>4</w:t>
            </w:r>
            <w:r>
              <w:rPr>
                <w:rFonts w:hint="eastAsia"/>
                <w:b/>
              </w:rPr>
              <w:t>年</w:t>
            </w:r>
            <w:r>
              <w:rPr>
                <w:rFonts w:hint="eastAsia"/>
                <w:b/>
                <w:lang w:val="en-US" w:eastAsia="zh-CN"/>
              </w:rPr>
              <w:t>柴桑区</w:t>
            </w:r>
            <w:r>
              <w:rPr>
                <w:rFonts w:hint="eastAsia"/>
                <w:b/>
              </w:rPr>
              <w:t>空气质量监测结果截图</w:t>
            </w:r>
          </w:p>
          <w:p w14:paraId="686A1AA2">
            <w:pPr>
              <w:pStyle w:val="54"/>
              <w:keepNext w:val="0"/>
              <w:keepLines w:val="0"/>
              <w:pageBreakBefore w:val="0"/>
              <w:widowControl w:val="0"/>
              <w:numPr>
                <w:ilvl w:val="0"/>
                <w:numId w:val="0"/>
              </w:numPr>
              <w:kinsoku/>
              <w:wordWrap/>
              <w:overflowPunct/>
              <w:topLinePunct w:val="0"/>
              <w:autoSpaceDE/>
              <w:autoSpaceDN/>
              <w:bidi w:val="0"/>
              <w:adjustRightInd/>
              <w:snapToGrid/>
              <w:ind w:left="0" w:leftChars="0" w:firstLine="482" w:firstLineChars="200"/>
              <w:textAlignment w:val="auto"/>
              <w:rPr>
                <w:b/>
              </w:rPr>
            </w:pPr>
            <w:bookmarkStart w:id="6" w:name="_Toc123850979"/>
            <w:r>
              <w:rPr>
                <w:rFonts w:hint="eastAsia"/>
                <w:b/>
                <w:lang w:val="en-US" w:eastAsia="zh-CN"/>
              </w:rPr>
              <w:t>2、</w:t>
            </w:r>
            <w:r>
              <w:rPr>
                <w:b/>
              </w:rPr>
              <w:t>地表水环境质量</w:t>
            </w:r>
            <w:bookmarkEnd w:id="6"/>
          </w:p>
          <w:p w14:paraId="62A1275C">
            <w:pPr>
              <w:keepNext w:val="0"/>
              <w:keepLines w:val="0"/>
              <w:pageBreakBefore w:val="0"/>
              <w:widowControl w:val="0"/>
              <w:kinsoku/>
              <w:wordWrap w:val="0"/>
              <w:overflowPunct/>
              <w:topLinePunct w:val="0"/>
              <w:autoSpaceDE/>
              <w:autoSpaceDN/>
              <w:bidi w:val="0"/>
              <w:adjustRightInd/>
              <w:snapToGrid/>
              <w:ind w:firstLine="480"/>
              <w:textAlignment w:val="auto"/>
              <w:rPr>
                <w:rFonts w:eastAsia="宋体"/>
                <w:lang w:val="en-GB"/>
              </w:rPr>
            </w:pPr>
            <w:r>
              <w:rPr>
                <w:rFonts w:hint="default" w:ascii="Times New Roman" w:hAnsi="Times New Roman" w:eastAsia="宋体" w:cs="Times New Roman"/>
                <w:color w:val="auto"/>
                <w:lang w:val="en-GB"/>
              </w:rPr>
              <w:t>本项目</w:t>
            </w:r>
            <w:r>
              <w:rPr>
                <w:rFonts w:hint="eastAsia" w:cs="Times New Roman"/>
                <w:color w:val="auto"/>
                <w:lang w:val="en-US" w:eastAsia="zh-CN"/>
              </w:rPr>
              <w:t>附近</w:t>
            </w:r>
            <w:r>
              <w:rPr>
                <w:rFonts w:hint="default" w:ascii="Times New Roman" w:hAnsi="Times New Roman" w:eastAsia="宋体" w:cs="Times New Roman"/>
                <w:color w:val="auto"/>
                <w:lang w:val="en-GB"/>
              </w:rPr>
              <w:t>水体</w:t>
            </w:r>
            <w:r>
              <w:rPr>
                <w:rFonts w:hint="eastAsia" w:cs="Times New Roman"/>
                <w:color w:val="auto"/>
                <w:lang w:val="en-US" w:eastAsia="zh-CN"/>
              </w:rPr>
              <w:t>为赛城湖，</w:t>
            </w:r>
            <w:r>
              <w:rPr>
                <w:rFonts w:hint="default" w:ascii="Times New Roman" w:hAnsi="Times New Roman" w:eastAsia="宋体" w:cs="Times New Roman"/>
                <w:color w:val="auto"/>
                <w:lang w:val="en-GB"/>
              </w:rPr>
              <w:t>水域</w:t>
            </w:r>
            <w:r>
              <w:rPr>
                <w:rFonts w:hint="default" w:ascii="Times New Roman" w:hAnsi="Times New Roman" w:eastAsia="宋体" w:cs="Times New Roman"/>
                <w:color w:val="auto"/>
              </w:rPr>
              <w:t>环境功能区划为Ⅲ类区域</w:t>
            </w:r>
            <w:r>
              <w:rPr>
                <w:rFonts w:hint="default" w:ascii="Times New Roman" w:hAnsi="Times New Roman" w:eastAsia="宋体" w:cs="Times New Roman"/>
                <w:color w:val="auto"/>
                <w:lang w:val="en-GB"/>
              </w:rPr>
              <w:t>。据《环境影响评级技术导则 地表水环境》（HJ2.3-2018）6.6.3.2</w:t>
            </w:r>
            <w:r>
              <w:rPr>
                <w:rFonts w:hint="eastAsia" w:ascii="宋体" w:hAnsi="宋体" w:eastAsia="宋体" w:cs="宋体"/>
                <w:color w:val="auto"/>
                <w:lang w:val="en-GB"/>
              </w:rPr>
              <w:t>“</w:t>
            </w:r>
            <w:r>
              <w:rPr>
                <w:rFonts w:hint="default" w:ascii="Times New Roman" w:hAnsi="Times New Roman" w:eastAsia="宋体" w:cs="Times New Roman"/>
                <w:color w:val="auto"/>
                <w:lang w:val="en-GB"/>
              </w:rPr>
              <w:t>应优先采用国务院生态环境保护主管部门统一发布的水环境状况信息</w:t>
            </w:r>
            <w:r>
              <w:rPr>
                <w:rFonts w:hint="eastAsia" w:ascii="宋体" w:hAnsi="宋体" w:eastAsia="宋体" w:cs="宋体"/>
                <w:color w:val="auto"/>
                <w:lang w:val="en-GB"/>
              </w:rPr>
              <w:t>”</w:t>
            </w:r>
            <w:r>
              <w:rPr>
                <w:rFonts w:hint="default" w:ascii="Times New Roman" w:hAnsi="Times New Roman" w:eastAsia="宋体" w:cs="Times New Roman"/>
                <w:color w:val="auto"/>
                <w:lang w:val="en-GB"/>
              </w:rPr>
              <w:t>，因此本</w:t>
            </w:r>
            <w:r>
              <w:rPr>
                <w:rFonts w:hint="default" w:ascii="Times New Roman" w:hAnsi="Times New Roman" w:eastAsia="宋体" w:cs="Times New Roman"/>
                <w:color w:val="auto"/>
                <w:lang w:val="en-GB" w:eastAsia="zh-CN"/>
              </w:rPr>
              <w:t>次</w:t>
            </w:r>
            <w:r>
              <w:rPr>
                <w:rFonts w:hint="default" w:ascii="Times New Roman" w:hAnsi="Times New Roman" w:eastAsia="宋体" w:cs="Times New Roman"/>
                <w:color w:val="auto"/>
                <w:lang w:val="en-GB"/>
              </w:rPr>
              <w:t>评价</w:t>
            </w:r>
            <w:r>
              <w:rPr>
                <w:rFonts w:hint="default" w:ascii="Times New Roman" w:hAnsi="Times New Roman" w:eastAsia="宋体" w:cs="Times New Roman"/>
                <w:color w:val="auto"/>
                <w:lang w:val="en-GB" w:eastAsia="zh-CN"/>
              </w:rPr>
              <w:t>查阅</w:t>
            </w:r>
            <w:r>
              <w:rPr>
                <w:rFonts w:hint="eastAsia" w:ascii="宋体" w:hAnsi="宋体" w:eastAsia="宋体" w:cs="宋体"/>
                <w:color w:val="auto"/>
                <w:lang w:val="en-GB"/>
              </w:rPr>
              <w:t>“</w:t>
            </w:r>
            <w:r>
              <w:rPr>
                <w:rFonts w:hint="default" w:ascii="Times New Roman" w:hAnsi="Times New Roman" w:eastAsia="宋体" w:cs="Times New Roman"/>
                <w:color w:val="auto"/>
                <w:lang w:val="en-GB"/>
              </w:rPr>
              <w:t>九江生态环境局发布的《九江市水生态环境质量月报（202</w:t>
            </w:r>
            <w:r>
              <w:rPr>
                <w:rFonts w:hint="default" w:ascii="Times New Roman" w:hAnsi="Times New Roman" w:eastAsia="宋体" w:cs="Times New Roman"/>
                <w:color w:val="auto"/>
                <w:lang w:val="en-GB" w:eastAsia="zh-CN"/>
              </w:rPr>
              <w:t>4</w:t>
            </w:r>
            <w:r>
              <w:rPr>
                <w:rFonts w:hint="default" w:ascii="Times New Roman" w:hAnsi="Times New Roman" w:eastAsia="宋体" w:cs="Times New Roman"/>
                <w:color w:val="auto"/>
                <w:lang w:val="en-GB"/>
              </w:rPr>
              <w:t>年</w:t>
            </w:r>
            <w:r>
              <w:rPr>
                <w:rFonts w:hint="default" w:ascii="Times New Roman" w:hAnsi="Times New Roman" w:eastAsia="宋体" w:cs="Times New Roman"/>
                <w:color w:val="auto"/>
                <w:lang w:val="en-GB" w:eastAsia="zh-CN"/>
              </w:rPr>
              <w:t>12</w:t>
            </w:r>
            <w:r>
              <w:rPr>
                <w:rFonts w:hint="default" w:ascii="Times New Roman" w:hAnsi="Times New Roman" w:eastAsia="宋体" w:cs="Times New Roman"/>
                <w:color w:val="auto"/>
                <w:lang w:val="en-GB"/>
              </w:rPr>
              <w:t>月</w:t>
            </w:r>
            <w:r>
              <w:rPr>
                <w:rFonts w:hint="default" w:ascii="Times New Roman" w:hAnsi="Times New Roman" w:eastAsia="宋体" w:cs="Times New Roman"/>
                <w:color w:val="auto"/>
                <w:lang w:val="en-GB" w:eastAsia="zh-CN"/>
              </w:rPr>
              <w:t>第12期</w:t>
            </w:r>
            <w:r>
              <w:rPr>
                <w:rFonts w:hint="default" w:ascii="Times New Roman" w:hAnsi="Times New Roman" w:eastAsia="宋体" w:cs="Times New Roman"/>
                <w:color w:val="auto"/>
                <w:lang w:val="en-GB"/>
              </w:rPr>
              <w:t>）》（https://sthjj.jiujiang.gov.cn/zwgk_215/zdly/hjzljc/hjzkgb/202501/t20250110_6826969.html）</w:t>
            </w:r>
            <w:r>
              <w:rPr>
                <w:rFonts w:hint="eastAsia" w:ascii="宋体" w:hAnsi="宋体" w:eastAsia="宋体" w:cs="宋体"/>
                <w:color w:val="auto"/>
                <w:lang w:val="en-GB"/>
              </w:rPr>
              <w:t>”</w:t>
            </w:r>
            <w:r>
              <w:rPr>
                <w:rFonts w:hint="default" w:ascii="Times New Roman" w:hAnsi="Times New Roman" w:eastAsia="宋体" w:cs="Times New Roman"/>
                <w:color w:val="auto"/>
                <w:lang w:val="en-GB"/>
              </w:rPr>
              <w:t>中相关断面水质监测结果，其中长河省控断面赛城湖口为Ⅰ类水质</w:t>
            </w:r>
            <w:r>
              <w:rPr>
                <w:rFonts w:hint="default" w:ascii="Times New Roman" w:hAnsi="Times New Roman" w:eastAsia="宋体" w:cs="Times New Roman"/>
                <w:color w:val="auto"/>
                <w:lang w:val="en-GB" w:eastAsia="zh-CN"/>
              </w:rPr>
              <w:t>、</w:t>
            </w:r>
            <w:r>
              <w:rPr>
                <w:rFonts w:hint="default" w:ascii="Times New Roman" w:hAnsi="Times New Roman" w:eastAsia="宋体" w:cs="Times New Roman"/>
                <w:color w:val="auto"/>
                <w:lang w:val="en-GB"/>
              </w:rPr>
              <w:t>九江县麦沟为Ⅱ类水质</w:t>
            </w:r>
            <w:r>
              <w:rPr>
                <w:rFonts w:hint="default" w:ascii="Times New Roman" w:hAnsi="Times New Roman" w:eastAsia="宋体" w:cs="Times New Roman"/>
                <w:color w:val="auto"/>
                <w:lang w:val="en-GB" w:eastAsia="zh-CN"/>
              </w:rPr>
              <w:t>。</w:t>
            </w:r>
          </w:p>
          <w:p w14:paraId="325156CF">
            <w:pPr>
              <w:keepNext w:val="0"/>
              <w:keepLines w:val="0"/>
              <w:pageBreakBefore w:val="0"/>
              <w:widowControl w:val="0"/>
              <w:kinsoku/>
              <w:wordWrap w:val="0"/>
              <w:overflowPunct/>
              <w:topLinePunct w:val="0"/>
              <w:autoSpaceDE/>
              <w:autoSpaceDN/>
              <w:bidi w:val="0"/>
              <w:adjustRightInd/>
              <w:snapToGrid/>
              <w:ind w:firstLine="480"/>
              <w:textAlignment w:val="auto"/>
              <w:rPr>
                <w:rFonts w:hint="default" w:ascii="Times New Roman" w:hAnsi="Times New Roman" w:eastAsia="宋体" w:cs="Times New Roman"/>
                <w:color w:val="auto"/>
                <w:lang w:val="en-GB"/>
              </w:rPr>
            </w:pPr>
            <w:r>
              <w:rPr>
                <w:rFonts w:hint="default" w:ascii="Times New Roman" w:hAnsi="Times New Roman" w:eastAsia="宋体" w:cs="Times New Roman"/>
                <w:color w:val="auto"/>
                <w:lang w:val="en-GB" w:eastAsia="zh-CN"/>
              </w:rPr>
              <w:t>综上所述，本项目</w:t>
            </w:r>
            <w:r>
              <w:rPr>
                <w:rFonts w:hint="eastAsia" w:cs="Times New Roman"/>
                <w:color w:val="auto"/>
                <w:lang w:val="en-US" w:eastAsia="zh-CN"/>
              </w:rPr>
              <w:t>附近</w:t>
            </w:r>
            <w:r>
              <w:rPr>
                <w:rFonts w:hint="default" w:ascii="Times New Roman" w:hAnsi="Times New Roman" w:eastAsia="宋体" w:cs="Times New Roman"/>
                <w:color w:val="auto"/>
                <w:lang w:val="en-GB"/>
              </w:rPr>
              <w:t>水体</w:t>
            </w:r>
            <w:r>
              <w:rPr>
                <w:rFonts w:hint="eastAsia" w:cs="Times New Roman"/>
                <w:color w:val="auto"/>
                <w:lang w:val="en-US" w:eastAsia="zh-CN"/>
              </w:rPr>
              <w:t>赛城湖</w:t>
            </w:r>
            <w:r>
              <w:rPr>
                <w:rFonts w:hint="default" w:ascii="Times New Roman" w:hAnsi="Times New Roman" w:eastAsia="宋体" w:cs="Times New Roman"/>
                <w:color w:val="auto"/>
                <w:lang w:val="en-GB" w:eastAsia="zh-CN"/>
              </w:rPr>
              <w:t>的地表水水质指标满足《地表水环境质量标准》（GB3838-2002）中Ⅲ类或以上标准，项目所在</w:t>
            </w:r>
            <w:r>
              <w:rPr>
                <w:rFonts w:hint="eastAsia" w:ascii="Times New Roman" w:hAnsi="Times New Roman" w:eastAsia="宋体" w:cs="Times New Roman"/>
                <w:color w:val="auto"/>
                <w:lang w:val="en-GB" w:eastAsia="zh-CN"/>
              </w:rPr>
              <w:t>区域</w:t>
            </w:r>
            <w:r>
              <w:rPr>
                <w:rFonts w:hint="default" w:ascii="Times New Roman" w:hAnsi="Times New Roman" w:eastAsia="宋体" w:cs="Times New Roman"/>
                <w:color w:val="auto"/>
                <w:lang w:val="en-GB" w:eastAsia="zh-CN"/>
              </w:rPr>
              <w:t>地表水环境质量状况良好。</w:t>
            </w:r>
          </w:p>
          <w:p w14:paraId="76656FED">
            <w:pPr>
              <w:pStyle w:val="54"/>
              <w:keepNext w:val="0"/>
              <w:keepLines w:val="0"/>
              <w:pageBreakBefore w:val="0"/>
              <w:widowControl w:val="0"/>
              <w:numPr>
                <w:ilvl w:val="0"/>
                <w:numId w:val="0"/>
              </w:numPr>
              <w:kinsoku/>
              <w:wordWrap/>
              <w:overflowPunct/>
              <w:topLinePunct w:val="0"/>
              <w:autoSpaceDE/>
              <w:autoSpaceDN/>
              <w:bidi w:val="0"/>
              <w:adjustRightInd/>
              <w:snapToGrid/>
              <w:ind w:left="0" w:leftChars="0" w:firstLine="482" w:firstLineChars="200"/>
              <w:textAlignment w:val="auto"/>
              <w:rPr>
                <w:rFonts w:hint="eastAsia" w:eastAsia="宋体"/>
                <w:b/>
                <w:lang w:val="en-US" w:eastAsia="zh-CN"/>
              </w:rPr>
            </w:pPr>
            <w:r>
              <w:rPr>
                <w:rFonts w:hint="eastAsia"/>
                <w:b/>
                <w:lang w:val="en-US" w:eastAsia="zh-CN"/>
              </w:rPr>
              <w:t>3、</w:t>
            </w:r>
            <w:r>
              <w:rPr>
                <w:rFonts w:hint="eastAsia"/>
                <w:b/>
              </w:rPr>
              <w:t>声环境</w:t>
            </w:r>
            <w:r>
              <w:rPr>
                <w:rFonts w:hint="eastAsia"/>
                <w:b/>
                <w:lang w:val="en-US" w:eastAsia="zh-CN"/>
              </w:rPr>
              <w:t>质量</w:t>
            </w:r>
          </w:p>
          <w:p w14:paraId="764C7DBC">
            <w:pPr>
              <w:pStyle w:val="69"/>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sz w:val="24"/>
              </w:rPr>
            </w:pPr>
            <w:r>
              <w:rPr>
                <w:rFonts w:hint="eastAsia"/>
                <w:sz w:val="24"/>
                <w:lang w:eastAsia="zh-CN"/>
              </w:rPr>
              <w:t>根据《建设项目环境影响报告表编制技术指南》（污染影响类）（试行），</w:t>
            </w:r>
            <w:r>
              <w:rPr>
                <w:rFonts w:hint="eastAsia"/>
                <w:sz w:val="24"/>
                <w:lang w:val="en-US" w:eastAsia="zh-CN"/>
              </w:rPr>
              <w:t>本</w:t>
            </w:r>
            <w:r>
              <w:rPr>
                <w:rFonts w:hint="eastAsia"/>
                <w:sz w:val="24"/>
                <w:lang w:eastAsia="zh-CN"/>
              </w:rPr>
              <w:t>项目</w:t>
            </w:r>
            <w:r>
              <w:rPr>
                <w:rFonts w:hint="eastAsia"/>
                <w:sz w:val="24"/>
                <w:lang w:val="en-US" w:eastAsia="zh-CN"/>
              </w:rPr>
              <w:t>厂界外50米范围内存在声环境保护目标（红心村）。</w:t>
            </w:r>
            <w:r>
              <w:rPr>
                <w:rFonts w:hint="eastAsia"/>
                <w:sz w:val="24"/>
              </w:rPr>
              <w:t>为了解项目</w:t>
            </w:r>
            <w:r>
              <w:rPr>
                <w:rFonts w:hint="eastAsia"/>
                <w:sz w:val="24"/>
                <w:lang w:val="en-US" w:eastAsia="zh-CN"/>
              </w:rPr>
              <w:t>声环境保护目标的</w:t>
            </w:r>
            <w:r>
              <w:rPr>
                <w:rFonts w:hint="eastAsia"/>
                <w:sz w:val="24"/>
              </w:rPr>
              <w:t>声环境</w:t>
            </w:r>
            <w:r>
              <w:rPr>
                <w:rFonts w:hint="eastAsia"/>
                <w:sz w:val="24"/>
                <w:lang w:val="en-US" w:eastAsia="zh-CN"/>
              </w:rPr>
              <w:t>质量</w:t>
            </w:r>
            <w:r>
              <w:rPr>
                <w:rFonts w:hint="eastAsia"/>
                <w:sz w:val="24"/>
              </w:rPr>
              <w:t>现状，本</w:t>
            </w:r>
            <w:r>
              <w:rPr>
                <w:rFonts w:hint="eastAsia"/>
                <w:sz w:val="24"/>
                <w:lang w:val="en-US" w:eastAsia="zh-CN"/>
              </w:rPr>
              <w:t>次</w:t>
            </w:r>
            <w:r>
              <w:rPr>
                <w:rFonts w:hint="eastAsia"/>
                <w:sz w:val="24"/>
              </w:rPr>
              <w:t>评价委托九江市鑫洁生产环境科技有限公司于20</w:t>
            </w:r>
            <w:r>
              <w:rPr>
                <w:rFonts w:hint="eastAsia"/>
                <w:sz w:val="24"/>
                <w:lang w:val="en-US" w:eastAsia="zh-CN"/>
              </w:rPr>
              <w:t>25</w:t>
            </w:r>
            <w:r>
              <w:rPr>
                <w:rFonts w:hint="eastAsia"/>
                <w:sz w:val="24"/>
              </w:rPr>
              <w:t>年</w:t>
            </w:r>
            <w:r>
              <w:rPr>
                <w:rFonts w:hint="eastAsia"/>
                <w:sz w:val="24"/>
                <w:lang w:val="en-US" w:eastAsia="zh-CN"/>
              </w:rPr>
              <w:t>9</w:t>
            </w:r>
            <w:r>
              <w:rPr>
                <w:rFonts w:hint="eastAsia"/>
                <w:sz w:val="24"/>
              </w:rPr>
              <w:t>月</w:t>
            </w:r>
            <w:r>
              <w:rPr>
                <w:rFonts w:hint="eastAsia"/>
                <w:sz w:val="24"/>
                <w:lang w:val="en-US" w:eastAsia="zh-CN"/>
              </w:rPr>
              <w:t>28</w:t>
            </w:r>
            <w:r>
              <w:rPr>
                <w:rFonts w:hint="eastAsia"/>
                <w:sz w:val="24"/>
              </w:rPr>
              <w:t>日对</w:t>
            </w:r>
            <w:r>
              <w:rPr>
                <w:rFonts w:hint="eastAsia"/>
                <w:sz w:val="24"/>
                <w:lang w:val="en-US" w:eastAsia="zh-CN"/>
              </w:rPr>
              <w:t>声环境保护目标</w:t>
            </w:r>
            <w:r>
              <w:rPr>
                <w:rFonts w:hint="eastAsia"/>
                <w:sz w:val="24"/>
              </w:rPr>
              <w:t>进行监测，监测结果详见表</w:t>
            </w:r>
            <w:r>
              <w:rPr>
                <w:rFonts w:hint="eastAsia"/>
                <w:sz w:val="24"/>
                <w:lang w:val="en-US" w:eastAsia="zh-CN"/>
              </w:rPr>
              <w:t>3-2</w:t>
            </w:r>
            <w:r>
              <w:rPr>
                <w:rFonts w:hint="eastAsia"/>
                <w:sz w:val="24"/>
              </w:rPr>
              <w:t>。</w:t>
            </w:r>
          </w:p>
          <w:p w14:paraId="7DC4BC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b/>
                <w:color w:val="auto"/>
                <w:sz w:val="21"/>
                <w:szCs w:val="21"/>
              </w:rPr>
              <w:t>表</w:t>
            </w:r>
            <w:r>
              <w:rPr>
                <w:rFonts w:hint="eastAsia" w:ascii="Times New Roman" w:hAnsi="Times New Roman" w:cs="Times New Roman"/>
                <w:b/>
                <w:color w:val="auto"/>
                <w:sz w:val="21"/>
                <w:szCs w:val="21"/>
                <w:lang w:val="en-US" w:eastAsia="zh-CN"/>
              </w:rPr>
              <w:t>3-</w:t>
            </w:r>
            <w:r>
              <w:rPr>
                <w:rFonts w:hint="eastAsia" w:cs="Times New Roman"/>
                <w:b/>
                <w:color w:val="auto"/>
                <w:sz w:val="21"/>
                <w:szCs w:val="21"/>
                <w:lang w:val="en-US" w:eastAsia="zh-CN"/>
              </w:rPr>
              <w:t>2</w:t>
            </w:r>
            <w:r>
              <w:rPr>
                <w:rFonts w:hint="default" w:ascii="Times New Roman" w:hAnsi="Times New Roman" w:cs="Times New Roman"/>
                <w:b/>
                <w:color w:val="auto"/>
                <w:sz w:val="21"/>
                <w:szCs w:val="21"/>
              </w:rPr>
              <w:t xml:space="preserve">   项目</w:t>
            </w:r>
            <w:r>
              <w:rPr>
                <w:rFonts w:hint="eastAsia" w:ascii="Times New Roman" w:hAnsi="Times New Roman" w:cs="Times New Roman"/>
                <w:b/>
                <w:color w:val="auto"/>
                <w:sz w:val="21"/>
                <w:szCs w:val="21"/>
                <w:lang w:val="en-US" w:eastAsia="zh-CN"/>
              </w:rPr>
              <w:t>声环境保护目标</w:t>
            </w:r>
            <w:r>
              <w:rPr>
                <w:rFonts w:hint="default" w:ascii="Times New Roman" w:hAnsi="Times New Roman" w:cs="Times New Roman"/>
                <w:b/>
                <w:color w:val="auto"/>
                <w:sz w:val="21"/>
                <w:szCs w:val="21"/>
              </w:rPr>
              <w:t>声环境</w:t>
            </w:r>
            <w:r>
              <w:rPr>
                <w:rFonts w:hint="eastAsia" w:ascii="Times New Roman" w:hAnsi="Times New Roman" w:cs="Times New Roman"/>
                <w:b/>
                <w:color w:val="auto"/>
                <w:sz w:val="21"/>
                <w:szCs w:val="21"/>
                <w:lang w:val="en-US" w:eastAsia="zh-CN"/>
              </w:rPr>
              <w:t>质量</w:t>
            </w:r>
            <w:r>
              <w:rPr>
                <w:rFonts w:hint="default" w:ascii="Times New Roman" w:hAnsi="Times New Roman" w:cs="Times New Roman"/>
                <w:b/>
                <w:color w:val="auto"/>
                <w:sz w:val="21"/>
                <w:szCs w:val="21"/>
              </w:rPr>
              <w:t>现状监测结果表</w:t>
            </w:r>
          </w:p>
          <w:tbl>
            <w:tblPr>
              <w:tblStyle w:val="3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44"/>
              <w:gridCol w:w="1545"/>
              <w:gridCol w:w="1545"/>
              <w:gridCol w:w="1545"/>
              <w:gridCol w:w="1545"/>
              <w:gridCol w:w="1547"/>
            </w:tblGrid>
            <w:tr w14:paraId="33264F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96" w:type="dxa"/>
                  <w:gridSpan w:val="2"/>
                  <w:noWrap w:val="0"/>
                  <w:vAlign w:val="center"/>
                </w:tcPr>
                <w:p w14:paraId="2D148021">
                  <w:pPr>
                    <w:pStyle w:val="6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color w:val="auto"/>
                      <w:w w:val="100"/>
                      <w:kern w:val="18"/>
                      <w:sz w:val="21"/>
                      <w:szCs w:val="21"/>
                    </w:rPr>
                  </w:pPr>
                  <w:r>
                    <w:rPr>
                      <w:rFonts w:hint="default" w:ascii="Times New Roman" w:hAnsi="Times New Roman" w:cs="Times New Roman"/>
                      <w:b/>
                      <w:color w:val="auto"/>
                      <w:w w:val="100"/>
                      <w:kern w:val="18"/>
                      <w:sz w:val="21"/>
                      <w:szCs w:val="21"/>
                    </w:rPr>
                    <w:t>监测点</w:t>
                  </w:r>
                </w:p>
              </w:tc>
              <w:tc>
                <w:tcPr>
                  <w:tcW w:w="1548" w:type="dxa"/>
                  <w:noWrap w:val="0"/>
                  <w:vAlign w:val="center"/>
                </w:tcPr>
                <w:p w14:paraId="6FD2C1CB">
                  <w:pPr>
                    <w:pStyle w:val="6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color w:val="auto"/>
                      <w:w w:val="100"/>
                      <w:kern w:val="18"/>
                      <w:sz w:val="21"/>
                      <w:szCs w:val="21"/>
                    </w:rPr>
                  </w:pPr>
                  <w:r>
                    <w:rPr>
                      <w:rFonts w:hint="default" w:ascii="Times New Roman" w:hAnsi="Times New Roman" w:cs="Times New Roman"/>
                      <w:b/>
                      <w:color w:val="auto"/>
                      <w:w w:val="100"/>
                      <w:kern w:val="18"/>
                      <w:sz w:val="21"/>
                      <w:szCs w:val="21"/>
                    </w:rPr>
                    <w:t>昼间dB</w:t>
                  </w:r>
                  <w:r>
                    <w:rPr>
                      <w:rFonts w:hint="eastAsia" w:ascii="Times New Roman" w:hAnsi="Times New Roman" w:cs="Times New Roman"/>
                      <w:b/>
                      <w:color w:val="auto"/>
                      <w:w w:val="100"/>
                      <w:kern w:val="18"/>
                      <w:sz w:val="21"/>
                      <w:szCs w:val="21"/>
                      <w:lang w:eastAsia="zh-CN"/>
                    </w:rPr>
                    <w:t>（</w:t>
                  </w:r>
                  <w:r>
                    <w:rPr>
                      <w:rFonts w:hint="default" w:ascii="Times New Roman" w:hAnsi="Times New Roman" w:cs="Times New Roman"/>
                      <w:b/>
                      <w:color w:val="auto"/>
                      <w:w w:val="100"/>
                      <w:kern w:val="18"/>
                      <w:sz w:val="21"/>
                      <w:szCs w:val="21"/>
                    </w:rPr>
                    <w:t>A</w:t>
                  </w:r>
                  <w:r>
                    <w:rPr>
                      <w:rFonts w:hint="eastAsia" w:ascii="Times New Roman" w:hAnsi="Times New Roman" w:cs="Times New Roman"/>
                      <w:b/>
                      <w:color w:val="auto"/>
                      <w:w w:val="100"/>
                      <w:kern w:val="18"/>
                      <w:sz w:val="21"/>
                      <w:szCs w:val="21"/>
                      <w:lang w:eastAsia="zh-CN"/>
                    </w:rPr>
                    <w:t>）</w:t>
                  </w:r>
                </w:p>
              </w:tc>
              <w:tc>
                <w:tcPr>
                  <w:tcW w:w="1548" w:type="dxa"/>
                  <w:noWrap w:val="0"/>
                  <w:vAlign w:val="center"/>
                </w:tcPr>
                <w:p w14:paraId="6CB75F1E">
                  <w:pPr>
                    <w:pStyle w:val="6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color w:val="auto"/>
                      <w:w w:val="100"/>
                      <w:kern w:val="18"/>
                      <w:sz w:val="21"/>
                      <w:szCs w:val="21"/>
                    </w:rPr>
                  </w:pPr>
                  <w:r>
                    <w:rPr>
                      <w:rFonts w:hint="default" w:ascii="Times New Roman" w:hAnsi="Times New Roman" w:cs="Times New Roman"/>
                      <w:b/>
                      <w:color w:val="auto"/>
                      <w:w w:val="100"/>
                      <w:kern w:val="18"/>
                      <w:sz w:val="21"/>
                      <w:szCs w:val="21"/>
                    </w:rPr>
                    <w:t>标准dB</w:t>
                  </w:r>
                  <w:r>
                    <w:rPr>
                      <w:rFonts w:hint="eastAsia" w:ascii="Times New Roman" w:hAnsi="Times New Roman" w:cs="Times New Roman"/>
                      <w:b/>
                      <w:color w:val="auto"/>
                      <w:w w:val="100"/>
                      <w:kern w:val="18"/>
                      <w:sz w:val="21"/>
                      <w:szCs w:val="21"/>
                      <w:lang w:eastAsia="zh-CN"/>
                    </w:rPr>
                    <w:t>（</w:t>
                  </w:r>
                  <w:r>
                    <w:rPr>
                      <w:rFonts w:hint="default" w:ascii="Times New Roman" w:hAnsi="Times New Roman" w:cs="Times New Roman"/>
                      <w:b/>
                      <w:color w:val="auto"/>
                      <w:w w:val="100"/>
                      <w:kern w:val="18"/>
                      <w:sz w:val="21"/>
                      <w:szCs w:val="21"/>
                    </w:rPr>
                    <w:t>A</w:t>
                  </w:r>
                  <w:r>
                    <w:rPr>
                      <w:rFonts w:hint="eastAsia" w:ascii="Times New Roman" w:hAnsi="Times New Roman" w:cs="Times New Roman"/>
                      <w:b/>
                      <w:color w:val="auto"/>
                      <w:w w:val="100"/>
                      <w:kern w:val="18"/>
                      <w:sz w:val="21"/>
                      <w:szCs w:val="21"/>
                      <w:lang w:eastAsia="zh-CN"/>
                    </w:rPr>
                    <w:t>）</w:t>
                  </w:r>
                </w:p>
              </w:tc>
              <w:tc>
                <w:tcPr>
                  <w:tcW w:w="1548" w:type="dxa"/>
                  <w:noWrap w:val="0"/>
                  <w:vAlign w:val="center"/>
                </w:tcPr>
                <w:p w14:paraId="5DC888F3">
                  <w:pPr>
                    <w:pStyle w:val="6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color w:val="auto"/>
                      <w:w w:val="100"/>
                      <w:kern w:val="18"/>
                      <w:sz w:val="21"/>
                      <w:szCs w:val="21"/>
                    </w:rPr>
                  </w:pPr>
                  <w:r>
                    <w:rPr>
                      <w:rFonts w:hint="default" w:ascii="Times New Roman" w:hAnsi="Times New Roman" w:cs="Times New Roman"/>
                      <w:b/>
                      <w:color w:val="auto"/>
                      <w:w w:val="100"/>
                      <w:kern w:val="18"/>
                      <w:sz w:val="21"/>
                      <w:szCs w:val="21"/>
                    </w:rPr>
                    <w:t>夜间dB</w:t>
                  </w:r>
                  <w:r>
                    <w:rPr>
                      <w:rFonts w:hint="eastAsia" w:ascii="Times New Roman" w:hAnsi="Times New Roman" w:cs="Times New Roman"/>
                      <w:b/>
                      <w:color w:val="auto"/>
                      <w:w w:val="100"/>
                      <w:kern w:val="18"/>
                      <w:sz w:val="21"/>
                      <w:szCs w:val="21"/>
                      <w:lang w:eastAsia="zh-CN"/>
                    </w:rPr>
                    <w:t>（</w:t>
                  </w:r>
                  <w:r>
                    <w:rPr>
                      <w:rFonts w:hint="default" w:ascii="Times New Roman" w:hAnsi="Times New Roman" w:cs="Times New Roman"/>
                      <w:b/>
                      <w:color w:val="auto"/>
                      <w:w w:val="100"/>
                      <w:kern w:val="18"/>
                      <w:sz w:val="21"/>
                      <w:szCs w:val="21"/>
                    </w:rPr>
                    <w:t>A</w:t>
                  </w:r>
                  <w:r>
                    <w:rPr>
                      <w:rFonts w:hint="eastAsia" w:ascii="Times New Roman" w:hAnsi="Times New Roman" w:cs="Times New Roman"/>
                      <w:b/>
                      <w:color w:val="auto"/>
                      <w:w w:val="100"/>
                      <w:kern w:val="18"/>
                      <w:sz w:val="21"/>
                      <w:szCs w:val="21"/>
                      <w:lang w:eastAsia="zh-CN"/>
                    </w:rPr>
                    <w:t>）</w:t>
                  </w:r>
                </w:p>
              </w:tc>
              <w:tc>
                <w:tcPr>
                  <w:tcW w:w="1550" w:type="dxa"/>
                  <w:noWrap w:val="0"/>
                  <w:vAlign w:val="center"/>
                </w:tcPr>
                <w:p w14:paraId="33FB13D8">
                  <w:pPr>
                    <w:pStyle w:val="6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color w:val="auto"/>
                      <w:w w:val="100"/>
                      <w:kern w:val="18"/>
                      <w:sz w:val="21"/>
                      <w:szCs w:val="21"/>
                    </w:rPr>
                  </w:pPr>
                  <w:r>
                    <w:rPr>
                      <w:rFonts w:hint="default" w:ascii="Times New Roman" w:hAnsi="Times New Roman" w:cs="Times New Roman"/>
                      <w:b/>
                      <w:color w:val="auto"/>
                      <w:w w:val="100"/>
                      <w:kern w:val="18"/>
                      <w:sz w:val="21"/>
                      <w:szCs w:val="21"/>
                    </w:rPr>
                    <w:t>标准dB</w:t>
                  </w:r>
                  <w:r>
                    <w:rPr>
                      <w:rFonts w:hint="eastAsia" w:ascii="Times New Roman" w:hAnsi="Times New Roman" w:cs="Times New Roman"/>
                      <w:b/>
                      <w:color w:val="auto"/>
                      <w:w w:val="100"/>
                      <w:kern w:val="18"/>
                      <w:sz w:val="21"/>
                      <w:szCs w:val="21"/>
                      <w:lang w:eastAsia="zh-CN"/>
                    </w:rPr>
                    <w:t>（</w:t>
                  </w:r>
                  <w:r>
                    <w:rPr>
                      <w:rFonts w:hint="default" w:ascii="Times New Roman" w:hAnsi="Times New Roman" w:cs="Times New Roman"/>
                      <w:b/>
                      <w:color w:val="auto"/>
                      <w:w w:val="100"/>
                      <w:kern w:val="18"/>
                      <w:sz w:val="21"/>
                      <w:szCs w:val="21"/>
                    </w:rPr>
                    <w:t>A</w:t>
                  </w:r>
                  <w:r>
                    <w:rPr>
                      <w:rFonts w:hint="eastAsia" w:ascii="Times New Roman" w:hAnsi="Times New Roman" w:cs="Times New Roman"/>
                      <w:b/>
                      <w:color w:val="auto"/>
                      <w:w w:val="100"/>
                      <w:kern w:val="18"/>
                      <w:sz w:val="21"/>
                      <w:szCs w:val="21"/>
                      <w:lang w:eastAsia="zh-CN"/>
                    </w:rPr>
                    <w:t>）</w:t>
                  </w:r>
                </w:p>
              </w:tc>
            </w:tr>
            <w:tr w14:paraId="5D03B1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48" w:type="dxa"/>
                  <w:noWrap w:val="0"/>
                  <w:vAlign w:val="center"/>
                </w:tcPr>
                <w:p w14:paraId="26F9207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w w:val="100"/>
                      <w:kern w:val="18"/>
                      <w:sz w:val="21"/>
                      <w:szCs w:val="21"/>
                      <w:lang w:val="en-US"/>
                    </w:rPr>
                  </w:pPr>
                  <w:r>
                    <w:rPr>
                      <w:rFonts w:hint="default" w:ascii="Times New Roman" w:hAnsi="Times New Roman" w:cs="Times New Roman"/>
                      <w:color w:val="auto"/>
                      <w:w w:val="100"/>
                      <w:kern w:val="18"/>
                      <w:sz w:val="21"/>
                      <w:szCs w:val="21"/>
                      <w:lang w:val="en-US" w:eastAsia="zh-CN"/>
                    </w:rPr>
                    <w:t>红心村</w:t>
                  </w:r>
                </w:p>
              </w:tc>
              <w:tc>
                <w:tcPr>
                  <w:tcW w:w="1548" w:type="dxa"/>
                  <w:noWrap w:val="0"/>
                  <w:vAlign w:val="center"/>
                </w:tcPr>
                <w:p w14:paraId="1EC5F9C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w w:val="100"/>
                      <w:kern w:val="18"/>
                      <w:sz w:val="21"/>
                      <w:szCs w:val="21"/>
                      <w:lang w:val="en-US" w:eastAsia="zh-CN"/>
                    </w:rPr>
                  </w:pPr>
                  <w:r>
                    <w:rPr>
                      <w:rFonts w:hint="eastAsia" w:ascii="Times New Roman" w:hAnsi="Times New Roman" w:cs="Times New Roman"/>
                      <w:color w:val="auto"/>
                      <w:w w:val="100"/>
                      <w:kern w:val="18"/>
                      <w:sz w:val="21"/>
                      <w:szCs w:val="21"/>
                      <w:lang w:val="en-US" w:eastAsia="zh-CN"/>
                    </w:rPr>
                    <w:t>N1</w:t>
                  </w:r>
                </w:p>
              </w:tc>
              <w:tc>
                <w:tcPr>
                  <w:tcW w:w="1548" w:type="dxa"/>
                  <w:noWrap w:val="0"/>
                  <w:vAlign w:val="center"/>
                </w:tcPr>
                <w:p w14:paraId="0FCD24E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w w:val="100"/>
                      <w:kern w:val="18"/>
                      <w:sz w:val="21"/>
                      <w:szCs w:val="21"/>
                    </w:rPr>
                  </w:pPr>
                  <w:r>
                    <w:rPr>
                      <w:rFonts w:hint="eastAsia" w:ascii="Times New Roman" w:hAnsi="Times New Roman" w:eastAsia="宋体" w:cs="Times New Roman"/>
                      <w:b w:val="0"/>
                      <w:bCs w:val="0"/>
                      <w:color w:val="auto"/>
                      <w:sz w:val="21"/>
                      <w:szCs w:val="21"/>
                      <w:lang w:val="en-US" w:eastAsia="zh-CN"/>
                    </w:rPr>
                    <w:t>52.8</w:t>
                  </w:r>
                </w:p>
              </w:tc>
              <w:tc>
                <w:tcPr>
                  <w:tcW w:w="1548" w:type="dxa"/>
                  <w:noWrap w:val="0"/>
                  <w:vAlign w:val="center"/>
                </w:tcPr>
                <w:p w14:paraId="19D5939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w w:val="100"/>
                      <w:kern w:val="18"/>
                      <w:sz w:val="21"/>
                      <w:szCs w:val="21"/>
                      <w:lang w:val="en-US" w:eastAsia="zh-CN"/>
                    </w:rPr>
                  </w:pPr>
                  <w:r>
                    <w:rPr>
                      <w:rFonts w:hint="eastAsia" w:ascii="Times New Roman" w:hAnsi="Times New Roman" w:cs="Times New Roman"/>
                      <w:color w:val="auto"/>
                      <w:w w:val="100"/>
                      <w:kern w:val="18"/>
                      <w:sz w:val="21"/>
                      <w:szCs w:val="21"/>
                      <w:lang w:val="en-US" w:eastAsia="zh-CN"/>
                    </w:rPr>
                    <w:t>60</w:t>
                  </w:r>
                </w:p>
              </w:tc>
              <w:tc>
                <w:tcPr>
                  <w:tcW w:w="1548" w:type="dxa"/>
                  <w:noWrap w:val="0"/>
                  <w:vAlign w:val="center"/>
                </w:tcPr>
                <w:p w14:paraId="05CE6F3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w w:val="100"/>
                      <w:kern w:val="18"/>
                      <w:sz w:val="21"/>
                      <w:szCs w:val="21"/>
                      <w:lang w:val="en-US" w:eastAsia="zh-CN"/>
                    </w:rPr>
                  </w:pPr>
                  <w:r>
                    <w:rPr>
                      <w:rFonts w:hint="eastAsia" w:ascii="Times New Roman" w:hAnsi="Times New Roman" w:eastAsia="宋体" w:cs="Times New Roman"/>
                      <w:b w:val="0"/>
                      <w:bCs w:val="0"/>
                      <w:color w:val="auto"/>
                      <w:sz w:val="21"/>
                      <w:szCs w:val="21"/>
                      <w:lang w:val="en-US" w:eastAsia="zh-CN"/>
                    </w:rPr>
                    <w:t>42.4</w:t>
                  </w:r>
                </w:p>
              </w:tc>
              <w:tc>
                <w:tcPr>
                  <w:tcW w:w="1550" w:type="dxa"/>
                  <w:noWrap w:val="0"/>
                  <w:vAlign w:val="center"/>
                </w:tcPr>
                <w:p w14:paraId="785CDE8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w w:val="100"/>
                      <w:kern w:val="18"/>
                      <w:sz w:val="21"/>
                      <w:szCs w:val="21"/>
                      <w:lang w:val="en-US" w:eastAsia="zh-CN"/>
                    </w:rPr>
                  </w:pPr>
                  <w:r>
                    <w:rPr>
                      <w:rFonts w:hint="eastAsia" w:ascii="Times New Roman" w:hAnsi="Times New Roman" w:cs="Times New Roman"/>
                      <w:color w:val="auto"/>
                      <w:w w:val="100"/>
                      <w:kern w:val="18"/>
                      <w:sz w:val="21"/>
                      <w:szCs w:val="21"/>
                      <w:lang w:val="en-US" w:eastAsia="zh-CN"/>
                    </w:rPr>
                    <w:t>50</w:t>
                  </w:r>
                </w:p>
              </w:tc>
            </w:tr>
          </w:tbl>
          <w:p w14:paraId="30F31C4A">
            <w:pPr>
              <w:pStyle w:val="69"/>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b/>
                <w:lang w:val="en-US" w:eastAsia="zh-CN"/>
              </w:rPr>
            </w:pPr>
            <w:r>
              <w:rPr>
                <w:rFonts w:hint="default" w:ascii="Times New Roman" w:hAnsi="Times New Roman" w:eastAsia="宋体" w:cs="Times New Roman"/>
                <w:color w:val="auto"/>
                <w:sz w:val="24"/>
                <w:lang w:eastAsia="zh-CN"/>
              </w:rPr>
              <w:t>由上表可知，</w:t>
            </w:r>
            <w:r>
              <w:rPr>
                <w:rFonts w:hint="eastAsia" w:ascii="Times New Roman" w:hAnsi="Times New Roman" w:eastAsia="宋体" w:cs="Times New Roman"/>
                <w:color w:val="auto"/>
                <w:sz w:val="24"/>
                <w:lang w:val="en-US" w:eastAsia="zh-CN"/>
              </w:rPr>
              <w:t>本</w:t>
            </w:r>
            <w:r>
              <w:rPr>
                <w:rFonts w:hint="default" w:ascii="Times New Roman" w:hAnsi="Times New Roman" w:eastAsia="宋体" w:cs="Times New Roman"/>
                <w:color w:val="auto"/>
                <w:sz w:val="24"/>
                <w:lang w:eastAsia="zh-CN"/>
              </w:rPr>
              <w:t>项目</w:t>
            </w:r>
            <w:r>
              <w:rPr>
                <w:rFonts w:hint="default" w:ascii="Times New Roman" w:hAnsi="Times New Roman" w:eastAsia="宋体" w:cs="Times New Roman"/>
                <w:color w:val="auto"/>
                <w:sz w:val="24"/>
                <w:lang w:val="en-US" w:eastAsia="zh-CN"/>
              </w:rPr>
              <w:t>声环境保护目标</w:t>
            </w:r>
            <w:r>
              <w:rPr>
                <w:rFonts w:hint="default" w:ascii="Times New Roman" w:hAnsi="Times New Roman" w:eastAsia="宋体" w:cs="Times New Roman"/>
                <w:color w:val="auto"/>
                <w:sz w:val="24"/>
                <w:lang w:eastAsia="zh-CN"/>
              </w:rPr>
              <w:t>昼间</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夜间</w:t>
            </w:r>
            <w:r>
              <w:rPr>
                <w:rFonts w:hint="default" w:ascii="Times New Roman" w:hAnsi="Times New Roman" w:eastAsia="宋体" w:cs="Times New Roman"/>
                <w:color w:val="auto"/>
                <w:sz w:val="24"/>
                <w:lang w:eastAsia="zh-CN"/>
              </w:rPr>
              <w:t>声环境质量能满足《声环境质量标准》（GB3096-2008）</w:t>
            </w:r>
            <w:r>
              <w:rPr>
                <w:rFonts w:hint="eastAsia" w:ascii="Times New Roman" w:hAnsi="Times New Roman" w:eastAsia="宋体" w:cs="Times New Roman"/>
                <w:color w:val="auto"/>
                <w:sz w:val="24"/>
                <w:lang w:val="en-US" w:eastAsia="zh-CN"/>
              </w:rPr>
              <w:t>中2</w:t>
            </w:r>
            <w:r>
              <w:rPr>
                <w:rFonts w:hint="default" w:ascii="Times New Roman" w:hAnsi="Times New Roman" w:eastAsia="宋体" w:cs="Times New Roman"/>
                <w:color w:val="auto"/>
                <w:sz w:val="24"/>
                <w:lang w:eastAsia="zh-CN"/>
              </w:rPr>
              <w:t>类区标准。</w:t>
            </w:r>
          </w:p>
          <w:p w14:paraId="7DA59450">
            <w:pPr>
              <w:pStyle w:val="69"/>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b/>
                <w:color w:val="auto"/>
                <w:lang w:val="en-US" w:eastAsia="zh-CN"/>
              </w:rPr>
            </w:pPr>
            <w:r>
              <w:rPr>
                <w:rFonts w:hint="eastAsia"/>
                <w:b/>
                <w:color w:val="auto"/>
                <w:lang w:val="en-US" w:eastAsia="zh-CN"/>
              </w:rPr>
              <w:t>4、地下水、土壤</w:t>
            </w:r>
            <w:r>
              <w:rPr>
                <w:rFonts w:hint="eastAsia"/>
                <w:b/>
                <w:color w:val="auto"/>
              </w:rPr>
              <w:t>环境</w:t>
            </w:r>
            <w:r>
              <w:rPr>
                <w:rFonts w:hint="eastAsia"/>
                <w:b/>
                <w:color w:val="auto"/>
                <w:lang w:val="en-US" w:eastAsia="zh-CN"/>
              </w:rPr>
              <w:t>质量</w:t>
            </w:r>
          </w:p>
          <w:p w14:paraId="6FEAF8D7">
            <w:pPr>
              <w:widowControl/>
              <w:spacing w:line="360" w:lineRule="auto"/>
              <w:ind w:firstLine="480" w:firstLineChars="200"/>
              <w:jc w:val="left"/>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根据《建设项目环境影响报告表编制技术指南（污染影响类）》（试行），地下水、土壤环境。原则上不开展环境质量现状调查。建设项目存在土壤、地下水环境污染途径的，应结合污染源、保护目标分布情况开展现状调查以留作背景值。</w:t>
            </w:r>
          </w:p>
          <w:p w14:paraId="7B58BB10">
            <w:pPr>
              <w:widowControl/>
              <w:spacing w:line="360" w:lineRule="auto"/>
              <w:ind w:firstLine="482" w:firstLineChars="200"/>
              <w:jc w:val="left"/>
              <w:rPr>
                <w:rFonts w:hint="default" w:ascii="Times New Roman" w:hAnsi="Times New Roman" w:eastAsia="宋体" w:cs="Times New Roman"/>
                <w:b/>
                <w:bCs/>
                <w:color w:val="auto"/>
                <w:sz w:val="24"/>
                <w:lang w:val="en-US" w:eastAsia="zh-CN"/>
              </w:rPr>
            </w:pPr>
            <w:r>
              <w:rPr>
                <w:rFonts w:hint="eastAsia" w:cs="Times New Roman"/>
                <w:b/>
                <w:bCs/>
                <w:color w:val="auto"/>
                <w:sz w:val="24"/>
                <w:lang w:val="en-US" w:eastAsia="zh-CN"/>
              </w:rPr>
              <w:t>（1）地下水环境质量</w:t>
            </w:r>
          </w:p>
          <w:p w14:paraId="4F9D8C03">
            <w:pPr>
              <w:widowControl/>
              <w:spacing w:line="360" w:lineRule="auto"/>
              <w:ind w:firstLine="480" w:firstLineChars="200"/>
              <w:jc w:val="left"/>
              <w:rPr>
                <w:rFonts w:hint="default" w:ascii="Times New Roman" w:hAnsi="Times New Roman" w:eastAsia="宋体" w:cs="Times New Roman"/>
                <w:color w:val="FF0000"/>
                <w:sz w:val="24"/>
                <w:lang w:val="en-US" w:eastAsia="zh-CN"/>
              </w:rPr>
            </w:pPr>
            <w:r>
              <w:rPr>
                <w:rFonts w:hint="eastAsia" w:ascii="Times New Roman" w:hAnsi="Times New Roman" w:eastAsia="宋体" w:cs="Times New Roman"/>
                <w:color w:val="auto"/>
                <w:sz w:val="24"/>
                <w:lang w:val="en-US" w:eastAsia="zh-CN"/>
              </w:rPr>
              <w:t>本次评价委托</w:t>
            </w:r>
            <w:r>
              <w:rPr>
                <w:rFonts w:hint="eastAsia" w:ascii="Times New Roman" w:hAnsi="Times New Roman" w:eastAsia="宋体" w:cs="Times New Roman"/>
                <w:color w:val="auto"/>
                <w:sz w:val="24"/>
              </w:rPr>
              <w:t>九江市鑫洁生产环境科技有限公司</w:t>
            </w:r>
            <w:r>
              <w:rPr>
                <w:rFonts w:hint="eastAsia" w:ascii="Times New Roman" w:hAnsi="Times New Roman" w:eastAsia="宋体" w:cs="Times New Roman"/>
                <w:color w:val="auto"/>
                <w:sz w:val="24"/>
                <w:lang w:eastAsia="zh-CN"/>
              </w:rPr>
              <w:t>对项目</w:t>
            </w:r>
            <w:r>
              <w:rPr>
                <w:rFonts w:hint="eastAsia" w:ascii="Times New Roman" w:hAnsi="Times New Roman" w:eastAsia="宋体" w:cs="Times New Roman"/>
                <w:color w:val="auto"/>
                <w:sz w:val="24"/>
                <w:lang w:val="en-US" w:eastAsia="zh-CN"/>
              </w:rPr>
              <w:t>所在</w:t>
            </w:r>
            <w:r>
              <w:rPr>
                <w:rFonts w:hint="eastAsia" w:ascii="Times New Roman" w:hAnsi="Times New Roman" w:eastAsia="宋体" w:cs="Times New Roman"/>
                <w:color w:val="auto"/>
                <w:sz w:val="24"/>
                <w:lang w:eastAsia="zh-CN"/>
              </w:rPr>
              <w:t>区域地下水环境进行了监测，</w:t>
            </w:r>
            <w:r>
              <w:rPr>
                <w:rFonts w:hint="eastAsia" w:cs="Times New Roman"/>
                <w:color w:val="FF0000"/>
                <w:sz w:val="24"/>
                <w:lang w:val="en-US" w:eastAsia="zh-CN"/>
              </w:rPr>
              <w:t>监测点位：红心村/GW1，位于项目所在区域地下水流场上游，与项目厂界的距离为108m，</w:t>
            </w:r>
            <w:r>
              <w:rPr>
                <w:rFonts w:hint="eastAsia" w:ascii="Times New Roman" w:hAnsi="Times New Roman" w:eastAsia="宋体" w:cs="Times New Roman"/>
                <w:color w:val="auto"/>
                <w:sz w:val="24"/>
                <w:lang w:val="en-US" w:eastAsia="zh-CN"/>
              </w:rPr>
              <w:t>监测</w:t>
            </w:r>
            <w:r>
              <w:rPr>
                <w:rFonts w:hint="eastAsia" w:ascii="Times New Roman" w:hAnsi="Times New Roman" w:eastAsia="宋体" w:cs="Times New Roman"/>
                <w:color w:val="auto"/>
                <w:sz w:val="24"/>
                <w:lang w:eastAsia="zh-CN"/>
              </w:rPr>
              <w:t>结果详见表</w:t>
            </w:r>
            <w:r>
              <w:rPr>
                <w:rFonts w:hint="eastAsia" w:ascii="Times New Roman" w:hAnsi="Times New Roman" w:eastAsia="宋体" w:cs="Times New Roman"/>
                <w:color w:val="auto"/>
                <w:sz w:val="24"/>
                <w:lang w:val="en-US" w:eastAsia="zh-CN"/>
              </w:rPr>
              <w:t>3-</w:t>
            </w:r>
            <w:r>
              <w:rPr>
                <w:rFonts w:hint="eastAsia" w:cs="Times New Roman"/>
                <w:color w:val="auto"/>
                <w:sz w:val="24"/>
                <w:lang w:val="en-US" w:eastAsia="zh-CN"/>
              </w:rPr>
              <w:t>3</w:t>
            </w:r>
            <w:r>
              <w:rPr>
                <w:rFonts w:hint="eastAsia" w:ascii="Times New Roman" w:hAnsi="Times New Roman" w:eastAsia="宋体" w:cs="Times New Roman"/>
                <w:color w:val="auto"/>
                <w:sz w:val="24"/>
                <w:lang w:val="en-US" w:eastAsia="zh-CN"/>
              </w:rPr>
              <w:t>。</w:t>
            </w:r>
          </w:p>
          <w:p w14:paraId="2E5C1ECB">
            <w:pPr>
              <w:pStyle w:val="134"/>
              <w:keepNext w:val="0"/>
              <w:keepLines w:val="0"/>
              <w:pageBreakBefore w:val="0"/>
              <w:widowControl w:val="0"/>
              <w:kinsoku/>
              <w:wordWrap/>
              <w:overflowPunct/>
              <w:topLinePunct w:val="0"/>
              <w:autoSpaceDE/>
              <w:autoSpaceDN/>
              <w:bidi w:val="0"/>
              <w:adjustRightInd w:val="0"/>
              <w:snapToGrid/>
              <w:textAlignment w:val="auto"/>
              <w:rPr>
                <w:rFonts w:hint="default"/>
                <w:color w:val="auto"/>
                <w:lang w:val="en-US"/>
              </w:rPr>
            </w:pPr>
            <w:r>
              <w:rPr>
                <w:rFonts w:hint="eastAsia" w:ascii="宋体" w:hAnsi="宋体" w:eastAsia="宋体" w:cs="宋体"/>
                <w:color w:val="auto"/>
              </w:rPr>
              <w:t>表</w:t>
            </w:r>
            <w:r>
              <w:rPr>
                <w:color w:val="auto"/>
              </w:rPr>
              <w:t>3-</w:t>
            </w:r>
            <w:r>
              <w:rPr>
                <w:rFonts w:hint="eastAsia"/>
                <w:color w:val="auto"/>
                <w:lang w:val="en-US" w:eastAsia="zh-CN"/>
              </w:rPr>
              <w:t xml:space="preserve">3   </w:t>
            </w:r>
            <w:r>
              <w:rPr>
                <w:rFonts w:hint="eastAsia" w:ascii="宋体" w:hAnsi="宋体" w:eastAsia="宋体" w:cs="宋体"/>
                <w:color w:val="auto"/>
                <w:lang w:val="en-US" w:eastAsia="zh-CN"/>
              </w:rPr>
              <w:t>项目</w:t>
            </w:r>
            <w:r>
              <w:rPr>
                <w:rFonts w:hint="eastAsia" w:ascii="宋体" w:hAnsi="宋体" w:eastAsia="宋体" w:cs="宋体"/>
                <w:color w:val="auto"/>
                <w:lang w:eastAsia="zh-CN"/>
              </w:rPr>
              <w:t>地下水检测结果</w:t>
            </w:r>
            <w:r>
              <w:rPr>
                <w:rFonts w:hint="eastAsia" w:ascii="宋体" w:hAnsi="宋体" w:eastAsia="宋体" w:cs="宋体"/>
                <w:color w:val="auto"/>
                <w:lang w:val="en-US" w:eastAsia="zh-CN"/>
              </w:rPr>
              <w:t>一览</w:t>
            </w:r>
            <w:r>
              <w:rPr>
                <w:rFonts w:hint="eastAsia" w:ascii="宋体" w:hAnsi="宋体" w:eastAsia="宋体" w:cs="宋体"/>
                <w:color w:val="auto"/>
                <w:lang w:eastAsia="zh-CN"/>
              </w:rPr>
              <w:t>表</w:t>
            </w:r>
          </w:p>
          <w:tbl>
            <w:tblPr>
              <w:tblStyle w:val="35"/>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94"/>
              <w:gridCol w:w="1897"/>
              <w:gridCol w:w="4104"/>
              <w:gridCol w:w="1385"/>
              <w:gridCol w:w="1191"/>
            </w:tblGrid>
            <w:tr w14:paraId="63176A5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397" w:type="pct"/>
                  <w:gridSpan w:val="2"/>
                  <w:tcBorders>
                    <w:tl2br w:val="nil"/>
                    <w:tr2bl w:val="nil"/>
                  </w:tcBorders>
                  <w:noWrap w:val="0"/>
                  <w:vAlign w:val="center"/>
                </w:tcPr>
                <w:p w14:paraId="240475AC">
                  <w:pPr>
                    <w:pStyle w:val="135"/>
                    <w:keepNext w:val="0"/>
                    <w:keepLines w:val="0"/>
                    <w:pageBreakBefore w:val="0"/>
                    <w:widowControl/>
                    <w:kinsoku/>
                    <w:wordWrap/>
                    <w:overflowPunct/>
                    <w:topLinePunct w:val="0"/>
                    <w:autoSpaceDE/>
                    <w:autoSpaceDN/>
                    <w:bidi w:val="0"/>
                    <w:adjustRightInd w:val="0"/>
                    <w:snapToGrid w:val="0"/>
                    <w:textAlignment w:val="auto"/>
                    <w:rPr>
                      <w:rFonts w:hint="eastAsia"/>
                      <w:b/>
                      <w:bCs/>
                      <w:color w:val="auto"/>
                      <w:lang w:val="en-US" w:eastAsia="zh-CN"/>
                    </w:rPr>
                  </w:pPr>
                  <w:r>
                    <w:rPr>
                      <w:rFonts w:hint="eastAsia"/>
                      <w:b/>
                      <w:bCs/>
                      <w:color w:val="auto"/>
                      <w:lang w:val="en-US" w:eastAsia="zh-CN"/>
                    </w:rPr>
                    <w:t>采样时间</w:t>
                  </w:r>
                </w:p>
              </w:tc>
              <w:tc>
                <w:tcPr>
                  <w:tcW w:w="2213" w:type="pct"/>
                  <w:tcBorders>
                    <w:tl2br w:val="nil"/>
                    <w:tr2bl w:val="nil"/>
                  </w:tcBorders>
                  <w:noWrap w:val="0"/>
                  <w:vAlign w:val="center"/>
                </w:tcPr>
                <w:p w14:paraId="03441B49">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2025年11月02日</w:t>
                  </w:r>
                </w:p>
              </w:tc>
              <w:tc>
                <w:tcPr>
                  <w:tcW w:w="746" w:type="pct"/>
                  <w:vMerge w:val="restart"/>
                  <w:tcBorders>
                    <w:tl2br w:val="nil"/>
                    <w:tr2bl w:val="nil"/>
                  </w:tcBorders>
                  <w:noWrap w:val="0"/>
                  <w:vAlign w:val="center"/>
                </w:tcPr>
                <w:p w14:paraId="00C66B10">
                  <w:pPr>
                    <w:pStyle w:val="135"/>
                    <w:keepNext w:val="0"/>
                    <w:keepLines w:val="0"/>
                    <w:pageBreakBefore w:val="0"/>
                    <w:widowControl/>
                    <w:kinsoku/>
                    <w:wordWrap/>
                    <w:overflowPunct/>
                    <w:topLinePunct w:val="0"/>
                    <w:autoSpaceDE/>
                    <w:autoSpaceDN/>
                    <w:bidi w:val="0"/>
                    <w:adjustRightInd w:val="0"/>
                    <w:snapToGrid w:val="0"/>
                    <w:textAlignment w:val="auto"/>
                    <w:rPr>
                      <w:rFonts w:hint="eastAsia"/>
                      <w:b/>
                      <w:bCs/>
                      <w:color w:val="auto"/>
                      <w:lang w:val="en-US" w:eastAsia="zh-CN"/>
                    </w:rPr>
                  </w:pPr>
                  <w:r>
                    <w:rPr>
                      <w:rFonts w:hint="eastAsia"/>
                      <w:b/>
                      <w:bCs/>
                      <w:color w:val="auto"/>
                      <w:lang w:val="en-US" w:eastAsia="zh-CN"/>
                    </w:rPr>
                    <w:t>标准值</w:t>
                  </w:r>
                </w:p>
              </w:tc>
              <w:tc>
                <w:tcPr>
                  <w:tcW w:w="642" w:type="pct"/>
                  <w:vMerge w:val="restart"/>
                  <w:tcBorders>
                    <w:tl2br w:val="nil"/>
                    <w:tr2bl w:val="nil"/>
                  </w:tcBorders>
                  <w:noWrap w:val="0"/>
                  <w:vAlign w:val="center"/>
                </w:tcPr>
                <w:p w14:paraId="33B9316D">
                  <w:pPr>
                    <w:pStyle w:val="135"/>
                    <w:keepNext w:val="0"/>
                    <w:keepLines w:val="0"/>
                    <w:pageBreakBefore w:val="0"/>
                    <w:widowControl/>
                    <w:kinsoku/>
                    <w:wordWrap/>
                    <w:overflowPunct/>
                    <w:topLinePunct w:val="0"/>
                    <w:autoSpaceDE/>
                    <w:autoSpaceDN/>
                    <w:bidi w:val="0"/>
                    <w:adjustRightInd w:val="0"/>
                    <w:snapToGrid w:val="0"/>
                    <w:textAlignment w:val="auto"/>
                    <w:rPr>
                      <w:rFonts w:hint="eastAsia"/>
                      <w:b/>
                      <w:bCs/>
                      <w:color w:val="auto"/>
                      <w:lang w:val="en-US" w:eastAsia="zh-CN"/>
                    </w:rPr>
                  </w:pPr>
                  <w:r>
                    <w:rPr>
                      <w:rFonts w:hint="eastAsia"/>
                      <w:b/>
                      <w:bCs/>
                      <w:color w:val="auto"/>
                      <w:lang w:val="en-US" w:eastAsia="zh-CN"/>
                    </w:rPr>
                    <w:t>是否超标</w:t>
                  </w:r>
                </w:p>
              </w:tc>
            </w:tr>
            <w:tr w14:paraId="55DAE59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397" w:type="pct"/>
                  <w:gridSpan w:val="2"/>
                  <w:tcBorders>
                    <w:tl2br w:val="nil"/>
                    <w:tr2bl w:val="nil"/>
                  </w:tcBorders>
                  <w:noWrap w:val="0"/>
                  <w:vAlign w:val="center"/>
                </w:tcPr>
                <w:p w14:paraId="27D8A3DD">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b/>
                      <w:bCs/>
                      <w:color w:val="auto"/>
                      <w:kern w:val="0"/>
                      <w:sz w:val="21"/>
                      <w:szCs w:val="21"/>
                      <w:lang w:val="en-US" w:eastAsia="zh-CN" w:bidi="ar-SA"/>
                    </w:rPr>
                  </w:pPr>
                  <w:r>
                    <w:rPr>
                      <w:rFonts w:hint="eastAsia"/>
                      <w:b/>
                      <w:bCs/>
                      <w:color w:val="auto"/>
                      <w:lang w:eastAsia="zh-CN"/>
                    </w:rPr>
                    <w:t>监测点位</w:t>
                  </w:r>
                  <w:r>
                    <w:rPr>
                      <w:rFonts w:hint="eastAsia"/>
                      <w:b/>
                      <w:bCs/>
                      <w:color w:val="auto"/>
                      <w:lang w:val="en-US" w:eastAsia="zh-CN"/>
                    </w:rPr>
                    <w:t>/点位编号</w:t>
                  </w:r>
                </w:p>
              </w:tc>
              <w:tc>
                <w:tcPr>
                  <w:tcW w:w="2213" w:type="pct"/>
                  <w:tcBorders>
                    <w:tl2br w:val="nil"/>
                    <w:tr2bl w:val="nil"/>
                  </w:tcBorders>
                  <w:noWrap w:val="0"/>
                  <w:vAlign w:val="center"/>
                </w:tcPr>
                <w:p w14:paraId="1F121A2F">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红心村/GW1</w:t>
                  </w:r>
                </w:p>
              </w:tc>
              <w:tc>
                <w:tcPr>
                  <w:tcW w:w="746" w:type="pct"/>
                  <w:vMerge w:val="continue"/>
                  <w:tcBorders>
                    <w:tl2br w:val="nil"/>
                    <w:tr2bl w:val="nil"/>
                  </w:tcBorders>
                  <w:noWrap w:val="0"/>
                  <w:vAlign w:val="center"/>
                </w:tcPr>
                <w:p w14:paraId="75B39F94">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p>
              </w:tc>
              <w:tc>
                <w:tcPr>
                  <w:tcW w:w="642" w:type="pct"/>
                  <w:vMerge w:val="continue"/>
                  <w:tcBorders>
                    <w:tl2br w:val="nil"/>
                    <w:tr2bl w:val="nil"/>
                  </w:tcBorders>
                  <w:noWrap w:val="0"/>
                  <w:vAlign w:val="center"/>
                </w:tcPr>
                <w:p w14:paraId="15CEF57A">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p>
              </w:tc>
            </w:tr>
            <w:tr w14:paraId="594A80D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397" w:type="pct"/>
                  <w:gridSpan w:val="2"/>
                  <w:tcBorders>
                    <w:tl2br w:val="nil"/>
                    <w:tr2bl w:val="nil"/>
                  </w:tcBorders>
                  <w:noWrap w:val="0"/>
                  <w:vAlign w:val="center"/>
                </w:tcPr>
                <w:p w14:paraId="38392B2D">
                  <w:pPr>
                    <w:pStyle w:val="135"/>
                    <w:keepNext w:val="0"/>
                    <w:keepLines w:val="0"/>
                    <w:pageBreakBefore w:val="0"/>
                    <w:widowControl/>
                    <w:kinsoku/>
                    <w:wordWrap/>
                    <w:overflowPunct/>
                    <w:topLinePunct w:val="0"/>
                    <w:autoSpaceDE/>
                    <w:autoSpaceDN/>
                    <w:bidi w:val="0"/>
                    <w:adjustRightInd w:val="0"/>
                    <w:snapToGrid w:val="0"/>
                    <w:textAlignment w:val="auto"/>
                    <w:rPr>
                      <w:rFonts w:hint="eastAsia"/>
                      <w:b/>
                      <w:bCs/>
                      <w:color w:val="auto"/>
                      <w:lang w:val="en-US" w:eastAsia="zh-CN"/>
                    </w:rPr>
                  </w:pPr>
                  <w:r>
                    <w:rPr>
                      <w:rFonts w:hint="eastAsia"/>
                      <w:b/>
                      <w:bCs/>
                      <w:color w:val="auto"/>
                      <w:lang w:eastAsia="zh-CN"/>
                    </w:rPr>
                    <w:t>采样点坐标</w:t>
                  </w:r>
                </w:p>
              </w:tc>
              <w:tc>
                <w:tcPr>
                  <w:tcW w:w="2213" w:type="pct"/>
                  <w:tcBorders>
                    <w:tl2br w:val="nil"/>
                    <w:tr2bl w:val="nil"/>
                  </w:tcBorders>
                  <w:noWrap w:val="0"/>
                  <w:vAlign w:val="center"/>
                </w:tcPr>
                <w:p w14:paraId="1589F7B8">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default" w:ascii="Times New Roman" w:hAnsi="Times New Roman" w:cs="Times New Roman"/>
                      <w:color w:val="auto"/>
                      <w:lang w:val="en-US" w:eastAsia="zh-CN"/>
                    </w:rPr>
                    <w:t>N</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29°39′17.85″E</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115°49′14.90″</w:t>
                  </w:r>
                </w:p>
              </w:tc>
              <w:tc>
                <w:tcPr>
                  <w:tcW w:w="746" w:type="pct"/>
                  <w:vMerge w:val="continue"/>
                  <w:tcBorders>
                    <w:tl2br w:val="nil"/>
                    <w:tr2bl w:val="nil"/>
                  </w:tcBorders>
                  <w:noWrap w:val="0"/>
                  <w:vAlign w:val="center"/>
                </w:tcPr>
                <w:p w14:paraId="6DE9305A">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p>
              </w:tc>
              <w:tc>
                <w:tcPr>
                  <w:tcW w:w="642" w:type="pct"/>
                  <w:vMerge w:val="continue"/>
                  <w:tcBorders>
                    <w:tl2br w:val="nil"/>
                    <w:tr2bl w:val="nil"/>
                  </w:tcBorders>
                  <w:noWrap w:val="0"/>
                  <w:vAlign w:val="center"/>
                </w:tcPr>
                <w:p w14:paraId="1605271A">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p>
              </w:tc>
            </w:tr>
            <w:tr w14:paraId="51CB69A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397" w:type="pct"/>
                  <w:gridSpan w:val="2"/>
                  <w:tcBorders>
                    <w:tl2br w:val="nil"/>
                    <w:tr2bl w:val="nil"/>
                  </w:tcBorders>
                  <w:noWrap w:val="0"/>
                  <w:vAlign w:val="center"/>
                </w:tcPr>
                <w:p w14:paraId="46E5BBD6">
                  <w:pPr>
                    <w:pStyle w:val="135"/>
                    <w:keepNext w:val="0"/>
                    <w:keepLines w:val="0"/>
                    <w:pageBreakBefore w:val="0"/>
                    <w:widowControl/>
                    <w:kinsoku/>
                    <w:wordWrap/>
                    <w:overflowPunct/>
                    <w:topLinePunct w:val="0"/>
                    <w:autoSpaceDE/>
                    <w:autoSpaceDN/>
                    <w:bidi w:val="0"/>
                    <w:adjustRightInd w:val="0"/>
                    <w:snapToGrid w:val="0"/>
                    <w:textAlignment w:val="auto"/>
                    <w:rPr>
                      <w:rFonts w:hint="eastAsia"/>
                      <w:b/>
                      <w:bCs/>
                      <w:color w:val="auto"/>
                      <w:lang w:eastAsia="zh-CN"/>
                    </w:rPr>
                  </w:pPr>
                  <w:r>
                    <w:rPr>
                      <w:rFonts w:hint="eastAsia"/>
                      <w:b/>
                      <w:bCs/>
                      <w:color w:val="auto"/>
                      <w:lang w:eastAsia="zh-CN"/>
                    </w:rPr>
                    <w:t>样品性状</w:t>
                  </w:r>
                </w:p>
              </w:tc>
              <w:tc>
                <w:tcPr>
                  <w:tcW w:w="2213" w:type="pct"/>
                  <w:tcBorders>
                    <w:tl2br w:val="nil"/>
                    <w:tr2bl w:val="nil"/>
                  </w:tcBorders>
                  <w:noWrap w:val="0"/>
                  <w:vAlign w:val="center"/>
                </w:tcPr>
                <w:p w14:paraId="3639C3EB">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无色、无异味</w:t>
                  </w:r>
                </w:p>
              </w:tc>
              <w:tc>
                <w:tcPr>
                  <w:tcW w:w="746" w:type="pct"/>
                  <w:vMerge w:val="continue"/>
                  <w:tcBorders>
                    <w:tl2br w:val="nil"/>
                    <w:tr2bl w:val="nil"/>
                  </w:tcBorders>
                  <w:noWrap w:val="0"/>
                  <w:vAlign w:val="center"/>
                </w:tcPr>
                <w:p w14:paraId="0B30CE0A">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p>
              </w:tc>
              <w:tc>
                <w:tcPr>
                  <w:tcW w:w="642" w:type="pct"/>
                  <w:vMerge w:val="continue"/>
                  <w:tcBorders>
                    <w:tl2br w:val="nil"/>
                    <w:tr2bl w:val="nil"/>
                  </w:tcBorders>
                  <w:noWrap w:val="0"/>
                  <w:vAlign w:val="center"/>
                </w:tcPr>
                <w:p w14:paraId="751FBE39">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p>
              </w:tc>
            </w:tr>
            <w:tr w14:paraId="05BF5E2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74" w:type="pct"/>
                  <w:tcBorders>
                    <w:tl2br w:val="nil"/>
                    <w:tr2bl w:val="nil"/>
                  </w:tcBorders>
                  <w:noWrap w:val="0"/>
                  <w:vAlign w:val="center"/>
                </w:tcPr>
                <w:p w14:paraId="1BEB036B">
                  <w:pPr>
                    <w:pStyle w:val="135"/>
                    <w:keepNext w:val="0"/>
                    <w:keepLines w:val="0"/>
                    <w:pageBreakBefore w:val="0"/>
                    <w:widowControl/>
                    <w:kinsoku/>
                    <w:wordWrap/>
                    <w:overflowPunct/>
                    <w:topLinePunct w:val="0"/>
                    <w:autoSpaceDE/>
                    <w:autoSpaceDN/>
                    <w:bidi w:val="0"/>
                    <w:adjustRightInd w:val="0"/>
                    <w:snapToGrid w:val="0"/>
                    <w:textAlignment w:val="auto"/>
                    <w:rPr>
                      <w:rFonts w:hint="eastAsia"/>
                      <w:b/>
                      <w:bCs/>
                      <w:color w:val="auto"/>
                      <w:lang w:eastAsia="zh-CN"/>
                    </w:rPr>
                  </w:pPr>
                  <w:r>
                    <w:rPr>
                      <w:rFonts w:hint="eastAsia"/>
                      <w:b/>
                      <w:bCs/>
                      <w:color w:val="auto"/>
                      <w:lang w:eastAsia="zh-CN"/>
                    </w:rPr>
                    <w:t>序号</w:t>
                  </w:r>
                </w:p>
              </w:tc>
              <w:tc>
                <w:tcPr>
                  <w:tcW w:w="1023" w:type="pct"/>
                  <w:tcBorders>
                    <w:tl2br w:val="nil"/>
                    <w:tr2bl w:val="nil"/>
                  </w:tcBorders>
                  <w:noWrap w:val="0"/>
                  <w:vAlign w:val="center"/>
                </w:tcPr>
                <w:p w14:paraId="6A19E1D2">
                  <w:pPr>
                    <w:pStyle w:val="135"/>
                    <w:keepNext w:val="0"/>
                    <w:keepLines w:val="0"/>
                    <w:pageBreakBefore w:val="0"/>
                    <w:widowControl/>
                    <w:kinsoku/>
                    <w:wordWrap/>
                    <w:overflowPunct/>
                    <w:topLinePunct w:val="0"/>
                    <w:autoSpaceDE/>
                    <w:autoSpaceDN/>
                    <w:bidi w:val="0"/>
                    <w:adjustRightInd w:val="0"/>
                    <w:snapToGrid w:val="0"/>
                    <w:textAlignment w:val="auto"/>
                    <w:rPr>
                      <w:rFonts w:hint="eastAsia"/>
                      <w:b/>
                      <w:bCs/>
                      <w:color w:val="auto"/>
                      <w:lang w:val="en-US" w:eastAsia="zh-CN"/>
                    </w:rPr>
                  </w:pPr>
                  <w:r>
                    <w:rPr>
                      <w:rFonts w:hint="eastAsia"/>
                      <w:b/>
                      <w:bCs/>
                      <w:color w:val="auto"/>
                      <w:lang w:eastAsia="zh-CN"/>
                    </w:rPr>
                    <w:t>检测项目</w:t>
                  </w:r>
                </w:p>
              </w:tc>
              <w:tc>
                <w:tcPr>
                  <w:tcW w:w="2213" w:type="pct"/>
                  <w:tcBorders>
                    <w:tl2br w:val="nil"/>
                    <w:tr2bl w:val="nil"/>
                  </w:tcBorders>
                  <w:noWrap w:val="0"/>
                  <w:vAlign w:val="center"/>
                </w:tcPr>
                <w:p w14:paraId="6FFAA667">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r>
                    <w:rPr>
                      <w:rFonts w:hint="eastAsia"/>
                      <w:b/>
                      <w:bCs/>
                      <w:color w:val="auto"/>
                      <w:lang w:val="en-US" w:eastAsia="zh-CN"/>
                    </w:rPr>
                    <w:t>检测结果</w:t>
                  </w:r>
                </w:p>
              </w:tc>
              <w:tc>
                <w:tcPr>
                  <w:tcW w:w="746" w:type="pct"/>
                  <w:vMerge w:val="continue"/>
                  <w:tcBorders>
                    <w:tl2br w:val="nil"/>
                    <w:tr2bl w:val="nil"/>
                  </w:tcBorders>
                  <w:noWrap w:val="0"/>
                  <w:vAlign w:val="center"/>
                </w:tcPr>
                <w:p w14:paraId="470D1639">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p>
              </w:tc>
              <w:tc>
                <w:tcPr>
                  <w:tcW w:w="642" w:type="pct"/>
                  <w:vMerge w:val="continue"/>
                  <w:tcBorders>
                    <w:tl2br w:val="nil"/>
                    <w:tr2bl w:val="nil"/>
                  </w:tcBorders>
                  <w:noWrap w:val="0"/>
                  <w:vAlign w:val="center"/>
                </w:tcPr>
                <w:p w14:paraId="5BA96224">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p>
              </w:tc>
            </w:tr>
            <w:tr w14:paraId="5070627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74" w:type="pct"/>
                  <w:tcBorders>
                    <w:tl2br w:val="nil"/>
                    <w:tr2bl w:val="nil"/>
                  </w:tcBorders>
                  <w:noWrap w:val="0"/>
                  <w:vAlign w:val="center"/>
                </w:tcPr>
                <w:p w14:paraId="2FFD1C59">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1</w:t>
                  </w:r>
                </w:p>
              </w:tc>
              <w:tc>
                <w:tcPr>
                  <w:tcW w:w="1023" w:type="pct"/>
                  <w:tcBorders>
                    <w:tl2br w:val="nil"/>
                    <w:tr2bl w:val="nil"/>
                  </w:tcBorders>
                  <w:noWrap w:val="0"/>
                  <w:vAlign w:val="center"/>
                </w:tcPr>
                <w:p w14:paraId="70BF2B20">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pH值</w:t>
                  </w:r>
                </w:p>
              </w:tc>
              <w:tc>
                <w:tcPr>
                  <w:tcW w:w="2213" w:type="pct"/>
                  <w:tcBorders>
                    <w:tl2br w:val="nil"/>
                    <w:tr2bl w:val="nil"/>
                  </w:tcBorders>
                  <w:noWrap w:val="0"/>
                  <w:vAlign w:val="center"/>
                </w:tcPr>
                <w:p w14:paraId="788DE163">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highlight w:val="none"/>
                      <w:lang w:val="en-US" w:eastAsia="zh-CN" w:bidi="ar"/>
                    </w:rPr>
                    <w:t>7.</w:t>
                  </w:r>
                  <w:r>
                    <w:rPr>
                      <w:rFonts w:hint="eastAsia" w:cs="Times New Roman"/>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w:t>
                  </w:r>
                  <w:r>
                    <w:rPr>
                      <w:rFonts w:hint="eastAsia" w:cs="Times New Roman"/>
                      <w:color w:val="auto"/>
                      <w:kern w:val="2"/>
                      <w:sz w:val="21"/>
                      <w:szCs w:val="22"/>
                      <w:lang w:val="en-US" w:eastAsia="zh-CN" w:bidi="ar-SA"/>
                    </w:rPr>
                    <w:t>15.2</w:t>
                  </w:r>
                  <w:r>
                    <w:rPr>
                      <w:rFonts w:hint="default" w:ascii="Times New Roman" w:hAnsi="Times New Roman" w:eastAsia="仿宋" w:cs="Times New Roman"/>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w:t>
                  </w:r>
                </w:p>
              </w:tc>
              <w:tc>
                <w:tcPr>
                  <w:tcW w:w="746" w:type="pct"/>
                  <w:tcBorders>
                    <w:tl2br w:val="nil"/>
                    <w:tr2bl w:val="nil"/>
                  </w:tcBorders>
                  <w:noWrap w:val="0"/>
                  <w:vAlign w:val="center"/>
                </w:tcPr>
                <w:p w14:paraId="14638C70">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default"/>
                      <w:color w:val="auto"/>
                    </w:rPr>
                    <w:t>6.5~8.5</w:t>
                  </w:r>
                </w:p>
              </w:tc>
              <w:tc>
                <w:tcPr>
                  <w:tcW w:w="642" w:type="pct"/>
                  <w:tcBorders>
                    <w:tl2br w:val="nil"/>
                    <w:tr2bl w:val="nil"/>
                  </w:tcBorders>
                  <w:noWrap w:val="0"/>
                  <w:vAlign w:val="center"/>
                </w:tcPr>
                <w:p w14:paraId="6068C06C">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否</w:t>
                  </w:r>
                </w:p>
              </w:tc>
            </w:tr>
            <w:tr w14:paraId="0E6DDC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74" w:type="pct"/>
                  <w:tcBorders>
                    <w:tl2br w:val="nil"/>
                    <w:tr2bl w:val="nil"/>
                  </w:tcBorders>
                  <w:noWrap w:val="0"/>
                  <w:vAlign w:val="center"/>
                </w:tcPr>
                <w:p w14:paraId="3F9859C9">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2</w:t>
                  </w:r>
                </w:p>
              </w:tc>
              <w:tc>
                <w:tcPr>
                  <w:tcW w:w="1023" w:type="pct"/>
                  <w:tcBorders>
                    <w:tl2br w:val="nil"/>
                    <w:tr2bl w:val="nil"/>
                  </w:tcBorders>
                  <w:noWrap w:val="0"/>
                  <w:vAlign w:val="center"/>
                </w:tcPr>
                <w:p w14:paraId="4BEA6F48">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s="Times New Roman"/>
                      <w:lang w:val="en-US" w:eastAsia="zh-CN"/>
                    </w:rPr>
                    <w:t>氨氮</w:t>
                  </w:r>
                </w:p>
              </w:tc>
              <w:tc>
                <w:tcPr>
                  <w:tcW w:w="2213" w:type="pct"/>
                  <w:tcBorders>
                    <w:tl2br w:val="nil"/>
                    <w:tr2bl w:val="nil"/>
                  </w:tcBorders>
                  <w:noWrap w:val="0"/>
                  <w:vAlign w:val="center"/>
                </w:tcPr>
                <w:p w14:paraId="116858EC">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lang w:val="en-US" w:eastAsia="zh-CN"/>
                    </w:rPr>
                    <w:t>0.090</w:t>
                  </w:r>
                  <w:r>
                    <w:rPr>
                      <w:rFonts w:hint="default" w:ascii="Times New Roman" w:hAnsi="Times New Roman" w:cs="Times New Roman"/>
                      <w:lang w:val="en-US" w:eastAsia="zh-CN"/>
                    </w:rPr>
                    <w:t>mg/L</w:t>
                  </w:r>
                </w:p>
              </w:tc>
              <w:tc>
                <w:tcPr>
                  <w:tcW w:w="746" w:type="pct"/>
                  <w:tcBorders>
                    <w:tl2br w:val="nil"/>
                    <w:tr2bl w:val="nil"/>
                  </w:tcBorders>
                  <w:noWrap w:val="0"/>
                  <w:vAlign w:val="center"/>
                </w:tcPr>
                <w:p w14:paraId="1AD403CA">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lang w:val="en-US" w:eastAsia="zh-CN"/>
                    </w:rPr>
                    <w:t>0.50</w:t>
                  </w:r>
                  <w:r>
                    <w:rPr>
                      <w:rFonts w:hint="default" w:ascii="Times New Roman" w:hAnsi="Times New Roman" w:cs="Times New Roman"/>
                      <w:lang w:val="en-US" w:eastAsia="zh-CN"/>
                    </w:rPr>
                    <w:t>mg/L</w:t>
                  </w:r>
                </w:p>
              </w:tc>
              <w:tc>
                <w:tcPr>
                  <w:tcW w:w="642" w:type="pct"/>
                  <w:tcBorders>
                    <w:tl2br w:val="nil"/>
                    <w:tr2bl w:val="nil"/>
                  </w:tcBorders>
                  <w:noWrap w:val="0"/>
                  <w:vAlign w:val="center"/>
                </w:tcPr>
                <w:p w14:paraId="0F3D5B54">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否</w:t>
                  </w:r>
                </w:p>
              </w:tc>
            </w:tr>
            <w:tr w14:paraId="338E6E0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74" w:type="pct"/>
                  <w:tcBorders>
                    <w:tl2br w:val="nil"/>
                    <w:tr2bl w:val="nil"/>
                  </w:tcBorders>
                  <w:noWrap w:val="0"/>
                  <w:vAlign w:val="center"/>
                </w:tcPr>
                <w:p w14:paraId="3FF11C15">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color w:val="auto"/>
                      <w:lang w:val="en-US" w:eastAsia="zh-CN"/>
                    </w:rPr>
                  </w:pPr>
                  <w:r>
                    <w:rPr>
                      <w:rFonts w:hint="eastAsia"/>
                      <w:color w:val="auto"/>
                      <w:lang w:val="en-US" w:eastAsia="zh-CN"/>
                    </w:rPr>
                    <w:t>3</w:t>
                  </w:r>
                </w:p>
              </w:tc>
              <w:tc>
                <w:tcPr>
                  <w:tcW w:w="1023" w:type="pct"/>
                  <w:tcBorders>
                    <w:tl2br w:val="nil"/>
                    <w:tr2bl w:val="nil"/>
                  </w:tcBorders>
                  <w:noWrap w:val="0"/>
                  <w:vAlign w:val="center"/>
                </w:tcPr>
                <w:p w14:paraId="39CEF839">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color w:val="auto"/>
                      <w:lang w:val="en-US" w:eastAsia="zh-CN"/>
                    </w:rPr>
                  </w:pPr>
                  <w:r>
                    <w:rPr>
                      <w:rFonts w:hint="eastAsia" w:ascii="Times New Roman" w:hAnsi="Times New Roman" w:cs="Times New Roman"/>
                      <w:color w:val="auto"/>
                      <w:lang w:val="en-US" w:eastAsia="zh-CN"/>
                    </w:rPr>
                    <w:t>钾</w:t>
                  </w:r>
                </w:p>
              </w:tc>
              <w:tc>
                <w:tcPr>
                  <w:tcW w:w="2213" w:type="pct"/>
                  <w:tcBorders>
                    <w:tl2br w:val="nil"/>
                    <w:tr2bl w:val="nil"/>
                  </w:tcBorders>
                  <w:noWrap w:val="0"/>
                  <w:vAlign w:val="center"/>
                </w:tcPr>
                <w:p w14:paraId="52ED5E3B">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color w:val="auto"/>
                      <w:lang w:val="en-US" w:eastAsia="zh-CN"/>
                    </w:rPr>
                  </w:pPr>
                  <w:r>
                    <w:rPr>
                      <w:rFonts w:hint="eastAsia" w:cs="Times New Roman"/>
                      <w:color w:val="auto"/>
                      <w:kern w:val="2"/>
                      <w:sz w:val="21"/>
                      <w:szCs w:val="22"/>
                      <w:lang w:val="en-US" w:eastAsia="zh-CN" w:bidi="ar-SA"/>
                    </w:rPr>
                    <w:t>1.47</w:t>
                  </w:r>
                  <w:r>
                    <w:rPr>
                      <w:rFonts w:hint="eastAsia" w:ascii="Times New Roman" w:hAnsi="Times New Roman" w:cs="Times New Roman"/>
                      <w:color w:val="auto"/>
                      <w:lang w:val="en-US" w:eastAsia="zh-CN"/>
                    </w:rPr>
                    <w:t>mg/L</w:t>
                  </w:r>
                </w:p>
              </w:tc>
              <w:tc>
                <w:tcPr>
                  <w:tcW w:w="746" w:type="pct"/>
                  <w:tcBorders>
                    <w:tl2br w:val="nil"/>
                    <w:tr2bl w:val="nil"/>
                  </w:tcBorders>
                  <w:noWrap w:val="0"/>
                  <w:vAlign w:val="center"/>
                </w:tcPr>
                <w:p w14:paraId="60C936BA">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color w:val="auto"/>
                      <w:lang w:val="en-US" w:eastAsia="zh-CN"/>
                    </w:rPr>
                  </w:pPr>
                  <w:r>
                    <w:rPr>
                      <w:rFonts w:hint="eastAsia"/>
                      <w:color w:val="auto"/>
                      <w:lang w:val="en-US" w:eastAsia="zh-CN"/>
                    </w:rPr>
                    <w:t>/</w:t>
                  </w:r>
                </w:p>
              </w:tc>
              <w:tc>
                <w:tcPr>
                  <w:tcW w:w="642" w:type="pct"/>
                  <w:tcBorders>
                    <w:tl2br w:val="nil"/>
                    <w:tr2bl w:val="nil"/>
                  </w:tcBorders>
                  <w:noWrap w:val="0"/>
                  <w:vAlign w:val="center"/>
                </w:tcPr>
                <w:p w14:paraId="63AFCDA3">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color w:val="auto"/>
                      <w:lang w:val="en-US" w:eastAsia="zh-CN"/>
                    </w:rPr>
                  </w:pPr>
                  <w:r>
                    <w:rPr>
                      <w:rFonts w:hint="eastAsia"/>
                      <w:color w:val="auto"/>
                      <w:lang w:val="en-US" w:eastAsia="zh-CN"/>
                    </w:rPr>
                    <w:t>/</w:t>
                  </w:r>
                </w:p>
              </w:tc>
            </w:tr>
            <w:tr w14:paraId="3E5C8E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74" w:type="pct"/>
                  <w:tcBorders>
                    <w:tl2br w:val="nil"/>
                    <w:tr2bl w:val="nil"/>
                  </w:tcBorders>
                  <w:noWrap w:val="0"/>
                  <w:vAlign w:val="center"/>
                </w:tcPr>
                <w:p w14:paraId="5358FEAE">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4</w:t>
                  </w:r>
                </w:p>
              </w:tc>
              <w:tc>
                <w:tcPr>
                  <w:tcW w:w="1023" w:type="pct"/>
                  <w:tcBorders>
                    <w:tl2br w:val="nil"/>
                    <w:tr2bl w:val="nil"/>
                  </w:tcBorders>
                  <w:noWrap w:val="0"/>
                  <w:vAlign w:val="center"/>
                </w:tcPr>
                <w:p w14:paraId="566E8A2B">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钠</w:t>
                  </w:r>
                </w:p>
              </w:tc>
              <w:tc>
                <w:tcPr>
                  <w:tcW w:w="2213" w:type="pct"/>
                  <w:tcBorders>
                    <w:tl2br w:val="nil"/>
                    <w:tr2bl w:val="nil"/>
                  </w:tcBorders>
                  <w:noWrap w:val="0"/>
                  <w:vAlign w:val="center"/>
                </w:tcPr>
                <w:p w14:paraId="3C6CFCD2">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2"/>
                      <w:sz w:val="21"/>
                      <w:szCs w:val="22"/>
                      <w:lang w:val="en-US" w:eastAsia="zh-CN" w:bidi="ar-SA"/>
                    </w:rPr>
                    <w:t>7.20</w:t>
                  </w:r>
                  <w:r>
                    <w:rPr>
                      <w:rFonts w:hint="eastAsia"/>
                      <w:color w:val="auto"/>
                      <w:lang w:val="en-US" w:eastAsia="zh-CN"/>
                    </w:rPr>
                    <w:t>mg/L</w:t>
                  </w:r>
                </w:p>
              </w:tc>
              <w:tc>
                <w:tcPr>
                  <w:tcW w:w="746" w:type="pct"/>
                  <w:tcBorders>
                    <w:tl2br w:val="nil"/>
                    <w:tr2bl w:val="nil"/>
                  </w:tcBorders>
                  <w:noWrap w:val="0"/>
                  <w:vAlign w:val="center"/>
                </w:tcPr>
                <w:p w14:paraId="3C8ADF9A">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200mg/L</w:t>
                  </w:r>
                </w:p>
              </w:tc>
              <w:tc>
                <w:tcPr>
                  <w:tcW w:w="642" w:type="pct"/>
                  <w:tcBorders>
                    <w:tl2br w:val="nil"/>
                    <w:tr2bl w:val="nil"/>
                  </w:tcBorders>
                  <w:noWrap w:val="0"/>
                  <w:vAlign w:val="center"/>
                </w:tcPr>
                <w:p w14:paraId="6A582F47">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否</w:t>
                  </w:r>
                </w:p>
              </w:tc>
            </w:tr>
            <w:tr w14:paraId="3E2DD54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74" w:type="pct"/>
                  <w:tcBorders>
                    <w:tl2br w:val="nil"/>
                    <w:tr2bl w:val="nil"/>
                  </w:tcBorders>
                  <w:noWrap w:val="0"/>
                  <w:vAlign w:val="center"/>
                </w:tcPr>
                <w:p w14:paraId="6EBC6B96">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5</w:t>
                  </w:r>
                </w:p>
              </w:tc>
              <w:tc>
                <w:tcPr>
                  <w:tcW w:w="1023" w:type="pct"/>
                  <w:tcBorders>
                    <w:tl2br w:val="nil"/>
                    <w:tr2bl w:val="nil"/>
                  </w:tcBorders>
                  <w:noWrap w:val="0"/>
                  <w:vAlign w:val="center"/>
                </w:tcPr>
                <w:p w14:paraId="4B2DF7B2">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钙</w:t>
                  </w:r>
                </w:p>
              </w:tc>
              <w:tc>
                <w:tcPr>
                  <w:tcW w:w="2213" w:type="pct"/>
                  <w:tcBorders>
                    <w:tl2br w:val="nil"/>
                    <w:tr2bl w:val="nil"/>
                  </w:tcBorders>
                  <w:noWrap w:val="0"/>
                  <w:vAlign w:val="center"/>
                </w:tcPr>
                <w:p w14:paraId="7560E7A0">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2"/>
                      <w:sz w:val="21"/>
                      <w:szCs w:val="22"/>
                      <w:lang w:val="en-US" w:eastAsia="zh-CN" w:bidi="ar-SA"/>
                    </w:rPr>
                    <w:t>27.9</w:t>
                  </w:r>
                  <w:r>
                    <w:rPr>
                      <w:rFonts w:hint="eastAsia"/>
                      <w:color w:val="auto"/>
                      <w:lang w:val="en-US" w:eastAsia="zh-CN"/>
                    </w:rPr>
                    <w:t>mg/L</w:t>
                  </w:r>
                </w:p>
              </w:tc>
              <w:tc>
                <w:tcPr>
                  <w:tcW w:w="746" w:type="pct"/>
                  <w:tcBorders>
                    <w:tl2br w:val="nil"/>
                    <w:tr2bl w:val="nil"/>
                  </w:tcBorders>
                  <w:noWrap w:val="0"/>
                  <w:vAlign w:val="center"/>
                </w:tcPr>
                <w:p w14:paraId="3FB0A219">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w:t>
                  </w:r>
                </w:p>
              </w:tc>
              <w:tc>
                <w:tcPr>
                  <w:tcW w:w="642" w:type="pct"/>
                  <w:tcBorders>
                    <w:tl2br w:val="nil"/>
                    <w:tr2bl w:val="nil"/>
                  </w:tcBorders>
                  <w:noWrap w:val="0"/>
                  <w:vAlign w:val="center"/>
                </w:tcPr>
                <w:p w14:paraId="214FF1D8">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w:t>
                  </w:r>
                </w:p>
              </w:tc>
            </w:tr>
            <w:tr w14:paraId="3091837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74" w:type="pct"/>
                  <w:tcBorders>
                    <w:tl2br w:val="nil"/>
                    <w:tr2bl w:val="nil"/>
                  </w:tcBorders>
                  <w:noWrap w:val="0"/>
                  <w:vAlign w:val="center"/>
                </w:tcPr>
                <w:p w14:paraId="191AA538">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6</w:t>
                  </w:r>
                </w:p>
              </w:tc>
              <w:tc>
                <w:tcPr>
                  <w:tcW w:w="1023" w:type="pct"/>
                  <w:tcBorders>
                    <w:tl2br w:val="nil"/>
                    <w:tr2bl w:val="nil"/>
                  </w:tcBorders>
                  <w:noWrap w:val="0"/>
                  <w:vAlign w:val="center"/>
                </w:tcPr>
                <w:p w14:paraId="44371F28">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镁</w:t>
                  </w:r>
                </w:p>
              </w:tc>
              <w:tc>
                <w:tcPr>
                  <w:tcW w:w="2213" w:type="pct"/>
                  <w:tcBorders>
                    <w:tl2br w:val="nil"/>
                    <w:tr2bl w:val="nil"/>
                  </w:tcBorders>
                  <w:noWrap w:val="0"/>
                  <w:vAlign w:val="center"/>
                </w:tcPr>
                <w:p w14:paraId="46EB1D3F">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2"/>
                      <w:sz w:val="21"/>
                      <w:szCs w:val="22"/>
                      <w:lang w:val="en-US" w:eastAsia="zh-CN" w:bidi="ar-SA"/>
                    </w:rPr>
                    <w:t>5.03</w:t>
                  </w:r>
                  <w:r>
                    <w:rPr>
                      <w:rFonts w:hint="eastAsia"/>
                      <w:color w:val="auto"/>
                      <w:lang w:val="en-US" w:eastAsia="zh-CN"/>
                    </w:rPr>
                    <w:t>mg/L</w:t>
                  </w:r>
                </w:p>
              </w:tc>
              <w:tc>
                <w:tcPr>
                  <w:tcW w:w="746" w:type="pct"/>
                  <w:tcBorders>
                    <w:tl2br w:val="nil"/>
                    <w:tr2bl w:val="nil"/>
                  </w:tcBorders>
                  <w:noWrap w:val="0"/>
                  <w:vAlign w:val="center"/>
                </w:tcPr>
                <w:p w14:paraId="7CB8EC80">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w:t>
                  </w:r>
                </w:p>
              </w:tc>
              <w:tc>
                <w:tcPr>
                  <w:tcW w:w="642" w:type="pct"/>
                  <w:tcBorders>
                    <w:tl2br w:val="nil"/>
                    <w:tr2bl w:val="nil"/>
                  </w:tcBorders>
                  <w:noWrap w:val="0"/>
                  <w:vAlign w:val="center"/>
                </w:tcPr>
                <w:p w14:paraId="36AD3B15">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w:t>
                  </w:r>
                </w:p>
              </w:tc>
            </w:tr>
            <w:tr w14:paraId="3D4B695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74" w:type="pct"/>
                  <w:tcBorders>
                    <w:tl2br w:val="nil"/>
                    <w:tr2bl w:val="nil"/>
                  </w:tcBorders>
                  <w:noWrap w:val="0"/>
                  <w:vAlign w:val="center"/>
                </w:tcPr>
                <w:p w14:paraId="3D9C030B">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7</w:t>
                  </w:r>
                </w:p>
              </w:tc>
              <w:tc>
                <w:tcPr>
                  <w:tcW w:w="1023" w:type="pct"/>
                  <w:tcBorders>
                    <w:tl2br w:val="nil"/>
                    <w:tr2bl w:val="nil"/>
                  </w:tcBorders>
                  <w:noWrap w:val="0"/>
                  <w:vAlign w:val="center"/>
                </w:tcPr>
                <w:p w14:paraId="7ED512B7">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碳酸根离子</w:t>
                  </w:r>
                </w:p>
              </w:tc>
              <w:tc>
                <w:tcPr>
                  <w:tcW w:w="2213" w:type="pct"/>
                  <w:tcBorders>
                    <w:tl2br w:val="nil"/>
                    <w:tr2bl w:val="nil"/>
                  </w:tcBorders>
                  <w:noWrap w:val="0"/>
                  <w:vAlign w:val="center"/>
                </w:tcPr>
                <w:p w14:paraId="25DBAC4C">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ND</w:t>
                  </w:r>
                </w:p>
              </w:tc>
              <w:tc>
                <w:tcPr>
                  <w:tcW w:w="746" w:type="pct"/>
                  <w:tcBorders>
                    <w:tl2br w:val="nil"/>
                    <w:tr2bl w:val="nil"/>
                  </w:tcBorders>
                  <w:noWrap w:val="0"/>
                  <w:vAlign w:val="center"/>
                </w:tcPr>
                <w:p w14:paraId="61E88288">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w:t>
                  </w:r>
                </w:p>
              </w:tc>
              <w:tc>
                <w:tcPr>
                  <w:tcW w:w="642" w:type="pct"/>
                  <w:tcBorders>
                    <w:tl2br w:val="nil"/>
                    <w:tr2bl w:val="nil"/>
                  </w:tcBorders>
                  <w:noWrap w:val="0"/>
                  <w:vAlign w:val="center"/>
                </w:tcPr>
                <w:p w14:paraId="532E5DBC">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w:t>
                  </w:r>
                </w:p>
              </w:tc>
            </w:tr>
            <w:tr w14:paraId="41C1A9A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74" w:type="pct"/>
                  <w:tcBorders>
                    <w:tl2br w:val="nil"/>
                    <w:tr2bl w:val="nil"/>
                  </w:tcBorders>
                  <w:noWrap w:val="0"/>
                  <w:vAlign w:val="center"/>
                </w:tcPr>
                <w:p w14:paraId="08FFD108">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8</w:t>
                  </w:r>
                </w:p>
              </w:tc>
              <w:tc>
                <w:tcPr>
                  <w:tcW w:w="1023" w:type="pct"/>
                  <w:tcBorders>
                    <w:tl2br w:val="nil"/>
                    <w:tr2bl w:val="nil"/>
                  </w:tcBorders>
                  <w:noWrap w:val="0"/>
                  <w:vAlign w:val="center"/>
                </w:tcPr>
                <w:p w14:paraId="7A35DDA1">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碳酸氢根离子</w:t>
                  </w:r>
                </w:p>
              </w:tc>
              <w:tc>
                <w:tcPr>
                  <w:tcW w:w="2213" w:type="pct"/>
                  <w:tcBorders>
                    <w:tl2br w:val="nil"/>
                    <w:tr2bl w:val="nil"/>
                  </w:tcBorders>
                  <w:noWrap w:val="0"/>
                  <w:vAlign w:val="center"/>
                </w:tcPr>
                <w:p w14:paraId="1F538309">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lang w:val="en-US" w:eastAsia="zh-CN"/>
                    </w:rPr>
                    <w:t>102</w:t>
                  </w:r>
                  <w:r>
                    <w:rPr>
                      <w:rFonts w:hint="eastAsia"/>
                      <w:color w:val="auto"/>
                      <w:lang w:val="en-US" w:eastAsia="zh-CN"/>
                    </w:rPr>
                    <w:t>mg/L</w:t>
                  </w:r>
                </w:p>
              </w:tc>
              <w:tc>
                <w:tcPr>
                  <w:tcW w:w="746" w:type="pct"/>
                  <w:tcBorders>
                    <w:tl2br w:val="nil"/>
                    <w:tr2bl w:val="nil"/>
                  </w:tcBorders>
                  <w:noWrap w:val="0"/>
                  <w:vAlign w:val="center"/>
                </w:tcPr>
                <w:p w14:paraId="35FCDAA8">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w:t>
                  </w:r>
                </w:p>
              </w:tc>
              <w:tc>
                <w:tcPr>
                  <w:tcW w:w="642" w:type="pct"/>
                  <w:tcBorders>
                    <w:tl2br w:val="nil"/>
                    <w:tr2bl w:val="nil"/>
                  </w:tcBorders>
                  <w:noWrap w:val="0"/>
                  <w:vAlign w:val="center"/>
                </w:tcPr>
                <w:p w14:paraId="0F8A5546">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w:t>
                  </w:r>
                </w:p>
              </w:tc>
            </w:tr>
            <w:tr w14:paraId="7763169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74" w:type="pct"/>
                  <w:tcBorders>
                    <w:tl2br w:val="nil"/>
                    <w:tr2bl w:val="nil"/>
                  </w:tcBorders>
                  <w:noWrap w:val="0"/>
                  <w:vAlign w:val="center"/>
                </w:tcPr>
                <w:p w14:paraId="36AE9A2D">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9</w:t>
                  </w:r>
                </w:p>
              </w:tc>
              <w:tc>
                <w:tcPr>
                  <w:tcW w:w="1023" w:type="pct"/>
                  <w:tcBorders>
                    <w:tl2br w:val="nil"/>
                    <w:tr2bl w:val="nil"/>
                  </w:tcBorders>
                  <w:noWrap w:val="0"/>
                  <w:vAlign w:val="center"/>
                </w:tcPr>
                <w:p w14:paraId="446C68F2">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硝酸盐氮</w:t>
                  </w:r>
                </w:p>
              </w:tc>
              <w:tc>
                <w:tcPr>
                  <w:tcW w:w="2213" w:type="pct"/>
                  <w:tcBorders>
                    <w:tl2br w:val="nil"/>
                    <w:tr2bl w:val="nil"/>
                  </w:tcBorders>
                  <w:noWrap w:val="0"/>
                  <w:vAlign w:val="center"/>
                </w:tcPr>
                <w:p w14:paraId="3C1E0F45">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2"/>
                      <w:sz w:val="21"/>
                      <w:szCs w:val="22"/>
                      <w:lang w:val="en-US" w:eastAsia="zh-CN" w:bidi="ar-SA"/>
                    </w:rPr>
                    <w:t>0.31</w:t>
                  </w:r>
                  <w:r>
                    <w:rPr>
                      <w:rFonts w:hint="eastAsia"/>
                      <w:color w:val="auto"/>
                      <w:lang w:val="en-US" w:eastAsia="zh-CN"/>
                    </w:rPr>
                    <w:t>mg/L</w:t>
                  </w:r>
                </w:p>
              </w:tc>
              <w:tc>
                <w:tcPr>
                  <w:tcW w:w="746" w:type="pct"/>
                  <w:tcBorders>
                    <w:tl2br w:val="nil"/>
                    <w:tr2bl w:val="nil"/>
                  </w:tcBorders>
                  <w:noWrap w:val="0"/>
                  <w:vAlign w:val="center"/>
                </w:tcPr>
                <w:p w14:paraId="7E5A6E2E">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20.0mg/L</w:t>
                  </w:r>
                </w:p>
              </w:tc>
              <w:tc>
                <w:tcPr>
                  <w:tcW w:w="642" w:type="pct"/>
                  <w:tcBorders>
                    <w:tl2br w:val="nil"/>
                    <w:tr2bl w:val="nil"/>
                  </w:tcBorders>
                  <w:noWrap w:val="0"/>
                  <w:vAlign w:val="center"/>
                </w:tcPr>
                <w:p w14:paraId="5E03A732">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否</w:t>
                  </w:r>
                </w:p>
              </w:tc>
            </w:tr>
            <w:tr w14:paraId="3DB271B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74" w:type="pct"/>
                  <w:tcBorders>
                    <w:tl2br w:val="nil"/>
                    <w:tr2bl w:val="nil"/>
                  </w:tcBorders>
                  <w:noWrap w:val="0"/>
                  <w:vAlign w:val="center"/>
                </w:tcPr>
                <w:p w14:paraId="59DA46DB">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10</w:t>
                  </w:r>
                </w:p>
              </w:tc>
              <w:tc>
                <w:tcPr>
                  <w:tcW w:w="1023" w:type="pct"/>
                  <w:tcBorders>
                    <w:tl2br w:val="nil"/>
                    <w:tr2bl w:val="nil"/>
                  </w:tcBorders>
                  <w:noWrap w:val="0"/>
                  <w:vAlign w:val="center"/>
                </w:tcPr>
                <w:p w14:paraId="3209C9F1">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亚硝酸盐氮</w:t>
                  </w:r>
                </w:p>
              </w:tc>
              <w:tc>
                <w:tcPr>
                  <w:tcW w:w="2213" w:type="pct"/>
                  <w:tcBorders>
                    <w:tl2br w:val="nil"/>
                    <w:tr2bl w:val="nil"/>
                  </w:tcBorders>
                  <w:noWrap w:val="0"/>
                  <w:vAlign w:val="center"/>
                </w:tcPr>
                <w:p w14:paraId="0CE50054">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2"/>
                      <w:sz w:val="21"/>
                      <w:szCs w:val="22"/>
                      <w:lang w:val="en-US" w:eastAsia="zh-CN" w:bidi="ar-SA"/>
                    </w:rPr>
                    <w:t>0.014</w:t>
                  </w:r>
                  <w:r>
                    <w:rPr>
                      <w:rFonts w:hint="eastAsia"/>
                      <w:color w:val="auto"/>
                      <w:lang w:val="en-US" w:eastAsia="zh-CN"/>
                    </w:rPr>
                    <w:t>mg/L</w:t>
                  </w:r>
                </w:p>
              </w:tc>
              <w:tc>
                <w:tcPr>
                  <w:tcW w:w="746" w:type="pct"/>
                  <w:tcBorders>
                    <w:tl2br w:val="nil"/>
                    <w:tr2bl w:val="nil"/>
                  </w:tcBorders>
                  <w:noWrap w:val="0"/>
                  <w:vAlign w:val="center"/>
                </w:tcPr>
                <w:p w14:paraId="352FC05C">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1.00mg/L</w:t>
                  </w:r>
                </w:p>
              </w:tc>
              <w:tc>
                <w:tcPr>
                  <w:tcW w:w="642" w:type="pct"/>
                  <w:tcBorders>
                    <w:tl2br w:val="nil"/>
                    <w:tr2bl w:val="nil"/>
                  </w:tcBorders>
                  <w:noWrap w:val="0"/>
                  <w:vAlign w:val="center"/>
                </w:tcPr>
                <w:p w14:paraId="51B3EAE9">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否</w:t>
                  </w:r>
                </w:p>
              </w:tc>
            </w:tr>
            <w:tr w14:paraId="7AA9D7A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74" w:type="pct"/>
                  <w:tcBorders>
                    <w:tl2br w:val="nil"/>
                    <w:tr2bl w:val="nil"/>
                  </w:tcBorders>
                  <w:noWrap w:val="0"/>
                  <w:vAlign w:val="center"/>
                </w:tcPr>
                <w:p w14:paraId="23B423A8">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11</w:t>
                  </w:r>
                </w:p>
              </w:tc>
              <w:tc>
                <w:tcPr>
                  <w:tcW w:w="1023" w:type="pct"/>
                  <w:tcBorders>
                    <w:tl2br w:val="nil"/>
                    <w:tr2bl w:val="nil"/>
                  </w:tcBorders>
                  <w:noWrap w:val="0"/>
                  <w:vAlign w:val="center"/>
                </w:tcPr>
                <w:p w14:paraId="0779CF33">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挥发酚</w:t>
                  </w:r>
                </w:p>
              </w:tc>
              <w:tc>
                <w:tcPr>
                  <w:tcW w:w="2213" w:type="pct"/>
                  <w:tcBorders>
                    <w:tl2br w:val="nil"/>
                    <w:tr2bl w:val="nil"/>
                  </w:tcBorders>
                  <w:noWrap w:val="0"/>
                  <w:vAlign w:val="center"/>
                </w:tcPr>
                <w:p w14:paraId="60A39EB4">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ND</w:t>
                  </w:r>
                </w:p>
              </w:tc>
              <w:tc>
                <w:tcPr>
                  <w:tcW w:w="746" w:type="pct"/>
                  <w:tcBorders>
                    <w:tl2br w:val="nil"/>
                    <w:tr2bl w:val="nil"/>
                  </w:tcBorders>
                  <w:noWrap w:val="0"/>
                  <w:vAlign w:val="center"/>
                </w:tcPr>
                <w:p w14:paraId="281AD8D0">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0.002mg/L</w:t>
                  </w:r>
                </w:p>
              </w:tc>
              <w:tc>
                <w:tcPr>
                  <w:tcW w:w="642" w:type="pct"/>
                  <w:tcBorders>
                    <w:tl2br w:val="nil"/>
                    <w:tr2bl w:val="nil"/>
                  </w:tcBorders>
                  <w:noWrap w:val="0"/>
                  <w:vAlign w:val="center"/>
                </w:tcPr>
                <w:p w14:paraId="02E22D0E">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否</w:t>
                  </w:r>
                </w:p>
              </w:tc>
            </w:tr>
            <w:tr w14:paraId="3F82EB2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74" w:type="pct"/>
                  <w:tcBorders>
                    <w:tl2br w:val="nil"/>
                    <w:tr2bl w:val="nil"/>
                  </w:tcBorders>
                  <w:noWrap w:val="0"/>
                  <w:vAlign w:val="center"/>
                </w:tcPr>
                <w:p w14:paraId="373C725A">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color w:val="auto"/>
                      <w:lang w:val="en-US" w:eastAsia="zh-CN"/>
                    </w:rPr>
                  </w:pPr>
                  <w:r>
                    <w:rPr>
                      <w:rFonts w:hint="eastAsia"/>
                      <w:color w:val="auto"/>
                      <w:lang w:val="en-US" w:eastAsia="zh-CN"/>
                    </w:rPr>
                    <w:t>12</w:t>
                  </w:r>
                </w:p>
              </w:tc>
              <w:tc>
                <w:tcPr>
                  <w:tcW w:w="1023" w:type="pct"/>
                  <w:tcBorders>
                    <w:tl2br w:val="nil"/>
                    <w:tr2bl w:val="nil"/>
                  </w:tcBorders>
                  <w:noWrap w:val="0"/>
                  <w:vAlign w:val="center"/>
                </w:tcPr>
                <w:p w14:paraId="7711C694">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color w:val="auto"/>
                      <w:lang w:val="en-US" w:eastAsia="zh-CN"/>
                    </w:rPr>
                  </w:pPr>
                  <w:r>
                    <w:rPr>
                      <w:rFonts w:hint="eastAsia"/>
                      <w:color w:val="auto"/>
                      <w:lang w:val="en-US" w:eastAsia="zh-CN"/>
                    </w:rPr>
                    <w:t>氰化物</w:t>
                  </w:r>
                </w:p>
              </w:tc>
              <w:tc>
                <w:tcPr>
                  <w:tcW w:w="2213" w:type="pct"/>
                  <w:tcBorders>
                    <w:tl2br w:val="nil"/>
                    <w:tr2bl w:val="nil"/>
                  </w:tcBorders>
                  <w:noWrap w:val="0"/>
                  <w:vAlign w:val="center"/>
                </w:tcPr>
                <w:p w14:paraId="4BA5E18D">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color w:val="auto"/>
                      <w:lang w:val="en-US" w:eastAsia="zh-CN"/>
                    </w:rPr>
                  </w:pPr>
                  <w:r>
                    <w:rPr>
                      <w:rFonts w:hint="eastAsia"/>
                      <w:color w:val="auto"/>
                      <w:lang w:val="en-US" w:eastAsia="zh-CN"/>
                    </w:rPr>
                    <w:t>ND</w:t>
                  </w:r>
                </w:p>
              </w:tc>
              <w:tc>
                <w:tcPr>
                  <w:tcW w:w="746" w:type="pct"/>
                  <w:tcBorders>
                    <w:tl2br w:val="nil"/>
                    <w:tr2bl w:val="nil"/>
                  </w:tcBorders>
                  <w:noWrap w:val="0"/>
                  <w:vAlign w:val="center"/>
                </w:tcPr>
                <w:p w14:paraId="0399A219">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color w:val="auto"/>
                      <w:lang w:val="en-US" w:eastAsia="zh-CN"/>
                    </w:rPr>
                  </w:pPr>
                  <w:r>
                    <w:rPr>
                      <w:rFonts w:hint="eastAsia"/>
                      <w:color w:val="auto"/>
                      <w:lang w:val="en-US" w:eastAsia="zh-CN"/>
                    </w:rPr>
                    <w:t>0.05mg/L</w:t>
                  </w:r>
                </w:p>
              </w:tc>
              <w:tc>
                <w:tcPr>
                  <w:tcW w:w="642" w:type="pct"/>
                  <w:tcBorders>
                    <w:tl2br w:val="nil"/>
                    <w:tr2bl w:val="nil"/>
                  </w:tcBorders>
                  <w:noWrap w:val="0"/>
                  <w:vAlign w:val="center"/>
                </w:tcPr>
                <w:p w14:paraId="7477252C">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color w:val="auto"/>
                      <w:lang w:val="en-US" w:eastAsia="zh-CN"/>
                    </w:rPr>
                  </w:pPr>
                  <w:r>
                    <w:rPr>
                      <w:rFonts w:hint="eastAsia"/>
                      <w:color w:val="auto"/>
                      <w:lang w:val="en-US" w:eastAsia="zh-CN"/>
                    </w:rPr>
                    <w:t>否</w:t>
                  </w:r>
                </w:p>
              </w:tc>
            </w:tr>
            <w:tr w14:paraId="7D6191F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74" w:type="pct"/>
                  <w:tcBorders>
                    <w:tl2br w:val="nil"/>
                    <w:tr2bl w:val="nil"/>
                  </w:tcBorders>
                  <w:noWrap w:val="0"/>
                  <w:vAlign w:val="center"/>
                </w:tcPr>
                <w:p w14:paraId="6D1B57B8">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color w:val="auto"/>
                      <w:lang w:val="en-US" w:eastAsia="zh-CN"/>
                    </w:rPr>
                  </w:pPr>
                  <w:r>
                    <w:rPr>
                      <w:rFonts w:hint="eastAsia"/>
                      <w:color w:val="auto"/>
                      <w:lang w:val="en-US" w:eastAsia="zh-CN"/>
                    </w:rPr>
                    <w:t>13</w:t>
                  </w:r>
                </w:p>
              </w:tc>
              <w:tc>
                <w:tcPr>
                  <w:tcW w:w="1023" w:type="pct"/>
                  <w:tcBorders>
                    <w:tl2br w:val="nil"/>
                    <w:tr2bl w:val="nil"/>
                  </w:tcBorders>
                  <w:noWrap w:val="0"/>
                  <w:vAlign w:val="center"/>
                </w:tcPr>
                <w:p w14:paraId="7EF96016">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color w:val="auto"/>
                      <w:lang w:val="en-US" w:eastAsia="zh-CN"/>
                    </w:rPr>
                  </w:pPr>
                  <w:r>
                    <w:rPr>
                      <w:rFonts w:hint="eastAsia"/>
                      <w:color w:val="auto"/>
                      <w:lang w:val="en-US" w:eastAsia="zh-CN"/>
                    </w:rPr>
                    <w:t>氟化物</w:t>
                  </w:r>
                </w:p>
              </w:tc>
              <w:tc>
                <w:tcPr>
                  <w:tcW w:w="2213" w:type="pct"/>
                  <w:tcBorders>
                    <w:tl2br w:val="nil"/>
                    <w:tr2bl w:val="nil"/>
                  </w:tcBorders>
                  <w:noWrap w:val="0"/>
                  <w:vAlign w:val="center"/>
                </w:tcPr>
                <w:p w14:paraId="0A33A0B1">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color w:val="auto"/>
                      <w:lang w:val="en-US" w:eastAsia="zh-CN"/>
                    </w:rPr>
                  </w:pPr>
                  <w:r>
                    <w:rPr>
                      <w:rFonts w:hint="eastAsia" w:cs="Times New Roman"/>
                      <w:color w:val="auto"/>
                      <w:kern w:val="2"/>
                      <w:sz w:val="21"/>
                      <w:szCs w:val="22"/>
                      <w:lang w:val="en-US" w:eastAsia="zh-CN" w:bidi="ar-SA"/>
                    </w:rPr>
                    <w:t>0.30</w:t>
                  </w:r>
                  <w:r>
                    <w:rPr>
                      <w:rFonts w:hint="eastAsia"/>
                      <w:color w:val="auto"/>
                      <w:lang w:val="en-US" w:eastAsia="zh-CN"/>
                    </w:rPr>
                    <w:t>mg/L</w:t>
                  </w:r>
                </w:p>
              </w:tc>
              <w:tc>
                <w:tcPr>
                  <w:tcW w:w="746" w:type="pct"/>
                  <w:tcBorders>
                    <w:tl2br w:val="nil"/>
                    <w:tr2bl w:val="nil"/>
                  </w:tcBorders>
                  <w:noWrap w:val="0"/>
                  <w:vAlign w:val="center"/>
                </w:tcPr>
                <w:p w14:paraId="6476C8E7">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color w:val="auto"/>
                      <w:lang w:val="en-US" w:eastAsia="zh-CN"/>
                    </w:rPr>
                  </w:pPr>
                  <w:r>
                    <w:rPr>
                      <w:rFonts w:hint="eastAsia"/>
                      <w:color w:val="auto"/>
                      <w:lang w:val="en-US" w:eastAsia="zh-CN"/>
                    </w:rPr>
                    <w:t>1.0mg/L</w:t>
                  </w:r>
                </w:p>
              </w:tc>
              <w:tc>
                <w:tcPr>
                  <w:tcW w:w="642" w:type="pct"/>
                  <w:tcBorders>
                    <w:tl2br w:val="nil"/>
                    <w:tr2bl w:val="nil"/>
                  </w:tcBorders>
                  <w:noWrap w:val="0"/>
                  <w:vAlign w:val="center"/>
                </w:tcPr>
                <w:p w14:paraId="02EC8C1D">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color w:val="auto"/>
                      <w:lang w:val="en-US" w:eastAsia="zh-CN"/>
                    </w:rPr>
                  </w:pPr>
                  <w:r>
                    <w:rPr>
                      <w:rFonts w:hint="eastAsia"/>
                      <w:color w:val="auto"/>
                      <w:lang w:val="en-US" w:eastAsia="zh-CN"/>
                    </w:rPr>
                    <w:t>否</w:t>
                  </w:r>
                </w:p>
              </w:tc>
            </w:tr>
            <w:tr w14:paraId="6C9A40F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74" w:type="pct"/>
                  <w:tcBorders>
                    <w:tl2br w:val="nil"/>
                    <w:tr2bl w:val="nil"/>
                  </w:tcBorders>
                  <w:noWrap w:val="0"/>
                  <w:vAlign w:val="center"/>
                </w:tcPr>
                <w:p w14:paraId="3386C9B6">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14</w:t>
                  </w:r>
                </w:p>
              </w:tc>
              <w:tc>
                <w:tcPr>
                  <w:tcW w:w="1023" w:type="pct"/>
                  <w:tcBorders>
                    <w:tl2br w:val="nil"/>
                    <w:tr2bl w:val="nil"/>
                  </w:tcBorders>
                  <w:noWrap w:val="0"/>
                  <w:vAlign w:val="center"/>
                </w:tcPr>
                <w:p w14:paraId="58DCDB41">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硫酸根离子</w:t>
                  </w:r>
                </w:p>
              </w:tc>
              <w:tc>
                <w:tcPr>
                  <w:tcW w:w="2213" w:type="pct"/>
                  <w:tcBorders>
                    <w:tl2br w:val="nil"/>
                    <w:tr2bl w:val="nil"/>
                  </w:tcBorders>
                  <w:noWrap w:val="0"/>
                  <w:vAlign w:val="center"/>
                </w:tcPr>
                <w:p w14:paraId="7AF492E2">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2"/>
                      <w:sz w:val="21"/>
                      <w:szCs w:val="22"/>
                      <w:lang w:val="en-US" w:eastAsia="zh-CN" w:bidi="ar-SA"/>
                    </w:rPr>
                    <w:t>12.0</w:t>
                  </w:r>
                  <w:r>
                    <w:rPr>
                      <w:rFonts w:hint="eastAsia"/>
                      <w:color w:val="auto"/>
                      <w:lang w:val="en-US" w:eastAsia="zh-CN"/>
                    </w:rPr>
                    <w:t>mg/L</w:t>
                  </w:r>
                </w:p>
              </w:tc>
              <w:tc>
                <w:tcPr>
                  <w:tcW w:w="746" w:type="pct"/>
                  <w:tcBorders>
                    <w:tl2br w:val="nil"/>
                    <w:tr2bl w:val="nil"/>
                  </w:tcBorders>
                  <w:noWrap w:val="0"/>
                  <w:vAlign w:val="center"/>
                </w:tcPr>
                <w:p w14:paraId="25DE2F2D">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250mg/L</w:t>
                  </w:r>
                </w:p>
              </w:tc>
              <w:tc>
                <w:tcPr>
                  <w:tcW w:w="642" w:type="pct"/>
                  <w:tcBorders>
                    <w:tl2br w:val="nil"/>
                    <w:tr2bl w:val="nil"/>
                  </w:tcBorders>
                  <w:noWrap w:val="0"/>
                  <w:vAlign w:val="center"/>
                </w:tcPr>
                <w:p w14:paraId="38E7F483">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否</w:t>
                  </w:r>
                </w:p>
              </w:tc>
            </w:tr>
            <w:tr w14:paraId="70346C5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74" w:type="pct"/>
                  <w:tcBorders>
                    <w:tl2br w:val="nil"/>
                    <w:tr2bl w:val="nil"/>
                  </w:tcBorders>
                  <w:noWrap w:val="0"/>
                  <w:vAlign w:val="center"/>
                </w:tcPr>
                <w:p w14:paraId="2C6E71AC">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15</w:t>
                  </w:r>
                </w:p>
              </w:tc>
              <w:tc>
                <w:tcPr>
                  <w:tcW w:w="1023" w:type="pct"/>
                  <w:tcBorders>
                    <w:tl2br w:val="nil"/>
                    <w:tr2bl w:val="nil"/>
                  </w:tcBorders>
                  <w:noWrap w:val="0"/>
                  <w:vAlign w:val="center"/>
                </w:tcPr>
                <w:p w14:paraId="188CD4E1">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氯离子</w:t>
                  </w:r>
                </w:p>
              </w:tc>
              <w:tc>
                <w:tcPr>
                  <w:tcW w:w="2213" w:type="pct"/>
                  <w:tcBorders>
                    <w:tl2br w:val="nil"/>
                    <w:tr2bl w:val="nil"/>
                  </w:tcBorders>
                  <w:noWrap w:val="0"/>
                  <w:vAlign w:val="center"/>
                </w:tcPr>
                <w:p w14:paraId="168625B4">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2"/>
                      <w:sz w:val="21"/>
                      <w:szCs w:val="22"/>
                      <w:lang w:val="en-US" w:eastAsia="zh-CN" w:bidi="ar-SA"/>
                    </w:rPr>
                    <w:t>6.24</w:t>
                  </w:r>
                  <w:r>
                    <w:rPr>
                      <w:rFonts w:hint="eastAsia"/>
                      <w:color w:val="auto"/>
                      <w:lang w:val="en-US" w:eastAsia="zh-CN"/>
                    </w:rPr>
                    <w:t>mg/L</w:t>
                  </w:r>
                </w:p>
              </w:tc>
              <w:tc>
                <w:tcPr>
                  <w:tcW w:w="746" w:type="pct"/>
                  <w:tcBorders>
                    <w:tl2br w:val="nil"/>
                    <w:tr2bl w:val="nil"/>
                  </w:tcBorders>
                  <w:noWrap w:val="0"/>
                  <w:vAlign w:val="center"/>
                </w:tcPr>
                <w:p w14:paraId="0AF90597">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250mg/L</w:t>
                  </w:r>
                </w:p>
              </w:tc>
              <w:tc>
                <w:tcPr>
                  <w:tcW w:w="642" w:type="pct"/>
                  <w:tcBorders>
                    <w:tl2br w:val="nil"/>
                    <w:tr2bl w:val="nil"/>
                  </w:tcBorders>
                  <w:noWrap w:val="0"/>
                  <w:vAlign w:val="center"/>
                </w:tcPr>
                <w:p w14:paraId="6EE4BE76">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否</w:t>
                  </w:r>
                </w:p>
              </w:tc>
            </w:tr>
            <w:tr w14:paraId="3361404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74" w:type="pct"/>
                  <w:tcBorders>
                    <w:tl2br w:val="nil"/>
                    <w:tr2bl w:val="nil"/>
                  </w:tcBorders>
                  <w:noWrap w:val="0"/>
                  <w:vAlign w:val="center"/>
                </w:tcPr>
                <w:p w14:paraId="29D3C223">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16</w:t>
                  </w:r>
                </w:p>
              </w:tc>
              <w:tc>
                <w:tcPr>
                  <w:tcW w:w="1023" w:type="pct"/>
                  <w:tcBorders>
                    <w:tl2br w:val="nil"/>
                    <w:tr2bl w:val="nil"/>
                  </w:tcBorders>
                  <w:noWrap w:val="0"/>
                  <w:vAlign w:val="center"/>
                </w:tcPr>
                <w:p w14:paraId="074624E5">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砷</w:t>
                  </w:r>
                </w:p>
              </w:tc>
              <w:tc>
                <w:tcPr>
                  <w:tcW w:w="2213" w:type="pct"/>
                  <w:tcBorders>
                    <w:tl2br w:val="nil"/>
                    <w:tr2bl w:val="nil"/>
                  </w:tcBorders>
                  <w:noWrap w:val="0"/>
                  <w:vAlign w:val="center"/>
                </w:tcPr>
                <w:p w14:paraId="0F453425">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2"/>
                      <w:sz w:val="21"/>
                      <w:szCs w:val="22"/>
                      <w:highlight w:val="none"/>
                      <w:lang w:val="en-US" w:eastAsia="zh-CN" w:bidi="ar-SA"/>
                    </w:rPr>
                    <w:t>1.0</w:t>
                  </w:r>
                  <w:r>
                    <w:rPr>
                      <w:rFonts w:hint="default" w:ascii="Times New Roman" w:hAnsi="Times New Roman" w:cs="Times New Roman"/>
                      <w:lang w:val="en-US" w:eastAsia="zh-CN"/>
                    </w:rPr>
                    <w:t>μg/</w:t>
                  </w:r>
                  <w:r>
                    <w:rPr>
                      <w:rFonts w:hint="eastAsia" w:ascii="Times New Roman" w:hAnsi="Times New Roman" w:cs="Times New Roman"/>
                      <w:lang w:val="en-US" w:eastAsia="zh-CN"/>
                    </w:rPr>
                    <w:t>L</w:t>
                  </w:r>
                </w:p>
              </w:tc>
              <w:tc>
                <w:tcPr>
                  <w:tcW w:w="746" w:type="pct"/>
                  <w:tcBorders>
                    <w:tl2br w:val="nil"/>
                    <w:tr2bl w:val="nil"/>
                  </w:tcBorders>
                  <w:noWrap w:val="0"/>
                  <w:vAlign w:val="center"/>
                </w:tcPr>
                <w:p w14:paraId="0AE11220">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0.01mg/L</w:t>
                  </w:r>
                </w:p>
              </w:tc>
              <w:tc>
                <w:tcPr>
                  <w:tcW w:w="642" w:type="pct"/>
                  <w:tcBorders>
                    <w:tl2br w:val="nil"/>
                    <w:tr2bl w:val="nil"/>
                  </w:tcBorders>
                  <w:noWrap w:val="0"/>
                  <w:vAlign w:val="center"/>
                </w:tcPr>
                <w:p w14:paraId="1DB1C867">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否</w:t>
                  </w:r>
                </w:p>
              </w:tc>
            </w:tr>
            <w:tr w14:paraId="4AF6BD0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74" w:type="pct"/>
                  <w:tcBorders>
                    <w:tl2br w:val="nil"/>
                    <w:tr2bl w:val="nil"/>
                  </w:tcBorders>
                  <w:noWrap w:val="0"/>
                  <w:vAlign w:val="center"/>
                </w:tcPr>
                <w:p w14:paraId="2620A4B4">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17</w:t>
                  </w:r>
                </w:p>
              </w:tc>
              <w:tc>
                <w:tcPr>
                  <w:tcW w:w="1023" w:type="pct"/>
                  <w:tcBorders>
                    <w:tl2br w:val="nil"/>
                    <w:tr2bl w:val="nil"/>
                  </w:tcBorders>
                  <w:noWrap w:val="0"/>
                  <w:vAlign w:val="center"/>
                </w:tcPr>
                <w:p w14:paraId="6062D3F9">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汞</w:t>
                  </w:r>
                </w:p>
              </w:tc>
              <w:tc>
                <w:tcPr>
                  <w:tcW w:w="2213" w:type="pct"/>
                  <w:tcBorders>
                    <w:tl2br w:val="nil"/>
                    <w:tr2bl w:val="nil"/>
                  </w:tcBorders>
                  <w:noWrap w:val="0"/>
                  <w:vAlign w:val="center"/>
                </w:tcPr>
                <w:p w14:paraId="21332A34">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2"/>
                      <w:sz w:val="21"/>
                      <w:szCs w:val="22"/>
                      <w:lang w:val="en-US" w:eastAsia="zh-CN" w:bidi="ar-SA"/>
                    </w:rPr>
                    <w:t>0.92</w:t>
                  </w:r>
                  <w:r>
                    <w:rPr>
                      <w:rFonts w:hint="default" w:ascii="Times New Roman" w:hAnsi="Times New Roman" w:cs="Times New Roman"/>
                      <w:lang w:val="en-US" w:eastAsia="zh-CN"/>
                    </w:rPr>
                    <w:t>μg/</w:t>
                  </w:r>
                  <w:r>
                    <w:rPr>
                      <w:rFonts w:hint="eastAsia" w:ascii="Times New Roman" w:hAnsi="Times New Roman" w:cs="Times New Roman"/>
                      <w:lang w:val="en-US" w:eastAsia="zh-CN"/>
                    </w:rPr>
                    <w:t>L</w:t>
                  </w:r>
                </w:p>
              </w:tc>
              <w:tc>
                <w:tcPr>
                  <w:tcW w:w="746" w:type="pct"/>
                  <w:tcBorders>
                    <w:tl2br w:val="nil"/>
                    <w:tr2bl w:val="nil"/>
                  </w:tcBorders>
                  <w:noWrap w:val="0"/>
                  <w:vAlign w:val="center"/>
                </w:tcPr>
                <w:p w14:paraId="067AFFC0">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0.001mg/L</w:t>
                  </w:r>
                </w:p>
              </w:tc>
              <w:tc>
                <w:tcPr>
                  <w:tcW w:w="642" w:type="pct"/>
                  <w:tcBorders>
                    <w:tl2br w:val="nil"/>
                    <w:tr2bl w:val="nil"/>
                  </w:tcBorders>
                  <w:noWrap w:val="0"/>
                  <w:vAlign w:val="center"/>
                </w:tcPr>
                <w:p w14:paraId="63E9450F">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否</w:t>
                  </w:r>
                </w:p>
              </w:tc>
            </w:tr>
            <w:tr w14:paraId="7941E28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74" w:type="pct"/>
                  <w:tcBorders>
                    <w:tl2br w:val="nil"/>
                    <w:tr2bl w:val="nil"/>
                  </w:tcBorders>
                  <w:noWrap w:val="0"/>
                  <w:vAlign w:val="center"/>
                </w:tcPr>
                <w:p w14:paraId="436961DD">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18</w:t>
                  </w:r>
                </w:p>
              </w:tc>
              <w:tc>
                <w:tcPr>
                  <w:tcW w:w="1023" w:type="pct"/>
                  <w:tcBorders>
                    <w:tl2br w:val="nil"/>
                    <w:tr2bl w:val="nil"/>
                  </w:tcBorders>
                  <w:noWrap w:val="0"/>
                  <w:vAlign w:val="center"/>
                </w:tcPr>
                <w:p w14:paraId="2ED8E907">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六价铬</w:t>
                  </w:r>
                </w:p>
              </w:tc>
              <w:tc>
                <w:tcPr>
                  <w:tcW w:w="2213" w:type="pct"/>
                  <w:tcBorders>
                    <w:tl2br w:val="nil"/>
                    <w:tr2bl w:val="nil"/>
                  </w:tcBorders>
                  <w:noWrap w:val="0"/>
                  <w:vAlign w:val="center"/>
                </w:tcPr>
                <w:p w14:paraId="0731FB0C">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ND</w:t>
                  </w:r>
                </w:p>
              </w:tc>
              <w:tc>
                <w:tcPr>
                  <w:tcW w:w="746" w:type="pct"/>
                  <w:tcBorders>
                    <w:tl2br w:val="nil"/>
                    <w:tr2bl w:val="nil"/>
                  </w:tcBorders>
                  <w:noWrap w:val="0"/>
                  <w:vAlign w:val="center"/>
                </w:tcPr>
                <w:p w14:paraId="1FE3BA21">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0.05mg/L</w:t>
                  </w:r>
                </w:p>
              </w:tc>
              <w:tc>
                <w:tcPr>
                  <w:tcW w:w="642" w:type="pct"/>
                  <w:tcBorders>
                    <w:tl2br w:val="nil"/>
                    <w:tr2bl w:val="nil"/>
                  </w:tcBorders>
                  <w:noWrap w:val="0"/>
                  <w:vAlign w:val="center"/>
                </w:tcPr>
                <w:p w14:paraId="306125B6">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否</w:t>
                  </w:r>
                </w:p>
              </w:tc>
            </w:tr>
            <w:tr w14:paraId="512A6D4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74" w:type="pct"/>
                  <w:tcBorders>
                    <w:tl2br w:val="nil"/>
                    <w:tr2bl w:val="nil"/>
                  </w:tcBorders>
                  <w:noWrap w:val="0"/>
                  <w:vAlign w:val="center"/>
                </w:tcPr>
                <w:p w14:paraId="3DBC4FC4">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19</w:t>
                  </w:r>
                </w:p>
              </w:tc>
              <w:tc>
                <w:tcPr>
                  <w:tcW w:w="1023" w:type="pct"/>
                  <w:tcBorders>
                    <w:tl2br w:val="nil"/>
                    <w:tr2bl w:val="nil"/>
                  </w:tcBorders>
                  <w:noWrap w:val="0"/>
                  <w:vAlign w:val="center"/>
                </w:tcPr>
                <w:p w14:paraId="677C7BA5">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铅</w:t>
                  </w:r>
                </w:p>
              </w:tc>
              <w:tc>
                <w:tcPr>
                  <w:tcW w:w="2213" w:type="pct"/>
                  <w:tcBorders>
                    <w:tl2br w:val="nil"/>
                    <w:tr2bl w:val="nil"/>
                  </w:tcBorders>
                  <w:noWrap w:val="0"/>
                  <w:vAlign w:val="center"/>
                </w:tcPr>
                <w:p w14:paraId="44079946">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2"/>
                      <w:sz w:val="21"/>
                      <w:szCs w:val="22"/>
                      <w:lang w:val="en-US" w:eastAsia="zh-CN" w:bidi="ar-SA"/>
                    </w:rPr>
                    <w:t>ND</w:t>
                  </w:r>
                </w:p>
              </w:tc>
              <w:tc>
                <w:tcPr>
                  <w:tcW w:w="746" w:type="pct"/>
                  <w:tcBorders>
                    <w:tl2br w:val="nil"/>
                    <w:tr2bl w:val="nil"/>
                  </w:tcBorders>
                  <w:noWrap w:val="0"/>
                  <w:vAlign w:val="center"/>
                </w:tcPr>
                <w:p w14:paraId="08887052">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0.01mg/L</w:t>
                  </w:r>
                </w:p>
              </w:tc>
              <w:tc>
                <w:tcPr>
                  <w:tcW w:w="642" w:type="pct"/>
                  <w:tcBorders>
                    <w:tl2br w:val="nil"/>
                    <w:tr2bl w:val="nil"/>
                  </w:tcBorders>
                  <w:noWrap w:val="0"/>
                  <w:vAlign w:val="center"/>
                </w:tcPr>
                <w:p w14:paraId="0C4FD4FA">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否</w:t>
                  </w:r>
                </w:p>
              </w:tc>
            </w:tr>
            <w:tr w14:paraId="196BF8E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74" w:type="pct"/>
                  <w:tcBorders>
                    <w:tl2br w:val="nil"/>
                    <w:tr2bl w:val="nil"/>
                  </w:tcBorders>
                  <w:noWrap w:val="0"/>
                  <w:vAlign w:val="center"/>
                </w:tcPr>
                <w:p w14:paraId="0424E0BD">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20</w:t>
                  </w:r>
                </w:p>
              </w:tc>
              <w:tc>
                <w:tcPr>
                  <w:tcW w:w="1023" w:type="pct"/>
                  <w:tcBorders>
                    <w:tl2br w:val="nil"/>
                    <w:tr2bl w:val="nil"/>
                  </w:tcBorders>
                  <w:noWrap w:val="0"/>
                  <w:vAlign w:val="center"/>
                </w:tcPr>
                <w:p w14:paraId="792D8666">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镉</w:t>
                  </w:r>
                </w:p>
              </w:tc>
              <w:tc>
                <w:tcPr>
                  <w:tcW w:w="2213" w:type="pct"/>
                  <w:tcBorders>
                    <w:tl2br w:val="nil"/>
                    <w:tr2bl w:val="nil"/>
                  </w:tcBorders>
                  <w:noWrap w:val="0"/>
                  <w:vAlign w:val="center"/>
                </w:tcPr>
                <w:p w14:paraId="60C3AC4D">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2"/>
                      <w:sz w:val="21"/>
                      <w:szCs w:val="22"/>
                      <w:lang w:val="en-US" w:eastAsia="zh-CN" w:bidi="ar-SA"/>
                    </w:rPr>
                    <w:t>0.25μg/L</w:t>
                  </w:r>
                </w:p>
              </w:tc>
              <w:tc>
                <w:tcPr>
                  <w:tcW w:w="746" w:type="pct"/>
                  <w:tcBorders>
                    <w:tl2br w:val="nil"/>
                    <w:tr2bl w:val="nil"/>
                  </w:tcBorders>
                  <w:noWrap w:val="0"/>
                  <w:vAlign w:val="center"/>
                </w:tcPr>
                <w:p w14:paraId="078A8355">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0.005mg/L</w:t>
                  </w:r>
                </w:p>
              </w:tc>
              <w:tc>
                <w:tcPr>
                  <w:tcW w:w="642" w:type="pct"/>
                  <w:tcBorders>
                    <w:tl2br w:val="nil"/>
                    <w:tr2bl w:val="nil"/>
                  </w:tcBorders>
                  <w:noWrap w:val="0"/>
                  <w:vAlign w:val="center"/>
                </w:tcPr>
                <w:p w14:paraId="1230BF6C">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否</w:t>
                  </w:r>
                </w:p>
              </w:tc>
            </w:tr>
            <w:tr w14:paraId="71197CB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74" w:type="pct"/>
                  <w:tcBorders>
                    <w:tl2br w:val="nil"/>
                    <w:tr2bl w:val="nil"/>
                  </w:tcBorders>
                  <w:noWrap w:val="0"/>
                  <w:vAlign w:val="center"/>
                </w:tcPr>
                <w:p w14:paraId="224D239D">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21</w:t>
                  </w:r>
                </w:p>
              </w:tc>
              <w:tc>
                <w:tcPr>
                  <w:tcW w:w="1023" w:type="pct"/>
                  <w:tcBorders>
                    <w:tl2br w:val="nil"/>
                    <w:tr2bl w:val="nil"/>
                  </w:tcBorders>
                  <w:noWrap w:val="0"/>
                  <w:vAlign w:val="center"/>
                </w:tcPr>
                <w:p w14:paraId="6089AF64">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锰</w:t>
                  </w:r>
                </w:p>
              </w:tc>
              <w:tc>
                <w:tcPr>
                  <w:tcW w:w="2213" w:type="pct"/>
                  <w:tcBorders>
                    <w:tl2br w:val="nil"/>
                    <w:tr2bl w:val="nil"/>
                  </w:tcBorders>
                  <w:noWrap w:val="0"/>
                  <w:vAlign w:val="center"/>
                </w:tcPr>
                <w:p w14:paraId="5663029C">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2"/>
                      <w:sz w:val="21"/>
                      <w:szCs w:val="22"/>
                      <w:lang w:val="en-US" w:eastAsia="zh-CN" w:bidi="ar-SA"/>
                    </w:rPr>
                    <w:t>ND</w:t>
                  </w:r>
                </w:p>
              </w:tc>
              <w:tc>
                <w:tcPr>
                  <w:tcW w:w="746" w:type="pct"/>
                  <w:tcBorders>
                    <w:tl2br w:val="nil"/>
                    <w:tr2bl w:val="nil"/>
                  </w:tcBorders>
                  <w:noWrap w:val="0"/>
                  <w:vAlign w:val="center"/>
                </w:tcPr>
                <w:p w14:paraId="52041485">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0.10mg/L</w:t>
                  </w:r>
                </w:p>
              </w:tc>
              <w:tc>
                <w:tcPr>
                  <w:tcW w:w="642" w:type="pct"/>
                  <w:tcBorders>
                    <w:tl2br w:val="nil"/>
                    <w:tr2bl w:val="nil"/>
                  </w:tcBorders>
                  <w:noWrap w:val="0"/>
                  <w:vAlign w:val="center"/>
                </w:tcPr>
                <w:p w14:paraId="1E0D2F57">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否</w:t>
                  </w:r>
                </w:p>
              </w:tc>
            </w:tr>
            <w:tr w14:paraId="0C0C909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74" w:type="pct"/>
                  <w:tcBorders>
                    <w:tl2br w:val="nil"/>
                    <w:tr2bl w:val="nil"/>
                  </w:tcBorders>
                  <w:noWrap w:val="0"/>
                  <w:vAlign w:val="center"/>
                </w:tcPr>
                <w:p w14:paraId="21313EF2">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color w:val="auto"/>
                      <w:lang w:val="en-US" w:eastAsia="zh-CN"/>
                    </w:rPr>
                  </w:pPr>
                  <w:r>
                    <w:rPr>
                      <w:rFonts w:hint="eastAsia"/>
                      <w:color w:val="auto"/>
                      <w:lang w:val="en-US" w:eastAsia="zh-CN"/>
                    </w:rPr>
                    <w:t>22</w:t>
                  </w:r>
                </w:p>
              </w:tc>
              <w:tc>
                <w:tcPr>
                  <w:tcW w:w="1023" w:type="pct"/>
                  <w:tcBorders>
                    <w:tl2br w:val="nil"/>
                    <w:tr2bl w:val="nil"/>
                  </w:tcBorders>
                  <w:noWrap w:val="0"/>
                  <w:vAlign w:val="center"/>
                </w:tcPr>
                <w:p w14:paraId="49CE8BAC">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color w:val="auto"/>
                      <w:lang w:val="en-US" w:eastAsia="zh-CN"/>
                    </w:rPr>
                  </w:pPr>
                  <w:r>
                    <w:rPr>
                      <w:rFonts w:hint="eastAsia"/>
                      <w:color w:val="auto"/>
                      <w:lang w:val="en-US" w:eastAsia="zh-CN"/>
                    </w:rPr>
                    <w:t>铁</w:t>
                  </w:r>
                </w:p>
              </w:tc>
              <w:tc>
                <w:tcPr>
                  <w:tcW w:w="2213" w:type="pct"/>
                  <w:tcBorders>
                    <w:tl2br w:val="nil"/>
                    <w:tr2bl w:val="nil"/>
                  </w:tcBorders>
                  <w:noWrap w:val="0"/>
                  <w:vAlign w:val="center"/>
                </w:tcPr>
                <w:p w14:paraId="2C5E60B5">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color w:val="auto"/>
                      <w:lang w:val="en-US" w:eastAsia="zh-CN"/>
                    </w:rPr>
                  </w:pPr>
                  <w:r>
                    <w:rPr>
                      <w:rFonts w:hint="eastAsia"/>
                      <w:color w:val="auto"/>
                      <w:lang w:val="en-US" w:eastAsia="zh-CN"/>
                    </w:rPr>
                    <w:t>0.16mg/L</w:t>
                  </w:r>
                </w:p>
              </w:tc>
              <w:tc>
                <w:tcPr>
                  <w:tcW w:w="746" w:type="pct"/>
                  <w:tcBorders>
                    <w:tl2br w:val="nil"/>
                    <w:tr2bl w:val="nil"/>
                  </w:tcBorders>
                  <w:noWrap w:val="0"/>
                  <w:vAlign w:val="center"/>
                </w:tcPr>
                <w:p w14:paraId="6A95195C">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color w:val="auto"/>
                      <w:lang w:val="en-US" w:eastAsia="zh-CN"/>
                    </w:rPr>
                  </w:pPr>
                  <w:r>
                    <w:rPr>
                      <w:rFonts w:hint="eastAsia"/>
                      <w:color w:val="auto"/>
                      <w:lang w:val="en-US" w:eastAsia="zh-CN"/>
                    </w:rPr>
                    <w:t>0.3mg/L</w:t>
                  </w:r>
                </w:p>
              </w:tc>
              <w:tc>
                <w:tcPr>
                  <w:tcW w:w="642" w:type="pct"/>
                  <w:tcBorders>
                    <w:tl2br w:val="nil"/>
                    <w:tr2bl w:val="nil"/>
                  </w:tcBorders>
                  <w:noWrap w:val="0"/>
                  <w:vAlign w:val="center"/>
                </w:tcPr>
                <w:p w14:paraId="78404BD7">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color w:val="auto"/>
                      <w:lang w:val="en-US" w:eastAsia="zh-CN"/>
                    </w:rPr>
                  </w:pPr>
                  <w:r>
                    <w:rPr>
                      <w:rFonts w:hint="eastAsia"/>
                      <w:color w:val="auto"/>
                      <w:lang w:val="en-US" w:eastAsia="zh-CN"/>
                    </w:rPr>
                    <w:t>否</w:t>
                  </w:r>
                </w:p>
              </w:tc>
            </w:tr>
            <w:tr w14:paraId="375C2F4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74" w:type="pct"/>
                  <w:tcBorders>
                    <w:tl2br w:val="nil"/>
                    <w:tr2bl w:val="nil"/>
                  </w:tcBorders>
                  <w:noWrap w:val="0"/>
                  <w:vAlign w:val="center"/>
                </w:tcPr>
                <w:p w14:paraId="09BB500C">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23</w:t>
                  </w:r>
                </w:p>
              </w:tc>
              <w:tc>
                <w:tcPr>
                  <w:tcW w:w="1023" w:type="pct"/>
                  <w:tcBorders>
                    <w:tl2br w:val="nil"/>
                    <w:tr2bl w:val="nil"/>
                  </w:tcBorders>
                  <w:noWrap w:val="0"/>
                  <w:vAlign w:val="center"/>
                </w:tcPr>
                <w:p w14:paraId="1616A510">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铜</w:t>
                  </w:r>
                </w:p>
              </w:tc>
              <w:tc>
                <w:tcPr>
                  <w:tcW w:w="2213" w:type="pct"/>
                  <w:tcBorders>
                    <w:tl2br w:val="nil"/>
                    <w:tr2bl w:val="nil"/>
                  </w:tcBorders>
                  <w:noWrap w:val="0"/>
                  <w:vAlign w:val="center"/>
                </w:tcPr>
                <w:p w14:paraId="4FB0CF6E">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ND</w:t>
                  </w:r>
                </w:p>
              </w:tc>
              <w:tc>
                <w:tcPr>
                  <w:tcW w:w="746" w:type="pct"/>
                  <w:tcBorders>
                    <w:tl2br w:val="nil"/>
                    <w:tr2bl w:val="nil"/>
                  </w:tcBorders>
                  <w:noWrap w:val="0"/>
                  <w:vAlign w:val="center"/>
                </w:tcPr>
                <w:p w14:paraId="04FBEEB9">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1.00mg/L</w:t>
                  </w:r>
                </w:p>
              </w:tc>
              <w:tc>
                <w:tcPr>
                  <w:tcW w:w="642" w:type="pct"/>
                  <w:tcBorders>
                    <w:tl2br w:val="nil"/>
                    <w:tr2bl w:val="nil"/>
                  </w:tcBorders>
                  <w:noWrap w:val="0"/>
                  <w:vAlign w:val="center"/>
                </w:tcPr>
                <w:p w14:paraId="7D61D857">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否</w:t>
                  </w:r>
                </w:p>
              </w:tc>
            </w:tr>
            <w:tr w14:paraId="3EEFAFC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74" w:type="pct"/>
                  <w:tcBorders>
                    <w:tl2br w:val="nil"/>
                    <w:tr2bl w:val="nil"/>
                  </w:tcBorders>
                  <w:noWrap w:val="0"/>
                  <w:vAlign w:val="center"/>
                </w:tcPr>
                <w:p w14:paraId="3A1476B7">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24</w:t>
                  </w:r>
                </w:p>
              </w:tc>
              <w:tc>
                <w:tcPr>
                  <w:tcW w:w="1023" w:type="pct"/>
                  <w:tcBorders>
                    <w:tl2br w:val="nil"/>
                    <w:tr2bl w:val="nil"/>
                  </w:tcBorders>
                  <w:noWrap w:val="0"/>
                  <w:vAlign w:val="center"/>
                </w:tcPr>
                <w:p w14:paraId="002C8F39">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锌</w:t>
                  </w:r>
                </w:p>
              </w:tc>
              <w:tc>
                <w:tcPr>
                  <w:tcW w:w="2213" w:type="pct"/>
                  <w:tcBorders>
                    <w:tl2br w:val="nil"/>
                    <w:tr2bl w:val="nil"/>
                  </w:tcBorders>
                  <w:noWrap w:val="0"/>
                  <w:vAlign w:val="center"/>
                </w:tcPr>
                <w:p w14:paraId="7F1CC8B0">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2"/>
                      <w:sz w:val="21"/>
                      <w:szCs w:val="22"/>
                      <w:lang w:val="en-US" w:eastAsia="zh-CN" w:bidi="ar-SA"/>
                    </w:rPr>
                    <w:t>0.06</w:t>
                  </w:r>
                  <w:r>
                    <w:rPr>
                      <w:rFonts w:hint="eastAsia"/>
                      <w:color w:val="auto"/>
                      <w:lang w:val="en-US" w:eastAsia="zh-CN"/>
                    </w:rPr>
                    <w:t>mg/L</w:t>
                  </w:r>
                </w:p>
              </w:tc>
              <w:tc>
                <w:tcPr>
                  <w:tcW w:w="746" w:type="pct"/>
                  <w:tcBorders>
                    <w:tl2br w:val="nil"/>
                    <w:tr2bl w:val="nil"/>
                  </w:tcBorders>
                  <w:noWrap w:val="0"/>
                  <w:vAlign w:val="center"/>
                </w:tcPr>
                <w:p w14:paraId="0904E6E4">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1.00mg/L</w:t>
                  </w:r>
                </w:p>
              </w:tc>
              <w:tc>
                <w:tcPr>
                  <w:tcW w:w="642" w:type="pct"/>
                  <w:tcBorders>
                    <w:tl2br w:val="nil"/>
                    <w:tr2bl w:val="nil"/>
                  </w:tcBorders>
                  <w:noWrap w:val="0"/>
                  <w:vAlign w:val="center"/>
                </w:tcPr>
                <w:p w14:paraId="0CDE3B20">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否</w:t>
                  </w:r>
                </w:p>
              </w:tc>
            </w:tr>
            <w:tr w14:paraId="04CAEFF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74" w:type="pct"/>
                  <w:tcBorders>
                    <w:tl2br w:val="nil"/>
                    <w:tr2bl w:val="nil"/>
                  </w:tcBorders>
                  <w:noWrap w:val="0"/>
                  <w:vAlign w:val="center"/>
                </w:tcPr>
                <w:p w14:paraId="4D6610AA">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color w:val="auto"/>
                      <w:lang w:val="en-US" w:eastAsia="zh-CN"/>
                    </w:rPr>
                  </w:pPr>
                  <w:r>
                    <w:rPr>
                      <w:rFonts w:hint="eastAsia"/>
                      <w:color w:val="auto"/>
                      <w:lang w:val="en-US" w:eastAsia="zh-CN"/>
                    </w:rPr>
                    <w:t>25</w:t>
                  </w:r>
                </w:p>
              </w:tc>
              <w:tc>
                <w:tcPr>
                  <w:tcW w:w="1023" w:type="pct"/>
                  <w:tcBorders>
                    <w:tl2br w:val="nil"/>
                    <w:tr2bl w:val="nil"/>
                  </w:tcBorders>
                  <w:noWrap w:val="0"/>
                  <w:vAlign w:val="center"/>
                </w:tcPr>
                <w:p w14:paraId="4E886C97">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color w:val="auto"/>
                      <w:lang w:val="en-US" w:eastAsia="zh-CN"/>
                    </w:rPr>
                  </w:pPr>
                  <w:r>
                    <w:rPr>
                      <w:rFonts w:hint="eastAsia"/>
                      <w:color w:val="auto"/>
                      <w:lang w:val="en-US" w:eastAsia="zh-CN"/>
                    </w:rPr>
                    <w:t>总硬度</w:t>
                  </w:r>
                </w:p>
              </w:tc>
              <w:tc>
                <w:tcPr>
                  <w:tcW w:w="2213" w:type="pct"/>
                  <w:tcBorders>
                    <w:tl2br w:val="nil"/>
                    <w:tr2bl w:val="nil"/>
                  </w:tcBorders>
                  <w:noWrap w:val="0"/>
                  <w:vAlign w:val="center"/>
                </w:tcPr>
                <w:p w14:paraId="312B1311">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color w:val="auto"/>
                      <w:lang w:val="en-US" w:eastAsia="zh-CN"/>
                    </w:rPr>
                  </w:pPr>
                  <w:r>
                    <w:rPr>
                      <w:rFonts w:hint="eastAsia" w:cs="Times New Roman"/>
                      <w:color w:val="auto"/>
                      <w:kern w:val="2"/>
                      <w:sz w:val="21"/>
                      <w:szCs w:val="22"/>
                      <w:lang w:val="en-US" w:eastAsia="zh-CN" w:bidi="ar-SA"/>
                    </w:rPr>
                    <w:t>85</w:t>
                  </w:r>
                  <w:r>
                    <w:rPr>
                      <w:rFonts w:hint="default" w:ascii="Times New Roman" w:hAnsi="Times New Roman" w:cs="Times New Roman"/>
                      <w:lang w:val="en-US" w:eastAsia="zh-CN"/>
                    </w:rPr>
                    <w:t>mg/L</w:t>
                  </w:r>
                </w:p>
              </w:tc>
              <w:tc>
                <w:tcPr>
                  <w:tcW w:w="746" w:type="pct"/>
                  <w:tcBorders>
                    <w:tl2br w:val="nil"/>
                    <w:tr2bl w:val="nil"/>
                  </w:tcBorders>
                  <w:noWrap w:val="0"/>
                  <w:vAlign w:val="center"/>
                </w:tcPr>
                <w:p w14:paraId="45064ED9">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color w:val="auto"/>
                      <w:lang w:val="en-US" w:eastAsia="zh-CN"/>
                    </w:rPr>
                  </w:pPr>
                  <w:r>
                    <w:rPr>
                      <w:rFonts w:hint="eastAsia"/>
                      <w:lang w:val="en-US" w:eastAsia="zh-CN"/>
                    </w:rPr>
                    <w:t>450</w:t>
                  </w:r>
                  <w:r>
                    <w:rPr>
                      <w:rFonts w:hint="default" w:ascii="Times New Roman" w:hAnsi="Times New Roman" w:cs="Times New Roman"/>
                      <w:lang w:val="en-US" w:eastAsia="zh-CN"/>
                    </w:rPr>
                    <w:t>mg/L</w:t>
                  </w:r>
                </w:p>
              </w:tc>
              <w:tc>
                <w:tcPr>
                  <w:tcW w:w="642" w:type="pct"/>
                  <w:tcBorders>
                    <w:tl2br w:val="nil"/>
                    <w:tr2bl w:val="nil"/>
                  </w:tcBorders>
                  <w:noWrap w:val="0"/>
                  <w:vAlign w:val="center"/>
                </w:tcPr>
                <w:p w14:paraId="50299F65">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color w:val="auto"/>
                      <w:lang w:val="en-US" w:eastAsia="zh-CN"/>
                    </w:rPr>
                  </w:pPr>
                  <w:r>
                    <w:rPr>
                      <w:rFonts w:hint="eastAsia"/>
                      <w:color w:val="auto"/>
                      <w:lang w:val="en-US" w:eastAsia="zh-CN"/>
                    </w:rPr>
                    <w:t>否</w:t>
                  </w:r>
                </w:p>
              </w:tc>
            </w:tr>
            <w:tr w14:paraId="5F2F5C6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74" w:type="pct"/>
                  <w:tcBorders>
                    <w:tl2br w:val="nil"/>
                    <w:tr2bl w:val="nil"/>
                  </w:tcBorders>
                  <w:noWrap w:val="0"/>
                  <w:vAlign w:val="center"/>
                </w:tcPr>
                <w:p w14:paraId="4BA2AF9E">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26</w:t>
                  </w:r>
                </w:p>
              </w:tc>
              <w:tc>
                <w:tcPr>
                  <w:tcW w:w="1023" w:type="pct"/>
                  <w:tcBorders>
                    <w:tl2br w:val="nil"/>
                    <w:tr2bl w:val="nil"/>
                  </w:tcBorders>
                  <w:noWrap w:val="0"/>
                  <w:vAlign w:val="center"/>
                </w:tcPr>
                <w:p w14:paraId="0C7C5086">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溶解性总固体</w:t>
                  </w:r>
                </w:p>
              </w:tc>
              <w:tc>
                <w:tcPr>
                  <w:tcW w:w="2213" w:type="pct"/>
                  <w:tcBorders>
                    <w:tl2br w:val="nil"/>
                    <w:tr2bl w:val="nil"/>
                  </w:tcBorders>
                  <w:noWrap w:val="0"/>
                  <w:vAlign w:val="center"/>
                </w:tcPr>
                <w:p w14:paraId="2AD62269">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2"/>
                      <w:sz w:val="21"/>
                      <w:szCs w:val="22"/>
                      <w:lang w:val="en-US" w:eastAsia="zh-CN" w:bidi="ar-SA"/>
                    </w:rPr>
                    <w:t>120</w:t>
                  </w:r>
                  <w:r>
                    <w:rPr>
                      <w:rFonts w:hint="eastAsia"/>
                      <w:color w:val="auto"/>
                      <w:lang w:val="en-US" w:eastAsia="zh-CN"/>
                    </w:rPr>
                    <w:t>mg/L</w:t>
                  </w:r>
                </w:p>
              </w:tc>
              <w:tc>
                <w:tcPr>
                  <w:tcW w:w="746" w:type="pct"/>
                  <w:tcBorders>
                    <w:tl2br w:val="nil"/>
                    <w:tr2bl w:val="nil"/>
                  </w:tcBorders>
                  <w:noWrap w:val="0"/>
                  <w:vAlign w:val="center"/>
                </w:tcPr>
                <w:p w14:paraId="6D69DF62">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1000mg/L</w:t>
                  </w:r>
                </w:p>
              </w:tc>
              <w:tc>
                <w:tcPr>
                  <w:tcW w:w="642" w:type="pct"/>
                  <w:tcBorders>
                    <w:tl2br w:val="nil"/>
                    <w:tr2bl w:val="nil"/>
                  </w:tcBorders>
                  <w:noWrap w:val="0"/>
                  <w:vAlign w:val="center"/>
                </w:tcPr>
                <w:p w14:paraId="31D932C7">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否</w:t>
                  </w:r>
                </w:p>
              </w:tc>
            </w:tr>
            <w:tr w14:paraId="294DC9F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74" w:type="pct"/>
                  <w:tcBorders>
                    <w:tl2br w:val="nil"/>
                    <w:tr2bl w:val="nil"/>
                  </w:tcBorders>
                  <w:noWrap w:val="0"/>
                  <w:vAlign w:val="center"/>
                </w:tcPr>
                <w:p w14:paraId="76D3F7DD">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27</w:t>
                  </w:r>
                </w:p>
              </w:tc>
              <w:tc>
                <w:tcPr>
                  <w:tcW w:w="1023" w:type="pct"/>
                  <w:tcBorders>
                    <w:tl2br w:val="nil"/>
                    <w:tr2bl w:val="nil"/>
                  </w:tcBorders>
                  <w:noWrap w:val="0"/>
                  <w:vAlign w:val="center"/>
                </w:tcPr>
                <w:p w14:paraId="044F3FF8">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耗氧量</w:t>
                  </w:r>
                </w:p>
              </w:tc>
              <w:tc>
                <w:tcPr>
                  <w:tcW w:w="2213" w:type="pct"/>
                  <w:tcBorders>
                    <w:tl2br w:val="nil"/>
                    <w:tr2bl w:val="nil"/>
                  </w:tcBorders>
                  <w:noWrap w:val="0"/>
                  <w:vAlign w:val="center"/>
                </w:tcPr>
                <w:p w14:paraId="7C613C3A">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s="Times New Roman"/>
                      <w:kern w:val="2"/>
                      <w:sz w:val="21"/>
                      <w:szCs w:val="22"/>
                      <w:lang w:val="en-US" w:eastAsia="zh-CN" w:bidi="ar-SA"/>
                    </w:rPr>
                    <w:t>2.3</w:t>
                  </w:r>
                  <w:r>
                    <w:rPr>
                      <w:rFonts w:hint="eastAsia"/>
                      <w:color w:val="auto"/>
                      <w:lang w:val="en-US" w:eastAsia="zh-CN"/>
                    </w:rPr>
                    <w:t>mg/L</w:t>
                  </w:r>
                </w:p>
              </w:tc>
              <w:tc>
                <w:tcPr>
                  <w:tcW w:w="746" w:type="pct"/>
                  <w:tcBorders>
                    <w:tl2br w:val="nil"/>
                    <w:tr2bl w:val="nil"/>
                  </w:tcBorders>
                  <w:noWrap w:val="0"/>
                  <w:vAlign w:val="center"/>
                </w:tcPr>
                <w:p w14:paraId="51F47BCC">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3.0mg/L</w:t>
                  </w:r>
                </w:p>
              </w:tc>
              <w:tc>
                <w:tcPr>
                  <w:tcW w:w="642" w:type="pct"/>
                  <w:tcBorders>
                    <w:tl2br w:val="nil"/>
                    <w:tr2bl w:val="nil"/>
                  </w:tcBorders>
                  <w:noWrap w:val="0"/>
                  <w:vAlign w:val="center"/>
                </w:tcPr>
                <w:p w14:paraId="4EEDF3ED">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否</w:t>
                  </w:r>
                </w:p>
              </w:tc>
            </w:tr>
            <w:tr w14:paraId="570A38D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74" w:type="pct"/>
                  <w:tcBorders>
                    <w:tl2br w:val="nil"/>
                    <w:tr2bl w:val="nil"/>
                  </w:tcBorders>
                  <w:noWrap w:val="0"/>
                  <w:vAlign w:val="center"/>
                </w:tcPr>
                <w:p w14:paraId="06684B6F">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28</w:t>
                  </w:r>
                </w:p>
              </w:tc>
              <w:tc>
                <w:tcPr>
                  <w:tcW w:w="1023" w:type="pct"/>
                  <w:tcBorders>
                    <w:tl2br w:val="nil"/>
                    <w:tr2bl w:val="nil"/>
                  </w:tcBorders>
                  <w:noWrap w:val="0"/>
                  <w:vAlign w:val="center"/>
                </w:tcPr>
                <w:p w14:paraId="0261758A">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萘</w:t>
                  </w:r>
                </w:p>
              </w:tc>
              <w:tc>
                <w:tcPr>
                  <w:tcW w:w="2213" w:type="pct"/>
                  <w:tcBorders>
                    <w:tl2br w:val="nil"/>
                    <w:tr2bl w:val="nil"/>
                  </w:tcBorders>
                  <w:noWrap w:val="0"/>
                  <w:vAlign w:val="center"/>
                </w:tcPr>
                <w:p w14:paraId="1AFDDE83">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ND</w:t>
                  </w:r>
                </w:p>
              </w:tc>
              <w:tc>
                <w:tcPr>
                  <w:tcW w:w="746" w:type="pct"/>
                  <w:tcBorders>
                    <w:tl2br w:val="nil"/>
                    <w:tr2bl w:val="nil"/>
                  </w:tcBorders>
                  <w:noWrap w:val="0"/>
                  <w:vAlign w:val="center"/>
                </w:tcPr>
                <w:p w14:paraId="40A2290B">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100</w:t>
                  </w:r>
                  <w:r>
                    <w:rPr>
                      <w:rFonts w:hint="default" w:ascii="Times New Roman" w:hAnsi="Times New Roman" w:eastAsia="宋体" w:cs="Times New Roman"/>
                      <w:i w:val="0"/>
                      <w:iCs w:val="0"/>
                      <w:caps w:val="0"/>
                      <w:color w:val="auto"/>
                      <w:spacing w:val="0"/>
                      <w:sz w:val="19"/>
                      <w:szCs w:val="19"/>
                      <w:shd w:val="clear" w:fill="FFFFFF"/>
                    </w:rPr>
                    <w:t>μg</w:t>
                  </w:r>
                  <w:r>
                    <w:rPr>
                      <w:rFonts w:hint="default" w:ascii="Times New Roman" w:hAnsi="Times New Roman" w:cs="Times New Roman"/>
                      <w:i w:val="0"/>
                      <w:iCs w:val="0"/>
                      <w:caps w:val="0"/>
                      <w:color w:val="auto"/>
                      <w:spacing w:val="0"/>
                      <w:sz w:val="19"/>
                      <w:szCs w:val="19"/>
                      <w:shd w:val="clear" w:fill="FFFFFF"/>
                      <w:lang w:val="en-US" w:eastAsia="zh-CN"/>
                    </w:rPr>
                    <w:t>/L</w:t>
                  </w:r>
                </w:p>
              </w:tc>
              <w:tc>
                <w:tcPr>
                  <w:tcW w:w="642" w:type="pct"/>
                  <w:tcBorders>
                    <w:tl2br w:val="nil"/>
                    <w:tr2bl w:val="nil"/>
                  </w:tcBorders>
                  <w:noWrap w:val="0"/>
                  <w:vAlign w:val="center"/>
                </w:tcPr>
                <w:p w14:paraId="6900E8F7">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否</w:t>
                  </w:r>
                </w:p>
              </w:tc>
            </w:tr>
            <w:tr w14:paraId="3B387B0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74" w:type="pct"/>
                  <w:tcBorders>
                    <w:tl2br w:val="nil"/>
                    <w:tr2bl w:val="nil"/>
                  </w:tcBorders>
                  <w:noWrap w:val="0"/>
                  <w:vAlign w:val="center"/>
                </w:tcPr>
                <w:p w14:paraId="532BF575">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29</w:t>
                  </w:r>
                </w:p>
              </w:tc>
              <w:tc>
                <w:tcPr>
                  <w:tcW w:w="1023" w:type="pct"/>
                  <w:tcBorders>
                    <w:tl2br w:val="nil"/>
                    <w:tr2bl w:val="nil"/>
                  </w:tcBorders>
                  <w:noWrap w:val="0"/>
                  <w:vAlign w:val="center"/>
                </w:tcPr>
                <w:p w14:paraId="79DE0032">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苯</w:t>
                  </w:r>
                </w:p>
              </w:tc>
              <w:tc>
                <w:tcPr>
                  <w:tcW w:w="2213" w:type="pct"/>
                  <w:tcBorders>
                    <w:tl2br w:val="nil"/>
                    <w:tr2bl w:val="nil"/>
                  </w:tcBorders>
                  <w:noWrap w:val="0"/>
                  <w:vAlign w:val="center"/>
                </w:tcPr>
                <w:p w14:paraId="558519C2">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ND</w:t>
                  </w:r>
                </w:p>
              </w:tc>
              <w:tc>
                <w:tcPr>
                  <w:tcW w:w="746" w:type="pct"/>
                  <w:tcBorders>
                    <w:tl2br w:val="nil"/>
                    <w:tr2bl w:val="nil"/>
                  </w:tcBorders>
                  <w:noWrap w:val="0"/>
                  <w:vAlign w:val="center"/>
                </w:tcPr>
                <w:p w14:paraId="5A526DCC">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10.0</w:t>
                  </w:r>
                  <w:r>
                    <w:rPr>
                      <w:rFonts w:hint="default" w:ascii="Times New Roman" w:hAnsi="Times New Roman" w:eastAsia="宋体" w:cs="Times New Roman"/>
                      <w:i w:val="0"/>
                      <w:iCs w:val="0"/>
                      <w:caps w:val="0"/>
                      <w:color w:val="auto"/>
                      <w:spacing w:val="0"/>
                      <w:sz w:val="19"/>
                      <w:szCs w:val="19"/>
                      <w:shd w:val="clear" w:fill="FFFFFF"/>
                    </w:rPr>
                    <w:t>μg</w:t>
                  </w:r>
                  <w:r>
                    <w:rPr>
                      <w:rFonts w:hint="default" w:ascii="Times New Roman" w:hAnsi="Times New Roman" w:cs="Times New Roman"/>
                      <w:i w:val="0"/>
                      <w:iCs w:val="0"/>
                      <w:caps w:val="0"/>
                      <w:color w:val="auto"/>
                      <w:spacing w:val="0"/>
                      <w:sz w:val="19"/>
                      <w:szCs w:val="19"/>
                      <w:shd w:val="clear" w:fill="FFFFFF"/>
                      <w:lang w:val="en-US" w:eastAsia="zh-CN"/>
                    </w:rPr>
                    <w:t>/L</w:t>
                  </w:r>
                </w:p>
              </w:tc>
              <w:tc>
                <w:tcPr>
                  <w:tcW w:w="642" w:type="pct"/>
                  <w:tcBorders>
                    <w:tl2br w:val="nil"/>
                    <w:tr2bl w:val="nil"/>
                  </w:tcBorders>
                  <w:noWrap w:val="0"/>
                  <w:vAlign w:val="center"/>
                </w:tcPr>
                <w:p w14:paraId="3E5643C7">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否</w:t>
                  </w:r>
                </w:p>
              </w:tc>
            </w:tr>
            <w:tr w14:paraId="090D342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74" w:type="pct"/>
                  <w:tcBorders>
                    <w:tl2br w:val="nil"/>
                    <w:tr2bl w:val="nil"/>
                  </w:tcBorders>
                  <w:noWrap w:val="0"/>
                  <w:vAlign w:val="center"/>
                </w:tcPr>
                <w:p w14:paraId="3FA46AB3">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30</w:t>
                  </w:r>
                </w:p>
              </w:tc>
              <w:tc>
                <w:tcPr>
                  <w:tcW w:w="1023" w:type="pct"/>
                  <w:tcBorders>
                    <w:tl2br w:val="nil"/>
                    <w:tr2bl w:val="nil"/>
                  </w:tcBorders>
                  <w:noWrap w:val="0"/>
                  <w:vAlign w:val="center"/>
                </w:tcPr>
                <w:p w14:paraId="2D15F60D">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甲苯</w:t>
                  </w:r>
                </w:p>
              </w:tc>
              <w:tc>
                <w:tcPr>
                  <w:tcW w:w="2213" w:type="pct"/>
                  <w:tcBorders>
                    <w:tl2br w:val="nil"/>
                    <w:tr2bl w:val="nil"/>
                  </w:tcBorders>
                  <w:noWrap w:val="0"/>
                  <w:vAlign w:val="center"/>
                </w:tcPr>
                <w:p w14:paraId="36A8D520">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ND</w:t>
                  </w:r>
                </w:p>
              </w:tc>
              <w:tc>
                <w:tcPr>
                  <w:tcW w:w="746" w:type="pct"/>
                  <w:tcBorders>
                    <w:tl2br w:val="nil"/>
                    <w:tr2bl w:val="nil"/>
                  </w:tcBorders>
                  <w:noWrap w:val="0"/>
                  <w:vAlign w:val="center"/>
                </w:tcPr>
                <w:p w14:paraId="7E7B09F4">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700</w:t>
                  </w:r>
                  <w:r>
                    <w:rPr>
                      <w:rFonts w:hint="default" w:ascii="Times New Roman" w:hAnsi="Times New Roman" w:eastAsia="宋体" w:cs="Times New Roman"/>
                      <w:i w:val="0"/>
                      <w:iCs w:val="0"/>
                      <w:caps w:val="0"/>
                      <w:color w:val="auto"/>
                      <w:spacing w:val="0"/>
                      <w:sz w:val="19"/>
                      <w:szCs w:val="19"/>
                      <w:shd w:val="clear" w:fill="FFFFFF"/>
                    </w:rPr>
                    <w:t>μg</w:t>
                  </w:r>
                  <w:r>
                    <w:rPr>
                      <w:rFonts w:hint="default" w:ascii="Times New Roman" w:hAnsi="Times New Roman" w:cs="Times New Roman"/>
                      <w:i w:val="0"/>
                      <w:iCs w:val="0"/>
                      <w:caps w:val="0"/>
                      <w:color w:val="auto"/>
                      <w:spacing w:val="0"/>
                      <w:sz w:val="19"/>
                      <w:szCs w:val="19"/>
                      <w:shd w:val="clear" w:fill="FFFFFF"/>
                      <w:lang w:val="en-US" w:eastAsia="zh-CN"/>
                    </w:rPr>
                    <w:t>/L</w:t>
                  </w:r>
                </w:p>
              </w:tc>
              <w:tc>
                <w:tcPr>
                  <w:tcW w:w="642" w:type="pct"/>
                  <w:tcBorders>
                    <w:tl2br w:val="nil"/>
                    <w:tr2bl w:val="nil"/>
                  </w:tcBorders>
                  <w:noWrap w:val="0"/>
                  <w:vAlign w:val="center"/>
                </w:tcPr>
                <w:p w14:paraId="5162E69C">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否</w:t>
                  </w:r>
                </w:p>
              </w:tc>
            </w:tr>
            <w:tr w14:paraId="6D3B3F9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74" w:type="pct"/>
                  <w:tcBorders>
                    <w:tl2br w:val="nil"/>
                    <w:tr2bl w:val="nil"/>
                  </w:tcBorders>
                  <w:noWrap w:val="0"/>
                  <w:vAlign w:val="center"/>
                </w:tcPr>
                <w:p w14:paraId="4237975E">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31</w:t>
                  </w:r>
                </w:p>
              </w:tc>
              <w:tc>
                <w:tcPr>
                  <w:tcW w:w="1023" w:type="pct"/>
                  <w:tcBorders>
                    <w:tl2br w:val="nil"/>
                    <w:tr2bl w:val="nil"/>
                  </w:tcBorders>
                  <w:noWrap w:val="0"/>
                  <w:vAlign w:val="center"/>
                </w:tcPr>
                <w:p w14:paraId="02353A6B">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乙苯</w:t>
                  </w:r>
                </w:p>
              </w:tc>
              <w:tc>
                <w:tcPr>
                  <w:tcW w:w="2213" w:type="pct"/>
                  <w:tcBorders>
                    <w:tl2br w:val="nil"/>
                    <w:tr2bl w:val="nil"/>
                  </w:tcBorders>
                  <w:noWrap w:val="0"/>
                  <w:vAlign w:val="center"/>
                </w:tcPr>
                <w:p w14:paraId="05E4FE83">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ND</w:t>
                  </w:r>
                </w:p>
              </w:tc>
              <w:tc>
                <w:tcPr>
                  <w:tcW w:w="746" w:type="pct"/>
                  <w:tcBorders>
                    <w:tl2br w:val="nil"/>
                    <w:tr2bl w:val="nil"/>
                  </w:tcBorders>
                  <w:noWrap w:val="0"/>
                  <w:vAlign w:val="center"/>
                </w:tcPr>
                <w:p w14:paraId="1F5F75B8">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300</w:t>
                  </w:r>
                  <w:r>
                    <w:rPr>
                      <w:rFonts w:hint="default" w:ascii="Times New Roman" w:hAnsi="Times New Roman" w:eastAsia="宋体" w:cs="Times New Roman"/>
                      <w:i w:val="0"/>
                      <w:iCs w:val="0"/>
                      <w:caps w:val="0"/>
                      <w:color w:val="auto"/>
                      <w:spacing w:val="0"/>
                      <w:sz w:val="19"/>
                      <w:szCs w:val="19"/>
                      <w:shd w:val="clear" w:fill="FFFFFF"/>
                    </w:rPr>
                    <w:t>μg</w:t>
                  </w:r>
                  <w:r>
                    <w:rPr>
                      <w:rFonts w:hint="default" w:ascii="Times New Roman" w:hAnsi="Times New Roman" w:cs="Times New Roman"/>
                      <w:i w:val="0"/>
                      <w:iCs w:val="0"/>
                      <w:caps w:val="0"/>
                      <w:color w:val="auto"/>
                      <w:spacing w:val="0"/>
                      <w:sz w:val="19"/>
                      <w:szCs w:val="19"/>
                      <w:shd w:val="clear" w:fill="FFFFFF"/>
                      <w:lang w:val="en-US" w:eastAsia="zh-CN"/>
                    </w:rPr>
                    <w:t>/L</w:t>
                  </w:r>
                </w:p>
              </w:tc>
              <w:tc>
                <w:tcPr>
                  <w:tcW w:w="642" w:type="pct"/>
                  <w:tcBorders>
                    <w:tl2br w:val="nil"/>
                    <w:tr2bl w:val="nil"/>
                  </w:tcBorders>
                  <w:noWrap w:val="0"/>
                  <w:vAlign w:val="center"/>
                </w:tcPr>
                <w:p w14:paraId="55808B62">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否</w:t>
                  </w:r>
                </w:p>
              </w:tc>
            </w:tr>
            <w:tr w14:paraId="30439E1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74" w:type="pct"/>
                  <w:tcBorders>
                    <w:tl2br w:val="nil"/>
                    <w:tr2bl w:val="nil"/>
                  </w:tcBorders>
                  <w:noWrap w:val="0"/>
                  <w:vAlign w:val="center"/>
                </w:tcPr>
                <w:p w14:paraId="5BD178DB">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32</w:t>
                  </w:r>
                </w:p>
              </w:tc>
              <w:tc>
                <w:tcPr>
                  <w:tcW w:w="1023" w:type="pct"/>
                  <w:tcBorders>
                    <w:tl2br w:val="nil"/>
                    <w:tr2bl w:val="nil"/>
                  </w:tcBorders>
                  <w:noWrap w:val="0"/>
                  <w:vAlign w:val="center"/>
                </w:tcPr>
                <w:p w14:paraId="4D1B332A">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二甲苯</w:t>
                  </w:r>
                </w:p>
              </w:tc>
              <w:tc>
                <w:tcPr>
                  <w:tcW w:w="2213" w:type="pct"/>
                  <w:tcBorders>
                    <w:tl2br w:val="nil"/>
                    <w:tr2bl w:val="nil"/>
                  </w:tcBorders>
                  <w:noWrap w:val="0"/>
                  <w:vAlign w:val="center"/>
                </w:tcPr>
                <w:p w14:paraId="6F6D89DC">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ND</w:t>
                  </w:r>
                </w:p>
              </w:tc>
              <w:tc>
                <w:tcPr>
                  <w:tcW w:w="746" w:type="pct"/>
                  <w:tcBorders>
                    <w:tl2br w:val="nil"/>
                    <w:tr2bl w:val="nil"/>
                  </w:tcBorders>
                  <w:noWrap w:val="0"/>
                  <w:vAlign w:val="center"/>
                </w:tcPr>
                <w:p w14:paraId="28C5D13F">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500</w:t>
                  </w:r>
                  <w:r>
                    <w:rPr>
                      <w:rFonts w:hint="default" w:ascii="Times New Roman" w:hAnsi="Times New Roman" w:eastAsia="宋体" w:cs="Times New Roman"/>
                      <w:i w:val="0"/>
                      <w:iCs w:val="0"/>
                      <w:caps w:val="0"/>
                      <w:color w:val="auto"/>
                      <w:spacing w:val="0"/>
                      <w:sz w:val="19"/>
                      <w:szCs w:val="19"/>
                      <w:shd w:val="clear" w:fill="FFFFFF"/>
                    </w:rPr>
                    <w:t>μg</w:t>
                  </w:r>
                  <w:r>
                    <w:rPr>
                      <w:rFonts w:hint="default" w:ascii="Times New Roman" w:hAnsi="Times New Roman" w:cs="Times New Roman"/>
                      <w:i w:val="0"/>
                      <w:iCs w:val="0"/>
                      <w:caps w:val="0"/>
                      <w:color w:val="auto"/>
                      <w:spacing w:val="0"/>
                      <w:sz w:val="19"/>
                      <w:szCs w:val="19"/>
                      <w:shd w:val="clear" w:fill="FFFFFF"/>
                      <w:lang w:val="en-US" w:eastAsia="zh-CN"/>
                    </w:rPr>
                    <w:t>/L</w:t>
                  </w:r>
                </w:p>
              </w:tc>
              <w:tc>
                <w:tcPr>
                  <w:tcW w:w="642" w:type="pct"/>
                  <w:tcBorders>
                    <w:tl2br w:val="nil"/>
                    <w:tr2bl w:val="nil"/>
                  </w:tcBorders>
                  <w:noWrap w:val="0"/>
                  <w:vAlign w:val="center"/>
                </w:tcPr>
                <w:p w14:paraId="6CE1A5A0">
                  <w:pPr>
                    <w:pStyle w:val="135"/>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否</w:t>
                  </w:r>
                </w:p>
              </w:tc>
            </w:tr>
            <w:tr w14:paraId="13C9002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397" w:type="pct"/>
                  <w:gridSpan w:val="2"/>
                  <w:tcBorders>
                    <w:tl2br w:val="nil"/>
                    <w:tr2bl w:val="nil"/>
                  </w:tcBorders>
                  <w:noWrap w:val="0"/>
                  <w:vAlign w:val="center"/>
                </w:tcPr>
                <w:p w14:paraId="7A3FF660">
                  <w:pPr>
                    <w:pStyle w:val="135"/>
                    <w:keepNext w:val="0"/>
                    <w:keepLines w:val="0"/>
                    <w:pageBreakBefore w:val="0"/>
                    <w:widowControl/>
                    <w:kinsoku/>
                    <w:wordWrap/>
                    <w:overflowPunct/>
                    <w:topLinePunct w:val="0"/>
                    <w:autoSpaceDE/>
                    <w:autoSpaceDN/>
                    <w:bidi w:val="0"/>
                    <w:adjustRightInd w:val="0"/>
                    <w:snapToGrid w:val="0"/>
                    <w:textAlignment w:val="auto"/>
                    <w:rPr>
                      <w:rFonts w:hint="eastAsia"/>
                      <w:b/>
                      <w:bCs/>
                      <w:color w:val="auto"/>
                      <w:lang w:val="en-US" w:eastAsia="zh-CN"/>
                    </w:rPr>
                  </w:pPr>
                  <w:r>
                    <w:rPr>
                      <w:rFonts w:hint="eastAsia"/>
                      <w:b/>
                      <w:bCs/>
                      <w:color w:val="auto"/>
                      <w:lang w:val="en-US" w:eastAsia="zh-CN"/>
                    </w:rPr>
                    <w:t>备注</w:t>
                  </w:r>
                </w:p>
              </w:tc>
              <w:tc>
                <w:tcPr>
                  <w:tcW w:w="3602" w:type="pct"/>
                  <w:gridSpan w:val="3"/>
                  <w:tcBorders>
                    <w:tl2br w:val="nil"/>
                    <w:tr2bl w:val="nil"/>
                  </w:tcBorders>
                  <w:noWrap w:val="0"/>
                  <w:vAlign w:val="center"/>
                </w:tcPr>
                <w:p w14:paraId="3002C9F0">
                  <w:pPr>
                    <w:pStyle w:val="135"/>
                    <w:keepNext w:val="0"/>
                    <w:keepLines w:val="0"/>
                    <w:pageBreakBefore w:val="0"/>
                    <w:widowControl/>
                    <w:kinsoku/>
                    <w:wordWrap/>
                    <w:overflowPunct/>
                    <w:topLinePunct w:val="0"/>
                    <w:autoSpaceDE/>
                    <w:autoSpaceDN/>
                    <w:bidi w:val="0"/>
                    <w:adjustRightInd w:val="0"/>
                    <w:snapToGrid w:val="0"/>
                    <w:jc w:val="both"/>
                    <w:textAlignment w:val="auto"/>
                    <w:rPr>
                      <w:rFonts w:hint="eastAsia"/>
                      <w:b/>
                      <w:bCs/>
                      <w:color w:val="auto"/>
                      <w:lang w:val="en-US" w:eastAsia="zh-CN"/>
                    </w:rPr>
                  </w:pPr>
                  <w:r>
                    <w:rPr>
                      <w:rFonts w:hint="default" w:ascii="Times New Roman" w:hAnsi="Times New Roman" w:cs="Times New Roman"/>
                      <w:b/>
                      <w:bCs/>
                      <w:color w:val="auto"/>
                      <w:lang w:val="en-US" w:eastAsia="zh-CN"/>
                    </w:rPr>
                    <w:t>“ND”表示检测结果低于检出限。</w:t>
                  </w:r>
                </w:p>
              </w:tc>
            </w:tr>
          </w:tbl>
          <w:p w14:paraId="7E152BA2">
            <w:pPr>
              <w:keepNext w:val="0"/>
              <w:keepLines w:val="0"/>
              <w:pageBreakBefore w:val="0"/>
              <w:widowControl/>
              <w:kinsoku/>
              <w:wordWrap w:val="0"/>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由上表可知，本项目所在区域地下水环境</w:t>
            </w:r>
            <w:r>
              <w:rPr>
                <w:rFonts w:hint="eastAsia" w:cs="Times New Roman"/>
                <w:color w:val="auto"/>
                <w:sz w:val="24"/>
                <w:lang w:val="en-US" w:eastAsia="zh-CN"/>
              </w:rPr>
              <w:t>质量</w:t>
            </w:r>
            <w:r>
              <w:rPr>
                <w:rFonts w:hint="eastAsia" w:ascii="Times New Roman" w:hAnsi="Times New Roman" w:eastAsia="宋体" w:cs="Times New Roman"/>
                <w:color w:val="auto"/>
                <w:sz w:val="24"/>
                <w:lang w:val="en-US" w:eastAsia="zh-CN"/>
              </w:rPr>
              <w:t>满足《地下水质量标准》（GB/T14848-2017）</w:t>
            </w:r>
            <w:r>
              <w:rPr>
                <w:rFonts w:hint="eastAsia" w:cs="Times New Roman"/>
                <w:color w:val="auto"/>
                <w:sz w:val="24"/>
                <w:lang w:val="en-US" w:eastAsia="zh-CN"/>
              </w:rPr>
              <w:t>中</w:t>
            </w:r>
            <w:r>
              <w:rPr>
                <w:rFonts w:hint="default" w:ascii="Times New Roman" w:hAnsi="Times New Roman" w:eastAsia="宋体" w:cs="Times New Roman"/>
                <w:color w:val="auto"/>
                <w:sz w:val="24"/>
                <w:lang w:val="en-US" w:eastAsia="zh-CN"/>
              </w:rPr>
              <w:t>Ⅲ</w:t>
            </w:r>
            <w:r>
              <w:rPr>
                <w:rFonts w:hint="eastAsia" w:ascii="Times New Roman" w:hAnsi="Times New Roman" w:eastAsia="宋体" w:cs="Times New Roman"/>
                <w:color w:val="auto"/>
                <w:sz w:val="24"/>
                <w:lang w:val="en-US" w:eastAsia="zh-CN"/>
              </w:rPr>
              <w:t>类水质要求。</w:t>
            </w:r>
          </w:p>
          <w:p w14:paraId="6A731B7C">
            <w:pPr>
              <w:pStyle w:val="69"/>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b/>
                <w:lang w:val="en-US" w:eastAsia="zh-CN"/>
              </w:rPr>
            </w:pPr>
            <w:r>
              <w:rPr>
                <w:rFonts w:hint="eastAsia"/>
                <w:b/>
                <w:lang w:val="en-US" w:eastAsia="zh-CN"/>
              </w:rPr>
              <w:t>（2）土壤</w:t>
            </w:r>
            <w:r>
              <w:rPr>
                <w:rFonts w:hint="eastAsia"/>
                <w:b/>
              </w:rPr>
              <w:t>环境</w:t>
            </w:r>
            <w:r>
              <w:rPr>
                <w:rFonts w:hint="eastAsia"/>
                <w:b/>
                <w:lang w:val="en-US" w:eastAsia="zh-CN"/>
              </w:rPr>
              <w:t>质量</w:t>
            </w:r>
          </w:p>
          <w:p w14:paraId="40275704">
            <w:pPr>
              <w:pStyle w:val="69"/>
              <w:widowControl w:val="0"/>
              <w:spacing w:line="360" w:lineRule="auto"/>
              <w:ind w:firstLine="48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本次评价委托</w:t>
            </w:r>
            <w:r>
              <w:rPr>
                <w:rFonts w:hint="eastAsia" w:ascii="Times New Roman" w:hAnsi="Times New Roman" w:eastAsia="宋体" w:cs="Times New Roman"/>
                <w:color w:val="auto"/>
                <w:sz w:val="24"/>
              </w:rPr>
              <w:t>九江市鑫洁生产环境科技有限公司</w:t>
            </w:r>
            <w:r>
              <w:rPr>
                <w:rFonts w:hint="eastAsia" w:ascii="Times New Roman" w:hAnsi="Times New Roman" w:eastAsia="宋体" w:cs="Times New Roman"/>
                <w:color w:val="auto"/>
                <w:sz w:val="24"/>
                <w:lang w:eastAsia="zh-CN"/>
              </w:rPr>
              <w:t>对项目</w:t>
            </w:r>
            <w:r>
              <w:rPr>
                <w:rFonts w:hint="eastAsia" w:ascii="Times New Roman" w:hAnsi="Times New Roman" w:eastAsia="宋体" w:cs="Times New Roman"/>
                <w:color w:val="auto"/>
                <w:sz w:val="24"/>
                <w:lang w:val="en-US" w:eastAsia="zh-CN"/>
              </w:rPr>
              <w:t>所在</w:t>
            </w:r>
            <w:r>
              <w:rPr>
                <w:rFonts w:hint="eastAsia" w:ascii="Times New Roman" w:hAnsi="Times New Roman" w:eastAsia="宋体" w:cs="Times New Roman"/>
                <w:color w:val="auto"/>
                <w:sz w:val="24"/>
                <w:lang w:eastAsia="zh-CN"/>
              </w:rPr>
              <w:t>区域</w:t>
            </w:r>
            <w:r>
              <w:rPr>
                <w:rFonts w:hint="eastAsia" w:ascii="Times New Roman" w:hAnsi="Times New Roman" w:eastAsia="宋体" w:cs="Times New Roman"/>
                <w:color w:val="auto"/>
                <w:sz w:val="24"/>
                <w:lang w:val="en-US" w:eastAsia="zh-CN"/>
              </w:rPr>
              <w:t>土壤</w:t>
            </w:r>
            <w:r>
              <w:rPr>
                <w:rFonts w:hint="eastAsia" w:ascii="Times New Roman" w:hAnsi="Times New Roman" w:eastAsia="宋体" w:cs="Times New Roman"/>
                <w:color w:val="auto"/>
                <w:sz w:val="24"/>
                <w:lang w:eastAsia="zh-CN"/>
              </w:rPr>
              <w:t>环境进行了监测，</w:t>
            </w:r>
            <w:r>
              <w:rPr>
                <w:rFonts w:hint="eastAsia" w:ascii="Times New Roman" w:hAnsi="Times New Roman" w:eastAsia="宋体" w:cs="Times New Roman"/>
                <w:color w:val="auto"/>
                <w:sz w:val="24"/>
                <w:lang w:val="en-US" w:eastAsia="zh-CN"/>
              </w:rPr>
              <w:t>监测</w:t>
            </w:r>
            <w:r>
              <w:rPr>
                <w:rFonts w:hint="eastAsia" w:ascii="Times New Roman" w:hAnsi="Times New Roman" w:eastAsia="宋体" w:cs="Times New Roman"/>
                <w:color w:val="auto"/>
                <w:sz w:val="24"/>
                <w:lang w:eastAsia="zh-CN"/>
              </w:rPr>
              <w:t>结果详见表</w:t>
            </w:r>
            <w:r>
              <w:rPr>
                <w:rFonts w:hint="eastAsia" w:ascii="Times New Roman" w:hAnsi="Times New Roman" w:eastAsia="宋体" w:cs="Times New Roman"/>
                <w:color w:val="auto"/>
                <w:sz w:val="24"/>
                <w:lang w:val="en-US" w:eastAsia="zh-CN"/>
              </w:rPr>
              <w:t>3-</w:t>
            </w:r>
            <w:r>
              <w:rPr>
                <w:rFonts w:hint="eastAsia" w:cs="Times New Roman"/>
                <w:color w:val="auto"/>
                <w:sz w:val="24"/>
                <w:lang w:val="en-US" w:eastAsia="zh-CN"/>
              </w:rPr>
              <w:t>4</w:t>
            </w:r>
            <w:r>
              <w:rPr>
                <w:rFonts w:hint="eastAsia" w:ascii="Times New Roman" w:hAnsi="Times New Roman" w:eastAsia="宋体" w:cs="Times New Roman"/>
                <w:color w:val="auto"/>
                <w:sz w:val="24"/>
                <w:lang w:val="en-US" w:eastAsia="zh-CN"/>
              </w:rPr>
              <w:t>。</w:t>
            </w:r>
          </w:p>
          <w:p w14:paraId="13CE5705">
            <w:pPr>
              <w:pStyle w:val="134"/>
              <w:bidi w:val="0"/>
              <w:rPr>
                <w:rFonts w:hint="eastAsia" w:ascii="宋体" w:hAnsi="宋体" w:eastAsia="宋体" w:cs="宋体"/>
                <w:color w:val="auto"/>
                <w:lang w:val="en-US" w:eastAsia="zh-CN"/>
              </w:rPr>
            </w:pPr>
            <w:r>
              <w:rPr>
                <w:rFonts w:hint="eastAsia" w:ascii="宋体" w:hAnsi="宋体" w:eastAsia="宋体" w:cs="宋体"/>
                <w:color w:val="auto"/>
                <w:lang w:eastAsia="zh-CN"/>
              </w:rPr>
              <w:t>表</w:t>
            </w:r>
            <w:r>
              <w:rPr>
                <w:rFonts w:hint="default" w:ascii="Times New Roman" w:hAnsi="Times New Roman" w:eastAsia="宋体" w:cs="Times New Roman"/>
                <w:color w:val="auto"/>
                <w:lang w:val="en-US" w:eastAsia="zh-CN"/>
              </w:rPr>
              <w:t>3-</w:t>
            </w:r>
            <w:r>
              <w:rPr>
                <w:rFonts w:hint="eastAsia" w:eastAsia="宋体" w:cs="Times New Roman"/>
                <w:color w:val="auto"/>
                <w:lang w:val="en-US" w:eastAsia="zh-CN"/>
              </w:rPr>
              <w:t>4</w:t>
            </w:r>
            <w:r>
              <w:rPr>
                <w:rFonts w:hint="eastAsia" w:ascii="宋体" w:hAnsi="宋体" w:eastAsia="宋体" w:cs="宋体"/>
                <w:color w:val="auto"/>
                <w:lang w:val="en-US" w:eastAsia="zh-CN"/>
              </w:rPr>
              <w:t xml:space="preserve">   项目</w:t>
            </w:r>
            <w:r>
              <w:rPr>
                <w:rFonts w:hint="eastAsia" w:ascii="宋体" w:hAnsi="宋体" w:eastAsia="宋体" w:cs="宋体"/>
                <w:color w:val="auto"/>
                <w:lang w:eastAsia="zh-CN"/>
              </w:rPr>
              <w:t>土壤检测结果</w:t>
            </w:r>
            <w:r>
              <w:rPr>
                <w:rFonts w:hint="eastAsia" w:ascii="宋体" w:hAnsi="宋体" w:eastAsia="宋体" w:cs="宋体"/>
                <w:color w:val="auto"/>
                <w:lang w:val="en-US" w:eastAsia="zh-CN"/>
              </w:rPr>
              <w:t>一览表</w:t>
            </w:r>
          </w:p>
          <w:tbl>
            <w:tblPr>
              <w:tblStyle w:val="35"/>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8"/>
              <w:gridCol w:w="1892"/>
              <w:gridCol w:w="2053"/>
              <w:gridCol w:w="2053"/>
              <w:gridCol w:w="1394"/>
              <w:gridCol w:w="1184"/>
            </w:tblGrid>
            <w:tr w14:paraId="6FFFB5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92" w:type="pct"/>
                  <w:gridSpan w:val="2"/>
                  <w:tcBorders>
                    <w:tl2br w:val="nil"/>
                    <w:tr2bl w:val="nil"/>
                  </w:tcBorders>
                  <w:noWrap w:val="0"/>
                  <w:vAlign w:val="center"/>
                </w:tcPr>
                <w:p w14:paraId="0EF60A12">
                  <w:pPr>
                    <w:pStyle w:val="135"/>
                    <w:keepNext w:val="0"/>
                    <w:keepLines w:val="0"/>
                    <w:pageBreakBefore w:val="0"/>
                    <w:widowControl/>
                    <w:kinsoku/>
                    <w:wordWrap/>
                    <w:overflowPunct/>
                    <w:topLinePunct w:val="0"/>
                    <w:autoSpaceDE/>
                    <w:autoSpaceDN/>
                    <w:bidi w:val="0"/>
                    <w:adjustRightInd w:val="0"/>
                    <w:snapToGrid w:val="0"/>
                    <w:textAlignment w:val="auto"/>
                    <w:rPr>
                      <w:rFonts w:hint="eastAsia"/>
                      <w:b/>
                      <w:bCs/>
                      <w:color w:val="auto"/>
                      <w:lang w:val="en-US" w:eastAsia="zh-CN"/>
                    </w:rPr>
                  </w:pPr>
                  <w:r>
                    <w:rPr>
                      <w:rFonts w:hint="eastAsia"/>
                      <w:b/>
                      <w:bCs/>
                      <w:color w:val="auto"/>
                      <w:lang w:val="en-US" w:eastAsia="zh-CN"/>
                    </w:rPr>
                    <w:t>采样时间</w:t>
                  </w:r>
                </w:p>
              </w:tc>
              <w:tc>
                <w:tcPr>
                  <w:tcW w:w="2216" w:type="pct"/>
                  <w:gridSpan w:val="2"/>
                  <w:tcBorders>
                    <w:tl2br w:val="nil"/>
                    <w:tr2bl w:val="nil"/>
                  </w:tcBorders>
                  <w:noWrap w:val="0"/>
                  <w:vAlign w:val="center"/>
                </w:tcPr>
                <w:p w14:paraId="761A9AC6">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2025年11月02日</w:t>
                  </w:r>
                </w:p>
              </w:tc>
              <w:tc>
                <w:tcPr>
                  <w:tcW w:w="752" w:type="pct"/>
                  <w:vMerge w:val="restart"/>
                  <w:tcBorders>
                    <w:tl2br w:val="nil"/>
                    <w:tr2bl w:val="nil"/>
                  </w:tcBorders>
                  <w:noWrap w:val="0"/>
                  <w:vAlign w:val="center"/>
                </w:tcPr>
                <w:p w14:paraId="09ACDBB8">
                  <w:pPr>
                    <w:pStyle w:val="135"/>
                    <w:keepNext w:val="0"/>
                    <w:keepLines w:val="0"/>
                    <w:pageBreakBefore w:val="0"/>
                    <w:widowControl/>
                    <w:kinsoku/>
                    <w:wordWrap/>
                    <w:overflowPunct/>
                    <w:topLinePunct w:val="0"/>
                    <w:autoSpaceDE/>
                    <w:autoSpaceDN/>
                    <w:bidi w:val="0"/>
                    <w:adjustRightInd w:val="0"/>
                    <w:snapToGrid w:val="0"/>
                    <w:textAlignment w:val="auto"/>
                    <w:rPr>
                      <w:rFonts w:hint="eastAsia"/>
                      <w:b/>
                      <w:bCs/>
                      <w:color w:val="auto"/>
                      <w:lang w:eastAsia="zh-CN"/>
                    </w:rPr>
                  </w:pPr>
                  <w:r>
                    <w:rPr>
                      <w:rFonts w:hint="eastAsia"/>
                      <w:b/>
                      <w:bCs/>
                      <w:color w:val="auto"/>
                      <w:lang w:eastAsia="zh-CN"/>
                    </w:rPr>
                    <w:t>标准值（mg/kg）</w:t>
                  </w:r>
                </w:p>
              </w:tc>
              <w:tc>
                <w:tcPr>
                  <w:tcW w:w="639" w:type="pct"/>
                  <w:vMerge w:val="restart"/>
                  <w:tcBorders>
                    <w:tl2br w:val="nil"/>
                    <w:tr2bl w:val="nil"/>
                  </w:tcBorders>
                  <w:noWrap w:val="0"/>
                  <w:vAlign w:val="center"/>
                </w:tcPr>
                <w:p w14:paraId="79A54B93">
                  <w:pPr>
                    <w:pStyle w:val="135"/>
                    <w:keepNext w:val="0"/>
                    <w:keepLines w:val="0"/>
                    <w:pageBreakBefore w:val="0"/>
                    <w:widowControl/>
                    <w:kinsoku/>
                    <w:wordWrap/>
                    <w:overflowPunct/>
                    <w:topLinePunct w:val="0"/>
                    <w:autoSpaceDE/>
                    <w:autoSpaceDN/>
                    <w:bidi w:val="0"/>
                    <w:adjustRightInd w:val="0"/>
                    <w:snapToGrid w:val="0"/>
                    <w:textAlignment w:val="auto"/>
                    <w:rPr>
                      <w:rFonts w:hint="eastAsia"/>
                      <w:b/>
                      <w:bCs/>
                      <w:color w:val="auto"/>
                      <w:lang w:eastAsia="zh-CN"/>
                    </w:rPr>
                  </w:pPr>
                  <w:r>
                    <w:rPr>
                      <w:rFonts w:hint="eastAsia"/>
                      <w:b/>
                      <w:bCs/>
                      <w:color w:val="auto"/>
                      <w:lang w:eastAsia="zh-CN"/>
                    </w:rPr>
                    <w:t>是否超标</w:t>
                  </w:r>
                </w:p>
              </w:tc>
            </w:tr>
            <w:tr w14:paraId="4956D6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92" w:type="pct"/>
                  <w:gridSpan w:val="2"/>
                  <w:tcBorders>
                    <w:tl2br w:val="nil"/>
                    <w:tr2bl w:val="nil"/>
                  </w:tcBorders>
                  <w:noWrap w:val="0"/>
                  <w:vAlign w:val="center"/>
                </w:tcPr>
                <w:p w14:paraId="79C9BA93">
                  <w:pPr>
                    <w:pStyle w:val="135"/>
                    <w:keepNext w:val="0"/>
                    <w:keepLines w:val="0"/>
                    <w:pageBreakBefore w:val="0"/>
                    <w:widowControl/>
                    <w:kinsoku/>
                    <w:wordWrap/>
                    <w:overflowPunct/>
                    <w:topLinePunct w:val="0"/>
                    <w:autoSpaceDE/>
                    <w:autoSpaceDN/>
                    <w:bidi w:val="0"/>
                    <w:adjustRightInd w:val="0"/>
                    <w:snapToGrid w:val="0"/>
                    <w:textAlignment w:val="auto"/>
                    <w:rPr>
                      <w:rFonts w:hint="eastAsia"/>
                      <w:b/>
                      <w:bCs/>
                      <w:color w:val="auto"/>
                      <w:lang w:val="en-US" w:eastAsia="zh-CN"/>
                    </w:rPr>
                  </w:pPr>
                  <w:r>
                    <w:rPr>
                      <w:rFonts w:hint="eastAsia"/>
                      <w:b/>
                      <w:bCs/>
                      <w:color w:val="auto"/>
                      <w:lang w:eastAsia="zh-CN"/>
                    </w:rPr>
                    <w:t>监测点位</w:t>
                  </w:r>
                  <w:r>
                    <w:rPr>
                      <w:rFonts w:hint="eastAsia"/>
                      <w:b/>
                      <w:bCs/>
                      <w:color w:val="auto"/>
                      <w:lang w:val="en-US" w:eastAsia="zh-CN"/>
                    </w:rPr>
                    <w:t>/点位编号</w:t>
                  </w:r>
                </w:p>
              </w:tc>
              <w:tc>
                <w:tcPr>
                  <w:tcW w:w="2216" w:type="pct"/>
                  <w:gridSpan w:val="2"/>
                  <w:tcBorders>
                    <w:tl2br w:val="nil"/>
                    <w:tr2bl w:val="nil"/>
                  </w:tcBorders>
                  <w:noWrap w:val="0"/>
                  <w:vAlign w:val="center"/>
                </w:tcPr>
                <w:p w14:paraId="02925101">
                  <w:pPr>
                    <w:pStyle w:val="135"/>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color w:val="auto"/>
                      <w:sz w:val="21"/>
                      <w:szCs w:val="21"/>
                      <w:highlight w:val="none"/>
                    </w:rPr>
                  </w:pPr>
                  <w:r>
                    <w:rPr>
                      <w:rFonts w:hint="default" w:ascii="Times New Roman" w:hAnsi="Times New Roman"/>
                      <w:color w:val="auto"/>
                      <w:sz w:val="21"/>
                      <w:szCs w:val="21"/>
                      <w:highlight w:val="none"/>
                    </w:rPr>
                    <w:t>S</w:t>
                  </w:r>
                  <w:r>
                    <w:rPr>
                      <w:rFonts w:hint="eastAsia"/>
                      <w:color w:val="auto"/>
                      <w:sz w:val="21"/>
                      <w:szCs w:val="21"/>
                      <w:highlight w:val="none"/>
                      <w:lang w:val="en-US" w:eastAsia="zh-CN"/>
                    </w:rPr>
                    <w:t>1/</w:t>
                  </w:r>
                  <w:r>
                    <w:rPr>
                      <w:rStyle w:val="40"/>
                      <w:rFonts w:hint="eastAsia"/>
                      <w:b w:val="0"/>
                      <w:color w:val="auto"/>
                      <w:szCs w:val="21"/>
                      <w:lang w:eastAsia="zh-CN"/>
                    </w:rPr>
                    <w:t>储罐区</w:t>
                  </w:r>
                </w:p>
              </w:tc>
              <w:tc>
                <w:tcPr>
                  <w:tcW w:w="752" w:type="pct"/>
                  <w:vMerge w:val="continue"/>
                  <w:tcBorders>
                    <w:tl2br w:val="nil"/>
                    <w:tr2bl w:val="nil"/>
                  </w:tcBorders>
                  <w:noWrap w:val="0"/>
                  <w:vAlign w:val="center"/>
                </w:tcPr>
                <w:p w14:paraId="6A2A45BD">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rPr>
                  </w:pPr>
                </w:p>
              </w:tc>
              <w:tc>
                <w:tcPr>
                  <w:tcW w:w="639" w:type="pct"/>
                  <w:vMerge w:val="continue"/>
                  <w:tcBorders>
                    <w:tl2br w:val="nil"/>
                    <w:tr2bl w:val="nil"/>
                  </w:tcBorders>
                  <w:noWrap w:val="0"/>
                  <w:vAlign w:val="center"/>
                </w:tcPr>
                <w:p w14:paraId="05D97331">
                  <w:pPr>
                    <w:pStyle w:val="135"/>
                    <w:keepNext w:val="0"/>
                    <w:keepLines w:val="0"/>
                    <w:pageBreakBefore w:val="0"/>
                    <w:widowControl/>
                    <w:kinsoku/>
                    <w:wordWrap/>
                    <w:overflowPunct/>
                    <w:topLinePunct w:val="0"/>
                    <w:autoSpaceDE/>
                    <w:autoSpaceDN/>
                    <w:bidi w:val="0"/>
                    <w:adjustRightInd w:val="0"/>
                    <w:snapToGrid w:val="0"/>
                    <w:textAlignment w:val="auto"/>
                    <w:rPr>
                      <w:color w:val="auto"/>
                    </w:rPr>
                  </w:pPr>
                </w:p>
              </w:tc>
            </w:tr>
            <w:tr w14:paraId="731739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1392" w:type="pct"/>
                  <w:gridSpan w:val="2"/>
                  <w:tcBorders>
                    <w:tl2br w:val="nil"/>
                    <w:tr2bl w:val="nil"/>
                  </w:tcBorders>
                  <w:noWrap w:val="0"/>
                  <w:vAlign w:val="center"/>
                </w:tcPr>
                <w:p w14:paraId="66A29360">
                  <w:pPr>
                    <w:pStyle w:val="135"/>
                    <w:keepNext w:val="0"/>
                    <w:keepLines w:val="0"/>
                    <w:pageBreakBefore w:val="0"/>
                    <w:widowControl/>
                    <w:kinsoku/>
                    <w:wordWrap/>
                    <w:overflowPunct/>
                    <w:topLinePunct w:val="0"/>
                    <w:autoSpaceDE/>
                    <w:autoSpaceDN/>
                    <w:bidi w:val="0"/>
                    <w:adjustRightInd w:val="0"/>
                    <w:snapToGrid w:val="0"/>
                    <w:textAlignment w:val="auto"/>
                    <w:rPr>
                      <w:rFonts w:hint="eastAsia"/>
                      <w:b/>
                      <w:bCs/>
                      <w:color w:val="auto"/>
                      <w:lang w:eastAsia="zh-CN"/>
                    </w:rPr>
                  </w:pPr>
                  <w:r>
                    <w:rPr>
                      <w:rFonts w:hint="eastAsia"/>
                      <w:b/>
                      <w:bCs/>
                      <w:color w:val="auto"/>
                      <w:lang w:eastAsia="zh-CN"/>
                    </w:rPr>
                    <w:t>采样深度</w:t>
                  </w:r>
                </w:p>
              </w:tc>
              <w:tc>
                <w:tcPr>
                  <w:tcW w:w="2216" w:type="pct"/>
                  <w:gridSpan w:val="2"/>
                  <w:tcBorders>
                    <w:tl2br w:val="nil"/>
                    <w:tr2bl w:val="nil"/>
                  </w:tcBorders>
                  <w:noWrap w:val="0"/>
                  <w:vAlign w:val="center"/>
                </w:tcPr>
                <w:p w14:paraId="1D99728D">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0-0.2m</w:t>
                  </w:r>
                </w:p>
              </w:tc>
              <w:tc>
                <w:tcPr>
                  <w:tcW w:w="752" w:type="pct"/>
                  <w:vMerge w:val="continue"/>
                  <w:tcBorders>
                    <w:tl2br w:val="nil"/>
                    <w:tr2bl w:val="nil"/>
                  </w:tcBorders>
                  <w:noWrap w:val="0"/>
                  <w:vAlign w:val="center"/>
                </w:tcPr>
                <w:p w14:paraId="035626A1">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rPr>
                  </w:pPr>
                </w:p>
              </w:tc>
              <w:tc>
                <w:tcPr>
                  <w:tcW w:w="639" w:type="pct"/>
                  <w:vMerge w:val="continue"/>
                  <w:tcBorders>
                    <w:tl2br w:val="nil"/>
                    <w:tr2bl w:val="nil"/>
                  </w:tcBorders>
                  <w:noWrap w:val="0"/>
                  <w:vAlign w:val="center"/>
                </w:tcPr>
                <w:p w14:paraId="77741815">
                  <w:pPr>
                    <w:pStyle w:val="135"/>
                    <w:keepNext w:val="0"/>
                    <w:keepLines w:val="0"/>
                    <w:pageBreakBefore w:val="0"/>
                    <w:widowControl/>
                    <w:kinsoku/>
                    <w:wordWrap/>
                    <w:overflowPunct/>
                    <w:topLinePunct w:val="0"/>
                    <w:autoSpaceDE/>
                    <w:autoSpaceDN/>
                    <w:bidi w:val="0"/>
                    <w:adjustRightInd w:val="0"/>
                    <w:snapToGrid w:val="0"/>
                    <w:textAlignment w:val="auto"/>
                    <w:rPr>
                      <w:color w:val="auto"/>
                    </w:rPr>
                  </w:pPr>
                </w:p>
              </w:tc>
            </w:tr>
            <w:tr w14:paraId="4C7563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92" w:type="pct"/>
                  <w:gridSpan w:val="2"/>
                  <w:tcBorders>
                    <w:tl2br w:val="nil"/>
                    <w:tr2bl w:val="nil"/>
                  </w:tcBorders>
                  <w:noWrap w:val="0"/>
                  <w:vAlign w:val="center"/>
                </w:tcPr>
                <w:p w14:paraId="458AE5CB">
                  <w:pPr>
                    <w:pStyle w:val="135"/>
                    <w:keepNext w:val="0"/>
                    <w:keepLines w:val="0"/>
                    <w:pageBreakBefore w:val="0"/>
                    <w:widowControl/>
                    <w:kinsoku/>
                    <w:wordWrap/>
                    <w:overflowPunct/>
                    <w:topLinePunct w:val="0"/>
                    <w:autoSpaceDE/>
                    <w:autoSpaceDN/>
                    <w:bidi w:val="0"/>
                    <w:adjustRightInd w:val="0"/>
                    <w:snapToGrid w:val="0"/>
                    <w:textAlignment w:val="auto"/>
                    <w:rPr>
                      <w:rFonts w:hint="eastAsia"/>
                      <w:b/>
                      <w:bCs/>
                      <w:color w:val="auto"/>
                      <w:lang w:eastAsia="zh-CN"/>
                    </w:rPr>
                  </w:pPr>
                  <w:r>
                    <w:rPr>
                      <w:rFonts w:hint="eastAsia"/>
                      <w:b/>
                      <w:bCs/>
                      <w:color w:val="auto"/>
                      <w:lang w:eastAsia="zh-CN"/>
                    </w:rPr>
                    <w:t>采样点坐标</w:t>
                  </w:r>
                </w:p>
              </w:tc>
              <w:tc>
                <w:tcPr>
                  <w:tcW w:w="2216" w:type="pct"/>
                  <w:gridSpan w:val="2"/>
                  <w:tcBorders>
                    <w:tl2br w:val="nil"/>
                    <w:tr2bl w:val="nil"/>
                  </w:tcBorders>
                  <w:noWrap w:val="0"/>
                  <w:vAlign w:val="center"/>
                </w:tcPr>
                <w:p w14:paraId="3E0F5389">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highlight w:val="none"/>
                      <w:lang w:val="en-US" w:eastAsia="zh-CN"/>
                    </w:rPr>
                  </w:pPr>
                  <w:r>
                    <w:rPr>
                      <w:rFonts w:hint="eastAsia"/>
                      <w:color w:val="auto"/>
                      <w:highlight w:val="none"/>
                      <w:lang w:val="en-US" w:eastAsia="zh-CN"/>
                    </w:rPr>
                    <w:t>N</w:t>
                  </w:r>
                  <w:r>
                    <w:rPr>
                      <w:rFonts w:hint="default"/>
                      <w:color w:val="auto"/>
                      <w:highlight w:val="none"/>
                      <w:lang w:val="en-US" w:eastAsia="zh-CN"/>
                    </w:rPr>
                    <w:t>：</w:t>
                  </w:r>
                  <w:r>
                    <w:rPr>
                      <w:rFonts w:hint="eastAsia"/>
                      <w:color w:val="auto"/>
                      <w:highlight w:val="none"/>
                      <w:lang w:val="en-US" w:eastAsia="zh-CN"/>
                    </w:rPr>
                    <w:t>29</w:t>
                  </w:r>
                  <w:r>
                    <w:rPr>
                      <w:rFonts w:hint="default"/>
                      <w:color w:val="auto"/>
                      <w:highlight w:val="none"/>
                      <w:lang w:val="en-US" w:eastAsia="zh-CN"/>
                    </w:rPr>
                    <w:t>°</w:t>
                  </w:r>
                  <w:r>
                    <w:rPr>
                      <w:rFonts w:hint="eastAsia"/>
                      <w:color w:val="auto"/>
                      <w:highlight w:val="none"/>
                      <w:lang w:val="en-US" w:eastAsia="zh-CN"/>
                    </w:rPr>
                    <w:t>39</w:t>
                  </w:r>
                  <w:r>
                    <w:rPr>
                      <w:rFonts w:hint="default"/>
                      <w:color w:val="auto"/>
                      <w:highlight w:val="none"/>
                      <w:lang w:val="en-US" w:eastAsia="zh-CN"/>
                    </w:rPr>
                    <w:t>′</w:t>
                  </w:r>
                  <w:r>
                    <w:rPr>
                      <w:rFonts w:hint="eastAsia"/>
                      <w:color w:val="auto"/>
                      <w:highlight w:val="none"/>
                      <w:lang w:val="en-US" w:eastAsia="zh-CN"/>
                    </w:rPr>
                    <w:t>02.14</w:t>
                  </w:r>
                  <w:r>
                    <w:rPr>
                      <w:rFonts w:hint="default"/>
                      <w:color w:val="auto"/>
                      <w:highlight w:val="none"/>
                      <w:lang w:val="en-US" w:eastAsia="zh-CN"/>
                    </w:rPr>
                    <w:t>″；</w:t>
                  </w:r>
                  <w:r>
                    <w:rPr>
                      <w:rFonts w:hint="eastAsia"/>
                      <w:color w:val="auto"/>
                      <w:highlight w:val="none"/>
                      <w:lang w:val="en-US" w:eastAsia="zh-CN"/>
                    </w:rPr>
                    <w:t>E</w:t>
                  </w:r>
                  <w:r>
                    <w:rPr>
                      <w:rFonts w:hint="default"/>
                      <w:color w:val="auto"/>
                      <w:highlight w:val="none"/>
                      <w:lang w:val="en-US" w:eastAsia="zh-CN"/>
                    </w:rPr>
                    <w:t>：</w:t>
                  </w:r>
                  <w:r>
                    <w:rPr>
                      <w:rFonts w:hint="eastAsia"/>
                      <w:color w:val="auto"/>
                      <w:highlight w:val="none"/>
                      <w:lang w:val="en-US" w:eastAsia="zh-CN"/>
                    </w:rPr>
                    <w:t>115</w:t>
                  </w:r>
                  <w:r>
                    <w:rPr>
                      <w:rFonts w:hint="default"/>
                      <w:color w:val="auto"/>
                      <w:highlight w:val="none"/>
                      <w:lang w:val="en-US" w:eastAsia="zh-CN"/>
                    </w:rPr>
                    <w:t>°</w:t>
                  </w:r>
                  <w:r>
                    <w:rPr>
                      <w:rFonts w:hint="eastAsia"/>
                      <w:color w:val="auto"/>
                      <w:highlight w:val="none"/>
                      <w:lang w:val="en-US" w:eastAsia="zh-CN"/>
                    </w:rPr>
                    <w:t>49</w:t>
                  </w:r>
                  <w:r>
                    <w:rPr>
                      <w:rFonts w:hint="default"/>
                      <w:color w:val="auto"/>
                      <w:highlight w:val="none"/>
                      <w:lang w:val="en-US" w:eastAsia="zh-CN"/>
                    </w:rPr>
                    <w:t>′</w:t>
                  </w:r>
                  <w:r>
                    <w:rPr>
                      <w:rFonts w:hint="eastAsia"/>
                      <w:color w:val="auto"/>
                      <w:highlight w:val="none"/>
                      <w:lang w:val="en-US" w:eastAsia="zh-CN"/>
                    </w:rPr>
                    <w:t>23.49</w:t>
                  </w:r>
                  <w:r>
                    <w:rPr>
                      <w:rFonts w:hint="default"/>
                      <w:color w:val="auto"/>
                      <w:highlight w:val="none"/>
                      <w:lang w:val="en-US" w:eastAsia="zh-CN"/>
                    </w:rPr>
                    <w:t>″</w:t>
                  </w:r>
                </w:p>
              </w:tc>
              <w:tc>
                <w:tcPr>
                  <w:tcW w:w="752" w:type="pct"/>
                  <w:vMerge w:val="continue"/>
                  <w:tcBorders>
                    <w:tl2br w:val="nil"/>
                    <w:tr2bl w:val="nil"/>
                  </w:tcBorders>
                  <w:noWrap w:val="0"/>
                  <w:vAlign w:val="center"/>
                </w:tcPr>
                <w:p w14:paraId="05C61D4E">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rPr>
                  </w:pPr>
                </w:p>
              </w:tc>
              <w:tc>
                <w:tcPr>
                  <w:tcW w:w="639" w:type="pct"/>
                  <w:vMerge w:val="continue"/>
                  <w:tcBorders>
                    <w:tl2br w:val="nil"/>
                    <w:tr2bl w:val="nil"/>
                  </w:tcBorders>
                  <w:noWrap w:val="0"/>
                  <w:vAlign w:val="center"/>
                </w:tcPr>
                <w:p w14:paraId="763B9D97">
                  <w:pPr>
                    <w:pStyle w:val="135"/>
                    <w:keepNext w:val="0"/>
                    <w:keepLines w:val="0"/>
                    <w:pageBreakBefore w:val="0"/>
                    <w:widowControl/>
                    <w:kinsoku/>
                    <w:wordWrap/>
                    <w:overflowPunct/>
                    <w:topLinePunct w:val="0"/>
                    <w:autoSpaceDE/>
                    <w:autoSpaceDN/>
                    <w:bidi w:val="0"/>
                    <w:adjustRightInd w:val="0"/>
                    <w:snapToGrid w:val="0"/>
                    <w:textAlignment w:val="auto"/>
                    <w:rPr>
                      <w:color w:val="auto"/>
                    </w:rPr>
                  </w:pPr>
                </w:p>
              </w:tc>
            </w:tr>
            <w:tr w14:paraId="6CCAD9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92" w:type="pct"/>
                  <w:gridSpan w:val="2"/>
                  <w:tcBorders>
                    <w:tl2br w:val="nil"/>
                    <w:tr2bl w:val="nil"/>
                  </w:tcBorders>
                  <w:noWrap w:val="0"/>
                  <w:vAlign w:val="center"/>
                </w:tcPr>
                <w:p w14:paraId="00B4B73A">
                  <w:pPr>
                    <w:pStyle w:val="135"/>
                    <w:keepNext w:val="0"/>
                    <w:keepLines w:val="0"/>
                    <w:pageBreakBefore w:val="0"/>
                    <w:widowControl/>
                    <w:kinsoku/>
                    <w:wordWrap/>
                    <w:overflowPunct/>
                    <w:topLinePunct w:val="0"/>
                    <w:autoSpaceDE/>
                    <w:autoSpaceDN/>
                    <w:bidi w:val="0"/>
                    <w:adjustRightInd w:val="0"/>
                    <w:snapToGrid w:val="0"/>
                    <w:textAlignment w:val="auto"/>
                    <w:rPr>
                      <w:rFonts w:hint="eastAsia"/>
                      <w:b/>
                      <w:bCs/>
                      <w:color w:val="auto"/>
                      <w:lang w:eastAsia="zh-CN"/>
                    </w:rPr>
                  </w:pPr>
                  <w:r>
                    <w:rPr>
                      <w:rFonts w:hint="eastAsia"/>
                      <w:b/>
                      <w:bCs/>
                      <w:color w:val="auto"/>
                      <w:lang w:eastAsia="zh-CN"/>
                    </w:rPr>
                    <w:t>样品性状</w:t>
                  </w:r>
                </w:p>
              </w:tc>
              <w:tc>
                <w:tcPr>
                  <w:tcW w:w="2216" w:type="pct"/>
                  <w:gridSpan w:val="2"/>
                  <w:tcBorders>
                    <w:tl2br w:val="nil"/>
                    <w:tr2bl w:val="nil"/>
                  </w:tcBorders>
                  <w:noWrap w:val="0"/>
                  <w:vAlign w:val="center"/>
                </w:tcPr>
                <w:p w14:paraId="008F9D67">
                  <w:pPr>
                    <w:pStyle w:val="135"/>
                    <w:keepNext w:val="0"/>
                    <w:keepLines w:val="0"/>
                    <w:pageBreakBefore w:val="0"/>
                    <w:widowControl/>
                    <w:kinsoku/>
                    <w:wordWrap/>
                    <w:overflowPunct/>
                    <w:topLinePunct w:val="0"/>
                    <w:autoSpaceDE/>
                    <w:autoSpaceDN/>
                    <w:bidi w:val="0"/>
                    <w:adjustRightInd w:val="0"/>
                    <w:snapToGrid w:val="0"/>
                    <w:textAlignment w:val="auto"/>
                    <w:rPr>
                      <w:rFonts w:hint="eastAsia" w:cs="Times New Roman"/>
                      <w:color w:val="auto"/>
                      <w:kern w:val="2"/>
                      <w:sz w:val="21"/>
                      <w:szCs w:val="22"/>
                      <w:highlight w:val="none"/>
                      <w:lang w:val="en-US" w:eastAsia="zh-CN" w:bidi="ar-SA"/>
                    </w:rPr>
                  </w:pPr>
                  <w:r>
                    <w:rPr>
                      <w:rFonts w:hint="eastAsia" w:cs="Times New Roman"/>
                      <w:color w:val="auto"/>
                      <w:kern w:val="2"/>
                      <w:sz w:val="21"/>
                      <w:szCs w:val="22"/>
                      <w:highlight w:val="none"/>
                      <w:lang w:val="en-US" w:eastAsia="zh-CN" w:bidi="ar-SA"/>
                    </w:rPr>
                    <w:t>有根系、红棕色、松散状、</w:t>
                  </w:r>
                  <w:r>
                    <w:rPr>
                      <w:rFonts w:hint="default" w:ascii="Times New Roman" w:hAnsi="Times New Roman" w:eastAsia="仿宋_GB2312" w:cs="Times New Roman"/>
                      <w:sz w:val="21"/>
                      <w:szCs w:val="21"/>
                    </w:rPr>
                    <w:t>＜</w:t>
                  </w:r>
                  <w:r>
                    <w:rPr>
                      <w:rFonts w:hint="eastAsia" w:cs="Times New Roman"/>
                      <w:color w:val="auto"/>
                      <w:kern w:val="2"/>
                      <w:sz w:val="21"/>
                      <w:szCs w:val="22"/>
                      <w:highlight w:val="none"/>
                      <w:lang w:val="en-US" w:eastAsia="zh-CN" w:bidi="ar-SA"/>
                    </w:rPr>
                    <w:t>20%砂砾含量、少量石子、干、中壤土</w:t>
                  </w:r>
                </w:p>
              </w:tc>
              <w:tc>
                <w:tcPr>
                  <w:tcW w:w="752" w:type="pct"/>
                  <w:vMerge w:val="continue"/>
                  <w:tcBorders>
                    <w:tl2br w:val="nil"/>
                    <w:tr2bl w:val="nil"/>
                  </w:tcBorders>
                  <w:noWrap w:val="0"/>
                  <w:vAlign w:val="center"/>
                </w:tcPr>
                <w:p w14:paraId="57E831C3">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rPr>
                  </w:pPr>
                </w:p>
              </w:tc>
              <w:tc>
                <w:tcPr>
                  <w:tcW w:w="639" w:type="pct"/>
                  <w:vMerge w:val="continue"/>
                  <w:tcBorders>
                    <w:tl2br w:val="nil"/>
                    <w:tr2bl w:val="nil"/>
                  </w:tcBorders>
                  <w:noWrap w:val="0"/>
                  <w:vAlign w:val="center"/>
                </w:tcPr>
                <w:p w14:paraId="33A38927">
                  <w:pPr>
                    <w:pStyle w:val="135"/>
                    <w:keepNext w:val="0"/>
                    <w:keepLines w:val="0"/>
                    <w:pageBreakBefore w:val="0"/>
                    <w:widowControl/>
                    <w:kinsoku/>
                    <w:wordWrap/>
                    <w:overflowPunct/>
                    <w:topLinePunct w:val="0"/>
                    <w:autoSpaceDE/>
                    <w:autoSpaceDN/>
                    <w:bidi w:val="0"/>
                    <w:adjustRightInd w:val="0"/>
                    <w:snapToGrid w:val="0"/>
                    <w:textAlignment w:val="auto"/>
                    <w:rPr>
                      <w:color w:val="auto"/>
                    </w:rPr>
                  </w:pPr>
                </w:p>
              </w:tc>
            </w:tr>
            <w:tr w14:paraId="7FA2E8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1" w:type="pct"/>
                  <w:tcBorders>
                    <w:tl2br w:val="nil"/>
                    <w:tr2bl w:val="nil"/>
                  </w:tcBorders>
                  <w:noWrap w:val="0"/>
                  <w:vAlign w:val="center"/>
                </w:tcPr>
                <w:p w14:paraId="26C46AC9">
                  <w:pPr>
                    <w:pStyle w:val="135"/>
                    <w:keepNext w:val="0"/>
                    <w:keepLines w:val="0"/>
                    <w:pageBreakBefore w:val="0"/>
                    <w:widowControl/>
                    <w:kinsoku/>
                    <w:wordWrap/>
                    <w:overflowPunct/>
                    <w:topLinePunct w:val="0"/>
                    <w:autoSpaceDE/>
                    <w:autoSpaceDN/>
                    <w:bidi w:val="0"/>
                    <w:adjustRightInd w:val="0"/>
                    <w:snapToGrid w:val="0"/>
                    <w:textAlignment w:val="auto"/>
                    <w:rPr>
                      <w:rFonts w:hint="eastAsia"/>
                      <w:b/>
                      <w:bCs/>
                      <w:color w:val="auto"/>
                      <w:lang w:eastAsia="zh-CN"/>
                    </w:rPr>
                  </w:pPr>
                  <w:r>
                    <w:rPr>
                      <w:rFonts w:hint="eastAsia"/>
                      <w:b/>
                      <w:bCs/>
                      <w:color w:val="auto"/>
                      <w:lang w:eastAsia="zh-CN"/>
                    </w:rPr>
                    <w:t>序号</w:t>
                  </w:r>
                </w:p>
              </w:tc>
              <w:tc>
                <w:tcPr>
                  <w:tcW w:w="1021" w:type="pct"/>
                  <w:tcBorders>
                    <w:tl2br w:val="nil"/>
                    <w:tr2bl w:val="nil"/>
                  </w:tcBorders>
                  <w:noWrap w:val="0"/>
                  <w:vAlign w:val="center"/>
                </w:tcPr>
                <w:p w14:paraId="08C8ABB2">
                  <w:pPr>
                    <w:pStyle w:val="135"/>
                    <w:keepNext w:val="0"/>
                    <w:keepLines w:val="0"/>
                    <w:pageBreakBefore w:val="0"/>
                    <w:widowControl/>
                    <w:kinsoku/>
                    <w:wordWrap/>
                    <w:overflowPunct/>
                    <w:topLinePunct w:val="0"/>
                    <w:autoSpaceDE/>
                    <w:autoSpaceDN/>
                    <w:bidi w:val="0"/>
                    <w:adjustRightInd w:val="0"/>
                    <w:snapToGrid w:val="0"/>
                    <w:textAlignment w:val="auto"/>
                    <w:rPr>
                      <w:rFonts w:hint="eastAsia"/>
                      <w:b/>
                      <w:bCs/>
                      <w:color w:val="auto"/>
                      <w:lang w:val="en-US" w:eastAsia="zh-CN"/>
                    </w:rPr>
                  </w:pPr>
                  <w:r>
                    <w:rPr>
                      <w:rFonts w:hint="eastAsia"/>
                      <w:b/>
                      <w:bCs/>
                      <w:color w:val="auto"/>
                    </w:rPr>
                    <w:t>检测项目</w:t>
                  </w:r>
                </w:p>
              </w:tc>
              <w:tc>
                <w:tcPr>
                  <w:tcW w:w="1108" w:type="pct"/>
                  <w:tcBorders>
                    <w:tl2br w:val="nil"/>
                    <w:tr2bl w:val="nil"/>
                  </w:tcBorders>
                  <w:noWrap w:val="0"/>
                  <w:vAlign w:val="center"/>
                </w:tcPr>
                <w:p w14:paraId="4ED8FDA2">
                  <w:pPr>
                    <w:pStyle w:val="135"/>
                    <w:keepNext w:val="0"/>
                    <w:keepLines w:val="0"/>
                    <w:pageBreakBefore w:val="0"/>
                    <w:widowControl/>
                    <w:kinsoku/>
                    <w:wordWrap/>
                    <w:overflowPunct/>
                    <w:topLinePunct w:val="0"/>
                    <w:autoSpaceDE/>
                    <w:autoSpaceDN/>
                    <w:bidi w:val="0"/>
                    <w:adjustRightInd w:val="0"/>
                    <w:snapToGrid w:val="0"/>
                    <w:textAlignment w:val="auto"/>
                    <w:rPr>
                      <w:rFonts w:hint="eastAsia"/>
                      <w:b/>
                      <w:bCs/>
                      <w:color w:val="auto"/>
                    </w:rPr>
                  </w:pPr>
                  <w:r>
                    <w:rPr>
                      <w:rFonts w:hint="eastAsia"/>
                      <w:b/>
                      <w:bCs/>
                      <w:color w:val="auto"/>
                    </w:rPr>
                    <w:t>检测结果</w:t>
                  </w:r>
                </w:p>
              </w:tc>
              <w:tc>
                <w:tcPr>
                  <w:tcW w:w="1108" w:type="pct"/>
                  <w:tcBorders>
                    <w:tl2br w:val="nil"/>
                    <w:tr2bl w:val="nil"/>
                  </w:tcBorders>
                  <w:noWrap w:val="0"/>
                  <w:vAlign w:val="center"/>
                </w:tcPr>
                <w:p w14:paraId="750B0F34">
                  <w:pPr>
                    <w:pStyle w:val="135"/>
                    <w:keepNext w:val="0"/>
                    <w:keepLines w:val="0"/>
                    <w:pageBreakBefore w:val="0"/>
                    <w:widowControl/>
                    <w:kinsoku/>
                    <w:wordWrap/>
                    <w:overflowPunct/>
                    <w:topLinePunct w:val="0"/>
                    <w:autoSpaceDE/>
                    <w:autoSpaceDN/>
                    <w:bidi w:val="0"/>
                    <w:adjustRightInd w:val="0"/>
                    <w:snapToGrid w:val="0"/>
                    <w:textAlignment w:val="auto"/>
                    <w:rPr>
                      <w:rFonts w:hint="eastAsia" w:eastAsia="宋体"/>
                      <w:b/>
                      <w:bCs/>
                      <w:color w:val="auto"/>
                      <w:lang w:val="en-US" w:eastAsia="zh-CN"/>
                    </w:rPr>
                  </w:pPr>
                  <w:r>
                    <w:rPr>
                      <w:rFonts w:hint="eastAsia"/>
                      <w:b/>
                      <w:bCs/>
                      <w:color w:val="auto"/>
                      <w:lang w:val="en-US" w:eastAsia="zh-CN"/>
                    </w:rPr>
                    <w:t>单位</w:t>
                  </w:r>
                </w:p>
              </w:tc>
              <w:tc>
                <w:tcPr>
                  <w:tcW w:w="752" w:type="pct"/>
                  <w:vMerge w:val="continue"/>
                  <w:tcBorders>
                    <w:tl2br w:val="nil"/>
                    <w:tr2bl w:val="nil"/>
                  </w:tcBorders>
                  <w:noWrap w:val="0"/>
                  <w:vAlign w:val="center"/>
                </w:tcPr>
                <w:p w14:paraId="50B1A8F8">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rPr>
                  </w:pPr>
                </w:p>
              </w:tc>
              <w:tc>
                <w:tcPr>
                  <w:tcW w:w="639" w:type="pct"/>
                  <w:vMerge w:val="continue"/>
                  <w:tcBorders>
                    <w:tl2br w:val="nil"/>
                    <w:tr2bl w:val="nil"/>
                  </w:tcBorders>
                  <w:noWrap w:val="0"/>
                  <w:vAlign w:val="center"/>
                </w:tcPr>
                <w:p w14:paraId="539F14A8">
                  <w:pPr>
                    <w:pStyle w:val="135"/>
                    <w:keepNext w:val="0"/>
                    <w:keepLines w:val="0"/>
                    <w:pageBreakBefore w:val="0"/>
                    <w:widowControl/>
                    <w:kinsoku/>
                    <w:wordWrap/>
                    <w:overflowPunct/>
                    <w:topLinePunct w:val="0"/>
                    <w:autoSpaceDE/>
                    <w:autoSpaceDN/>
                    <w:bidi w:val="0"/>
                    <w:adjustRightInd w:val="0"/>
                    <w:snapToGrid w:val="0"/>
                    <w:textAlignment w:val="auto"/>
                    <w:rPr>
                      <w:color w:val="auto"/>
                    </w:rPr>
                  </w:pPr>
                </w:p>
              </w:tc>
            </w:tr>
            <w:tr w14:paraId="574229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1" w:type="pct"/>
                  <w:tcBorders>
                    <w:tl2br w:val="nil"/>
                    <w:tr2bl w:val="nil"/>
                  </w:tcBorders>
                  <w:noWrap w:val="0"/>
                  <w:vAlign w:val="center"/>
                </w:tcPr>
                <w:p w14:paraId="743B634D">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1</w:t>
                  </w:r>
                </w:p>
              </w:tc>
              <w:tc>
                <w:tcPr>
                  <w:tcW w:w="1021" w:type="pct"/>
                  <w:tcBorders>
                    <w:tl2br w:val="nil"/>
                    <w:tr2bl w:val="nil"/>
                  </w:tcBorders>
                  <w:noWrap w:val="0"/>
                  <w:vAlign w:val="center"/>
                </w:tcPr>
                <w:p w14:paraId="5DF749C4">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eastAsia="zh-CN"/>
                    </w:rPr>
                    <w:t>石油烃</w:t>
                  </w:r>
                </w:p>
              </w:tc>
              <w:tc>
                <w:tcPr>
                  <w:tcW w:w="1108" w:type="pct"/>
                  <w:tcBorders>
                    <w:tl2br w:val="nil"/>
                    <w:tr2bl w:val="nil"/>
                  </w:tcBorders>
                  <w:noWrap w:val="0"/>
                  <w:vAlign w:val="center"/>
                </w:tcPr>
                <w:p w14:paraId="65828BD9">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56</w:t>
                  </w:r>
                </w:p>
              </w:tc>
              <w:tc>
                <w:tcPr>
                  <w:tcW w:w="1108" w:type="pct"/>
                  <w:tcBorders>
                    <w:tl2br w:val="nil"/>
                    <w:tr2bl w:val="nil"/>
                  </w:tcBorders>
                  <w:noWrap w:val="0"/>
                  <w:vAlign w:val="center"/>
                </w:tcPr>
                <w:p w14:paraId="715741B8">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r>
                    <w:rPr>
                      <w:rFonts w:hint="default"/>
                    </w:rPr>
                    <w:t>mg/kg</w:t>
                  </w:r>
                </w:p>
              </w:tc>
              <w:tc>
                <w:tcPr>
                  <w:tcW w:w="752" w:type="pct"/>
                  <w:tcBorders>
                    <w:tl2br w:val="nil"/>
                    <w:tr2bl w:val="nil"/>
                  </w:tcBorders>
                  <w:noWrap w:val="0"/>
                  <w:vAlign w:val="center"/>
                </w:tcPr>
                <w:p w14:paraId="45B4F34C">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4500</w:t>
                  </w:r>
                </w:p>
              </w:tc>
              <w:tc>
                <w:tcPr>
                  <w:tcW w:w="639" w:type="pct"/>
                  <w:tcBorders>
                    <w:tl2br w:val="nil"/>
                    <w:tr2bl w:val="nil"/>
                  </w:tcBorders>
                  <w:noWrap w:val="0"/>
                  <w:vAlign w:val="center"/>
                </w:tcPr>
                <w:p w14:paraId="1E75F28E">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否</w:t>
                  </w:r>
                </w:p>
              </w:tc>
            </w:tr>
            <w:tr w14:paraId="0B3B2F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1" w:type="pct"/>
                  <w:tcBorders>
                    <w:tl2br w:val="nil"/>
                    <w:tr2bl w:val="nil"/>
                  </w:tcBorders>
                  <w:noWrap w:val="0"/>
                  <w:vAlign w:val="center"/>
                </w:tcPr>
                <w:p w14:paraId="4226AE4A">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2</w:t>
                  </w:r>
                </w:p>
              </w:tc>
              <w:tc>
                <w:tcPr>
                  <w:tcW w:w="1021" w:type="pct"/>
                  <w:tcBorders>
                    <w:tl2br w:val="nil"/>
                    <w:tr2bl w:val="nil"/>
                  </w:tcBorders>
                  <w:noWrap w:val="0"/>
                  <w:vAlign w:val="center"/>
                </w:tcPr>
                <w:p w14:paraId="0B5D24AE">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eastAsia="zh-CN"/>
                    </w:rPr>
                    <w:t>氨氮</w:t>
                  </w:r>
                </w:p>
              </w:tc>
              <w:tc>
                <w:tcPr>
                  <w:tcW w:w="1108" w:type="pct"/>
                  <w:tcBorders>
                    <w:tl2br w:val="nil"/>
                    <w:tr2bl w:val="nil"/>
                  </w:tcBorders>
                  <w:noWrap w:val="0"/>
                  <w:vAlign w:val="center"/>
                </w:tcPr>
                <w:p w14:paraId="3E1A702F">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s="Times New Roman"/>
                      <w:color w:val="auto"/>
                      <w:kern w:val="2"/>
                      <w:sz w:val="21"/>
                      <w:szCs w:val="22"/>
                      <w:lang w:val="en-US" w:eastAsia="zh-CN" w:bidi="ar-SA"/>
                    </w:rPr>
                    <w:t>3.11</w:t>
                  </w:r>
                </w:p>
              </w:tc>
              <w:tc>
                <w:tcPr>
                  <w:tcW w:w="1108" w:type="pct"/>
                  <w:tcBorders>
                    <w:tl2br w:val="nil"/>
                    <w:tr2bl w:val="nil"/>
                  </w:tcBorders>
                  <w:noWrap w:val="0"/>
                  <w:vAlign w:val="center"/>
                </w:tcPr>
                <w:p w14:paraId="38751722">
                  <w:pPr>
                    <w:pStyle w:val="135"/>
                    <w:keepNext w:val="0"/>
                    <w:keepLines w:val="0"/>
                    <w:pageBreakBefore w:val="0"/>
                    <w:widowControl/>
                    <w:kinsoku/>
                    <w:wordWrap/>
                    <w:overflowPunct/>
                    <w:topLinePunct w:val="0"/>
                    <w:autoSpaceDE/>
                    <w:autoSpaceDN/>
                    <w:bidi w:val="0"/>
                    <w:adjustRightInd w:val="0"/>
                    <w:snapToGrid w:val="0"/>
                    <w:textAlignment w:val="auto"/>
                    <w:rPr>
                      <w:rFonts w:hint="eastAsia" w:cs="Times New Roman"/>
                      <w:color w:val="auto"/>
                      <w:kern w:val="2"/>
                      <w:sz w:val="21"/>
                      <w:szCs w:val="22"/>
                      <w:lang w:val="en-US" w:eastAsia="zh-CN" w:bidi="ar-SA"/>
                    </w:rPr>
                  </w:pPr>
                  <w:r>
                    <w:rPr>
                      <w:rFonts w:hint="default"/>
                    </w:rPr>
                    <w:t>mg/kg</w:t>
                  </w:r>
                </w:p>
              </w:tc>
              <w:tc>
                <w:tcPr>
                  <w:tcW w:w="752" w:type="pct"/>
                  <w:tcBorders>
                    <w:tl2br w:val="nil"/>
                    <w:tr2bl w:val="nil"/>
                  </w:tcBorders>
                  <w:noWrap w:val="0"/>
                  <w:vAlign w:val="center"/>
                </w:tcPr>
                <w:p w14:paraId="73E63A40">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1000</w:t>
                  </w:r>
                </w:p>
              </w:tc>
              <w:tc>
                <w:tcPr>
                  <w:tcW w:w="639" w:type="pct"/>
                  <w:tcBorders>
                    <w:tl2br w:val="nil"/>
                    <w:tr2bl w:val="nil"/>
                  </w:tcBorders>
                  <w:noWrap w:val="0"/>
                  <w:vAlign w:val="center"/>
                </w:tcPr>
                <w:p w14:paraId="0D35DB76">
                  <w:pPr>
                    <w:pStyle w:val="135"/>
                    <w:keepNext w:val="0"/>
                    <w:keepLines w:val="0"/>
                    <w:pageBreakBefore w:val="0"/>
                    <w:widowControl/>
                    <w:kinsoku/>
                    <w:wordWrap/>
                    <w:overflowPunct/>
                    <w:topLinePunct w:val="0"/>
                    <w:autoSpaceDE/>
                    <w:autoSpaceDN/>
                    <w:bidi w:val="0"/>
                    <w:adjustRightInd w:val="0"/>
                    <w:snapToGrid w:val="0"/>
                    <w:textAlignment w:val="auto"/>
                    <w:rPr>
                      <w:color w:val="auto"/>
                      <w:lang w:val="en-US" w:eastAsia="zh-CN"/>
                    </w:rPr>
                  </w:pPr>
                  <w:r>
                    <w:rPr>
                      <w:rFonts w:hint="eastAsia"/>
                      <w:color w:val="auto"/>
                      <w:lang w:val="en-US" w:eastAsia="zh-CN"/>
                    </w:rPr>
                    <w:t>否</w:t>
                  </w:r>
                </w:p>
              </w:tc>
            </w:tr>
            <w:tr w14:paraId="62A783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1" w:type="pct"/>
                  <w:tcBorders>
                    <w:tl2br w:val="nil"/>
                    <w:tr2bl w:val="nil"/>
                  </w:tcBorders>
                  <w:noWrap w:val="0"/>
                  <w:vAlign w:val="center"/>
                </w:tcPr>
                <w:p w14:paraId="62BBFEB0">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3</w:t>
                  </w:r>
                </w:p>
              </w:tc>
              <w:tc>
                <w:tcPr>
                  <w:tcW w:w="1021" w:type="pct"/>
                  <w:tcBorders>
                    <w:tl2br w:val="nil"/>
                    <w:tr2bl w:val="nil"/>
                  </w:tcBorders>
                  <w:noWrap w:val="0"/>
                  <w:vAlign w:val="center"/>
                </w:tcPr>
                <w:p w14:paraId="334442B2">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镉</w:t>
                  </w:r>
                </w:p>
              </w:tc>
              <w:tc>
                <w:tcPr>
                  <w:tcW w:w="1108" w:type="pct"/>
                  <w:tcBorders>
                    <w:tl2br w:val="nil"/>
                    <w:tr2bl w:val="nil"/>
                  </w:tcBorders>
                  <w:noWrap w:val="0"/>
                  <w:vAlign w:val="center"/>
                </w:tcPr>
                <w:p w14:paraId="507061C9">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r>
                    <w:rPr>
                      <w:rFonts w:hint="eastAsia" w:cs="Times New Roman"/>
                      <w:color w:val="auto"/>
                      <w:kern w:val="2"/>
                      <w:sz w:val="21"/>
                      <w:szCs w:val="22"/>
                      <w:highlight w:val="none"/>
                      <w:lang w:val="en-US" w:eastAsia="zh-CN" w:bidi="ar-SA"/>
                    </w:rPr>
                    <w:t>0.32</w:t>
                  </w:r>
                </w:p>
              </w:tc>
              <w:tc>
                <w:tcPr>
                  <w:tcW w:w="1108" w:type="pct"/>
                  <w:tcBorders>
                    <w:tl2br w:val="nil"/>
                    <w:tr2bl w:val="nil"/>
                  </w:tcBorders>
                  <w:noWrap w:val="0"/>
                  <w:vAlign w:val="center"/>
                </w:tcPr>
                <w:p w14:paraId="4ADDB954">
                  <w:pPr>
                    <w:pStyle w:val="135"/>
                    <w:keepNext w:val="0"/>
                    <w:keepLines w:val="0"/>
                    <w:pageBreakBefore w:val="0"/>
                    <w:widowControl/>
                    <w:kinsoku/>
                    <w:wordWrap/>
                    <w:overflowPunct/>
                    <w:topLinePunct w:val="0"/>
                    <w:autoSpaceDE/>
                    <w:autoSpaceDN/>
                    <w:bidi w:val="0"/>
                    <w:adjustRightInd w:val="0"/>
                    <w:snapToGrid w:val="0"/>
                    <w:textAlignment w:val="auto"/>
                    <w:rPr>
                      <w:rFonts w:hint="eastAsia" w:cs="Times New Roman"/>
                      <w:color w:val="auto"/>
                      <w:kern w:val="2"/>
                      <w:sz w:val="21"/>
                      <w:szCs w:val="22"/>
                      <w:highlight w:val="none"/>
                      <w:lang w:val="en-US" w:eastAsia="zh-CN" w:bidi="ar-SA"/>
                    </w:rPr>
                  </w:pPr>
                  <w:r>
                    <w:t>mg/kg</w:t>
                  </w:r>
                </w:p>
              </w:tc>
              <w:tc>
                <w:tcPr>
                  <w:tcW w:w="752" w:type="pct"/>
                  <w:tcBorders>
                    <w:tl2br w:val="nil"/>
                    <w:tr2bl w:val="nil"/>
                  </w:tcBorders>
                  <w:noWrap w:val="0"/>
                  <w:vAlign w:val="center"/>
                </w:tcPr>
                <w:p w14:paraId="76907731">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65</w:t>
                  </w:r>
                </w:p>
              </w:tc>
              <w:tc>
                <w:tcPr>
                  <w:tcW w:w="639" w:type="pct"/>
                  <w:tcBorders>
                    <w:tl2br w:val="nil"/>
                    <w:tr2bl w:val="nil"/>
                  </w:tcBorders>
                  <w:noWrap w:val="0"/>
                  <w:vAlign w:val="center"/>
                </w:tcPr>
                <w:p w14:paraId="51DE00B5">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否</w:t>
                  </w:r>
                </w:p>
              </w:tc>
            </w:tr>
            <w:tr w14:paraId="3F6683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1" w:type="pct"/>
                  <w:tcBorders>
                    <w:tl2br w:val="nil"/>
                    <w:tr2bl w:val="nil"/>
                  </w:tcBorders>
                  <w:noWrap w:val="0"/>
                  <w:vAlign w:val="center"/>
                </w:tcPr>
                <w:p w14:paraId="20F78EDF">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4</w:t>
                  </w:r>
                </w:p>
              </w:tc>
              <w:tc>
                <w:tcPr>
                  <w:tcW w:w="1021" w:type="pct"/>
                  <w:tcBorders>
                    <w:tl2br w:val="nil"/>
                    <w:tr2bl w:val="nil"/>
                  </w:tcBorders>
                  <w:noWrap w:val="0"/>
                  <w:vAlign w:val="center"/>
                </w:tcPr>
                <w:p w14:paraId="04544DC2">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铅</w:t>
                  </w:r>
                </w:p>
              </w:tc>
              <w:tc>
                <w:tcPr>
                  <w:tcW w:w="1108" w:type="pct"/>
                  <w:tcBorders>
                    <w:tl2br w:val="nil"/>
                    <w:tr2bl w:val="nil"/>
                  </w:tcBorders>
                  <w:noWrap w:val="0"/>
                  <w:vAlign w:val="center"/>
                </w:tcPr>
                <w:p w14:paraId="7FA78661">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r>
                    <w:rPr>
                      <w:rFonts w:hint="eastAsia" w:cs="Times New Roman"/>
                      <w:color w:val="auto"/>
                      <w:kern w:val="2"/>
                      <w:sz w:val="21"/>
                      <w:szCs w:val="22"/>
                      <w:highlight w:val="none"/>
                      <w:lang w:val="en-US" w:eastAsia="zh-CN" w:bidi="ar-SA"/>
                    </w:rPr>
                    <w:t>35.6</w:t>
                  </w:r>
                </w:p>
              </w:tc>
              <w:tc>
                <w:tcPr>
                  <w:tcW w:w="1108" w:type="pct"/>
                  <w:tcBorders>
                    <w:tl2br w:val="nil"/>
                    <w:tr2bl w:val="nil"/>
                  </w:tcBorders>
                  <w:noWrap w:val="0"/>
                  <w:vAlign w:val="center"/>
                </w:tcPr>
                <w:p w14:paraId="5217496D">
                  <w:pPr>
                    <w:pStyle w:val="135"/>
                    <w:keepNext w:val="0"/>
                    <w:keepLines w:val="0"/>
                    <w:pageBreakBefore w:val="0"/>
                    <w:widowControl/>
                    <w:kinsoku/>
                    <w:wordWrap/>
                    <w:overflowPunct/>
                    <w:topLinePunct w:val="0"/>
                    <w:autoSpaceDE/>
                    <w:autoSpaceDN/>
                    <w:bidi w:val="0"/>
                    <w:adjustRightInd w:val="0"/>
                    <w:snapToGrid w:val="0"/>
                    <w:textAlignment w:val="auto"/>
                    <w:rPr>
                      <w:rFonts w:hint="eastAsia" w:cs="Times New Roman"/>
                      <w:color w:val="auto"/>
                      <w:kern w:val="2"/>
                      <w:sz w:val="21"/>
                      <w:szCs w:val="22"/>
                      <w:highlight w:val="none"/>
                      <w:lang w:val="en-US" w:eastAsia="zh-CN" w:bidi="ar-SA"/>
                    </w:rPr>
                  </w:pPr>
                  <w:r>
                    <w:t>mg/kg</w:t>
                  </w:r>
                </w:p>
              </w:tc>
              <w:tc>
                <w:tcPr>
                  <w:tcW w:w="752" w:type="pct"/>
                  <w:tcBorders>
                    <w:tl2br w:val="nil"/>
                    <w:tr2bl w:val="nil"/>
                  </w:tcBorders>
                  <w:noWrap w:val="0"/>
                  <w:vAlign w:val="center"/>
                </w:tcPr>
                <w:p w14:paraId="702B1186">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800</w:t>
                  </w:r>
                </w:p>
              </w:tc>
              <w:tc>
                <w:tcPr>
                  <w:tcW w:w="639" w:type="pct"/>
                  <w:tcBorders>
                    <w:tl2br w:val="nil"/>
                    <w:tr2bl w:val="nil"/>
                  </w:tcBorders>
                  <w:noWrap w:val="0"/>
                  <w:vAlign w:val="center"/>
                </w:tcPr>
                <w:p w14:paraId="2BA61B25">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否</w:t>
                  </w:r>
                </w:p>
              </w:tc>
            </w:tr>
            <w:tr w14:paraId="5E40EC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1" w:type="pct"/>
                  <w:tcBorders>
                    <w:tl2br w:val="nil"/>
                    <w:tr2bl w:val="nil"/>
                  </w:tcBorders>
                  <w:noWrap w:val="0"/>
                  <w:vAlign w:val="center"/>
                </w:tcPr>
                <w:p w14:paraId="364E872D">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5</w:t>
                  </w:r>
                </w:p>
              </w:tc>
              <w:tc>
                <w:tcPr>
                  <w:tcW w:w="1021" w:type="pct"/>
                  <w:tcBorders>
                    <w:tl2br w:val="nil"/>
                    <w:tr2bl w:val="nil"/>
                  </w:tcBorders>
                  <w:noWrap w:val="0"/>
                  <w:vAlign w:val="center"/>
                </w:tcPr>
                <w:p w14:paraId="4AC6CEB9">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铜</w:t>
                  </w:r>
                </w:p>
              </w:tc>
              <w:tc>
                <w:tcPr>
                  <w:tcW w:w="1108" w:type="pct"/>
                  <w:tcBorders>
                    <w:tl2br w:val="nil"/>
                    <w:tr2bl w:val="nil"/>
                  </w:tcBorders>
                  <w:noWrap w:val="0"/>
                  <w:vAlign w:val="center"/>
                </w:tcPr>
                <w:p w14:paraId="4A620D97">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s="Times New Roman"/>
                      <w:color w:val="auto"/>
                      <w:kern w:val="2"/>
                      <w:sz w:val="21"/>
                      <w:szCs w:val="22"/>
                      <w:highlight w:val="none"/>
                      <w:lang w:val="en-US" w:eastAsia="zh-CN" w:bidi="ar-SA"/>
                    </w:rPr>
                    <w:t>29</w:t>
                  </w:r>
                </w:p>
              </w:tc>
              <w:tc>
                <w:tcPr>
                  <w:tcW w:w="1108" w:type="pct"/>
                  <w:tcBorders>
                    <w:tl2br w:val="nil"/>
                    <w:tr2bl w:val="nil"/>
                  </w:tcBorders>
                  <w:noWrap w:val="0"/>
                  <w:vAlign w:val="center"/>
                </w:tcPr>
                <w:p w14:paraId="493B5477">
                  <w:pPr>
                    <w:pStyle w:val="135"/>
                    <w:keepNext w:val="0"/>
                    <w:keepLines w:val="0"/>
                    <w:pageBreakBefore w:val="0"/>
                    <w:widowControl/>
                    <w:kinsoku/>
                    <w:wordWrap/>
                    <w:overflowPunct/>
                    <w:topLinePunct w:val="0"/>
                    <w:autoSpaceDE/>
                    <w:autoSpaceDN/>
                    <w:bidi w:val="0"/>
                    <w:adjustRightInd w:val="0"/>
                    <w:snapToGrid w:val="0"/>
                    <w:textAlignment w:val="auto"/>
                    <w:rPr>
                      <w:rFonts w:hint="eastAsia" w:cs="Times New Roman"/>
                      <w:color w:val="auto"/>
                      <w:kern w:val="2"/>
                      <w:sz w:val="21"/>
                      <w:szCs w:val="22"/>
                      <w:highlight w:val="none"/>
                      <w:lang w:val="en-US" w:eastAsia="zh-CN" w:bidi="ar-SA"/>
                    </w:rPr>
                  </w:pPr>
                  <w:r>
                    <w:t>mg/kg</w:t>
                  </w:r>
                </w:p>
              </w:tc>
              <w:tc>
                <w:tcPr>
                  <w:tcW w:w="752" w:type="pct"/>
                  <w:tcBorders>
                    <w:tl2br w:val="nil"/>
                    <w:tr2bl w:val="nil"/>
                  </w:tcBorders>
                  <w:noWrap w:val="0"/>
                  <w:vAlign w:val="center"/>
                </w:tcPr>
                <w:p w14:paraId="195A8F93">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18000</w:t>
                  </w:r>
                </w:p>
              </w:tc>
              <w:tc>
                <w:tcPr>
                  <w:tcW w:w="639" w:type="pct"/>
                  <w:tcBorders>
                    <w:tl2br w:val="nil"/>
                    <w:tr2bl w:val="nil"/>
                  </w:tcBorders>
                  <w:noWrap w:val="0"/>
                  <w:vAlign w:val="center"/>
                </w:tcPr>
                <w:p w14:paraId="47A0AC6E">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否</w:t>
                  </w:r>
                </w:p>
              </w:tc>
            </w:tr>
            <w:tr w14:paraId="465D8A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1" w:type="pct"/>
                  <w:tcBorders>
                    <w:tl2br w:val="nil"/>
                    <w:tr2bl w:val="nil"/>
                  </w:tcBorders>
                  <w:noWrap w:val="0"/>
                  <w:vAlign w:val="center"/>
                </w:tcPr>
                <w:p w14:paraId="0AA05627">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6</w:t>
                  </w:r>
                </w:p>
              </w:tc>
              <w:tc>
                <w:tcPr>
                  <w:tcW w:w="1021" w:type="pct"/>
                  <w:tcBorders>
                    <w:tl2br w:val="nil"/>
                    <w:tr2bl w:val="nil"/>
                  </w:tcBorders>
                  <w:noWrap w:val="0"/>
                  <w:vAlign w:val="center"/>
                </w:tcPr>
                <w:p w14:paraId="0C824AB4">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砷</w:t>
                  </w:r>
                </w:p>
              </w:tc>
              <w:tc>
                <w:tcPr>
                  <w:tcW w:w="1108" w:type="pct"/>
                  <w:tcBorders>
                    <w:tl2br w:val="nil"/>
                    <w:tr2bl w:val="nil"/>
                  </w:tcBorders>
                  <w:noWrap w:val="0"/>
                  <w:vAlign w:val="center"/>
                </w:tcPr>
                <w:p w14:paraId="29EF1E6C">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s="Times New Roman"/>
                      <w:color w:val="auto"/>
                      <w:kern w:val="2"/>
                      <w:sz w:val="21"/>
                      <w:szCs w:val="22"/>
                      <w:highlight w:val="none"/>
                      <w:lang w:val="en-US" w:eastAsia="zh-CN" w:bidi="ar-SA"/>
                    </w:rPr>
                    <w:t>13.9</w:t>
                  </w:r>
                </w:p>
              </w:tc>
              <w:tc>
                <w:tcPr>
                  <w:tcW w:w="1108" w:type="pct"/>
                  <w:tcBorders>
                    <w:tl2br w:val="nil"/>
                    <w:tr2bl w:val="nil"/>
                  </w:tcBorders>
                  <w:noWrap w:val="0"/>
                  <w:vAlign w:val="center"/>
                </w:tcPr>
                <w:p w14:paraId="47EBF7BF">
                  <w:pPr>
                    <w:pStyle w:val="135"/>
                    <w:keepNext w:val="0"/>
                    <w:keepLines w:val="0"/>
                    <w:pageBreakBefore w:val="0"/>
                    <w:widowControl/>
                    <w:kinsoku/>
                    <w:wordWrap/>
                    <w:overflowPunct/>
                    <w:topLinePunct w:val="0"/>
                    <w:autoSpaceDE/>
                    <w:autoSpaceDN/>
                    <w:bidi w:val="0"/>
                    <w:adjustRightInd w:val="0"/>
                    <w:snapToGrid w:val="0"/>
                    <w:textAlignment w:val="auto"/>
                    <w:rPr>
                      <w:rFonts w:hint="eastAsia" w:cs="Times New Roman"/>
                      <w:color w:val="auto"/>
                      <w:kern w:val="2"/>
                      <w:sz w:val="21"/>
                      <w:szCs w:val="22"/>
                      <w:highlight w:val="none"/>
                      <w:lang w:val="en-US" w:eastAsia="zh-CN" w:bidi="ar-SA"/>
                    </w:rPr>
                  </w:pPr>
                  <w:r>
                    <w:t>mg/kg</w:t>
                  </w:r>
                </w:p>
              </w:tc>
              <w:tc>
                <w:tcPr>
                  <w:tcW w:w="752" w:type="pct"/>
                  <w:tcBorders>
                    <w:tl2br w:val="nil"/>
                    <w:tr2bl w:val="nil"/>
                  </w:tcBorders>
                  <w:noWrap w:val="0"/>
                  <w:vAlign w:val="center"/>
                </w:tcPr>
                <w:p w14:paraId="4F28B17B">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60</w:t>
                  </w:r>
                </w:p>
              </w:tc>
              <w:tc>
                <w:tcPr>
                  <w:tcW w:w="639" w:type="pct"/>
                  <w:tcBorders>
                    <w:tl2br w:val="nil"/>
                    <w:tr2bl w:val="nil"/>
                  </w:tcBorders>
                  <w:noWrap w:val="0"/>
                  <w:vAlign w:val="center"/>
                </w:tcPr>
                <w:p w14:paraId="4C5C902C">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否</w:t>
                  </w:r>
                </w:p>
              </w:tc>
            </w:tr>
            <w:tr w14:paraId="7DC423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371" w:type="pct"/>
                  <w:tcBorders>
                    <w:tl2br w:val="nil"/>
                    <w:tr2bl w:val="nil"/>
                  </w:tcBorders>
                  <w:noWrap w:val="0"/>
                  <w:vAlign w:val="center"/>
                </w:tcPr>
                <w:p w14:paraId="77843225">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7</w:t>
                  </w:r>
                </w:p>
              </w:tc>
              <w:tc>
                <w:tcPr>
                  <w:tcW w:w="1021" w:type="pct"/>
                  <w:tcBorders>
                    <w:tl2br w:val="nil"/>
                    <w:tr2bl w:val="nil"/>
                  </w:tcBorders>
                  <w:noWrap w:val="0"/>
                  <w:vAlign w:val="center"/>
                </w:tcPr>
                <w:p w14:paraId="6BDCD37F">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汞</w:t>
                  </w:r>
                </w:p>
              </w:tc>
              <w:tc>
                <w:tcPr>
                  <w:tcW w:w="1108" w:type="pct"/>
                  <w:tcBorders>
                    <w:tl2br w:val="nil"/>
                    <w:tr2bl w:val="nil"/>
                  </w:tcBorders>
                  <w:noWrap w:val="0"/>
                  <w:vAlign w:val="center"/>
                </w:tcPr>
                <w:p w14:paraId="17C25269">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s="Times New Roman"/>
                      <w:color w:val="auto"/>
                      <w:kern w:val="2"/>
                      <w:sz w:val="21"/>
                      <w:szCs w:val="22"/>
                      <w:highlight w:val="none"/>
                      <w:lang w:val="en-US" w:eastAsia="zh-CN" w:bidi="ar-SA"/>
                    </w:rPr>
                    <w:t>0.901</w:t>
                  </w:r>
                </w:p>
              </w:tc>
              <w:tc>
                <w:tcPr>
                  <w:tcW w:w="1108" w:type="pct"/>
                  <w:tcBorders>
                    <w:tl2br w:val="nil"/>
                    <w:tr2bl w:val="nil"/>
                  </w:tcBorders>
                  <w:noWrap w:val="0"/>
                  <w:vAlign w:val="center"/>
                </w:tcPr>
                <w:p w14:paraId="548B8FF3">
                  <w:pPr>
                    <w:pStyle w:val="135"/>
                    <w:keepNext w:val="0"/>
                    <w:keepLines w:val="0"/>
                    <w:pageBreakBefore w:val="0"/>
                    <w:widowControl/>
                    <w:kinsoku/>
                    <w:wordWrap/>
                    <w:overflowPunct/>
                    <w:topLinePunct w:val="0"/>
                    <w:autoSpaceDE/>
                    <w:autoSpaceDN/>
                    <w:bidi w:val="0"/>
                    <w:adjustRightInd w:val="0"/>
                    <w:snapToGrid w:val="0"/>
                    <w:textAlignment w:val="auto"/>
                    <w:rPr>
                      <w:rFonts w:hint="eastAsia" w:cs="Times New Roman"/>
                      <w:color w:val="auto"/>
                      <w:kern w:val="2"/>
                      <w:sz w:val="21"/>
                      <w:szCs w:val="22"/>
                      <w:highlight w:val="none"/>
                      <w:lang w:val="en-US" w:eastAsia="zh-CN" w:bidi="ar-SA"/>
                    </w:rPr>
                  </w:pPr>
                  <w:r>
                    <w:t>mg/kg</w:t>
                  </w:r>
                </w:p>
              </w:tc>
              <w:tc>
                <w:tcPr>
                  <w:tcW w:w="752" w:type="pct"/>
                  <w:tcBorders>
                    <w:tl2br w:val="nil"/>
                    <w:tr2bl w:val="nil"/>
                  </w:tcBorders>
                  <w:noWrap w:val="0"/>
                  <w:vAlign w:val="center"/>
                </w:tcPr>
                <w:p w14:paraId="73090271">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38</w:t>
                  </w:r>
                </w:p>
              </w:tc>
              <w:tc>
                <w:tcPr>
                  <w:tcW w:w="639" w:type="pct"/>
                  <w:tcBorders>
                    <w:tl2br w:val="nil"/>
                    <w:tr2bl w:val="nil"/>
                  </w:tcBorders>
                  <w:noWrap w:val="0"/>
                  <w:vAlign w:val="center"/>
                </w:tcPr>
                <w:p w14:paraId="52CCDB19">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否</w:t>
                  </w:r>
                </w:p>
              </w:tc>
            </w:tr>
            <w:tr w14:paraId="72E113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371" w:type="pct"/>
                  <w:tcBorders>
                    <w:tl2br w:val="nil"/>
                    <w:tr2bl w:val="nil"/>
                  </w:tcBorders>
                  <w:noWrap w:val="0"/>
                  <w:vAlign w:val="center"/>
                </w:tcPr>
                <w:p w14:paraId="4DFC5C94">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8</w:t>
                  </w:r>
                </w:p>
              </w:tc>
              <w:tc>
                <w:tcPr>
                  <w:tcW w:w="1021" w:type="pct"/>
                  <w:tcBorders>
                    <w:tl2br w:val="nil"/>
                    <w:tr2bl w:val="nil"/>
                  </w:tcBorders>
                  <w:noWrap w:val="0"/>
                  <w:vAlign w:val="center"/>
                </w:tcPr>
                <w:p w14:paraId="5E3028FB">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镍</w:t>
                  </w:r>
                </w:p>
              </w:tc>
              <w:tc>
                <w:tcPr>
                  <w:tcW w:w="1108" w:type="pct"/>
                  <w:tcBorders>
                    <w:tl2br w:val="nil"/>
                    <w:tr2bl w:val="nil"/>
                  </w:tcBorders>
                  <w:noWrap w:val="0"/>
                  <w:vAlign w:val="center"/>
                </w:tcPr>
                <w:p w14:paraId="1984771D">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r>
                    <w:rPr>
                      <w:rFonts w:hint="eastAsia" w:cs="Times New Roman"/>
                      <w:color w:val="auto"/>
                      <w:kern w:val="2"/>
                      <w:sz w:val="21"/>
                      <w:szCs w:val="22"/>
                      <w:highlight w:val="none"/>
                      <w:lang w:val="en-US" w:eastAsia="zh-CN" w:bidi="ar-SA"/>
                    </w:rPr>
                    <w:t>35</w:t>
                  </w:r>
                </w:p>
              </w:tc>
              <w:tc>
                <w:tcPr>
                  <w:tcW w:w="1108" w:type="pct"/>
                  <w:tcBorders>
                    <w:tl2br w:val="nil"/>
                    <w:tr2bl w:val="nil"/>
                  </w:tcBorders>
                  <w:noWrap w:val="0"/>
                  <w:vAlign w:val="center"/>
                </w:tcPr>
                <w:p w14:paraId="723BA296">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r>
                    <w:t>mg/kg</w:t>
                  </w:r>
                </w:p>
              </w:tc>
              <w:tc>
                <w:tcPr>
                  <w:tcW w:w="752" w:type="pct"/>
                  <w:tcBorders>
                    <w:tl2br w:val="nil"/>
                    <w:tr2bl w:val="nil"/>
                  </w:tcBorders>
                  <w:noWrap w:val="0"/>
                  <w:vAlign w:val="center"/>
                </w:tcPr>
                <w:p w14:paraId="285D5C73">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600</w:t>
                  </w:r>
                </w:p>
              </w:tc>
              <w:tc>
                <w:tcPr>
                  <w:tcW w:w="639" w:type="pct"/>
                  <w:tcBorders>
                    <w:tl2br w:val="nil"/>
                    <w:tr2bl w:val="nil"/>
                  </w:tcBorders>
                  <w:noWrap w:val="0"/>
                  <w:vAlign w:val="center"/>
                </w:tcPr>
                <w:p w14:paraId="107EB3B0">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否</w:t>
                  </w:r>
                </w:p>
              </w:tc>
            </w:tr>
            <w:tr w14:paraId="68FE4C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1" w:type="pct"/>
                  <w:tcBorders>
                    <w:tl2br w:val="nil"/>
                    <w:tr2bl w:val="nil"/>
                  </w:tcBorders>
                  <w:noWrap w:val="0"/>
                  <w:vAlign w:val="center"/>
                </w:tcPr>
                <w:p w14:paraId="2719F7A1">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9</w:t>
                  </w:r>
                </w:p>
              </w:tc>
              <w:tc>
                <w:tcPr>
                  <w:tcW w:w="1021" w:type="pct"/>
                  <w:tcBorders>
                    <w:tl2br w:val="nil"/>
                    <w:tr2bl w:val="nil"/>
                  </w:tcBorders>
                  <w:noWrap w:val="0"/>
                  <w:vAlign w:val="center"/>
                </w:tcPr>
                <w:p w14:paraId="0D384D7F">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六价铬</w:t>
                  </w:r>
                </w:p>
              </w:tc>
              <w:tc>
                <w:tcPr>
                  <w:tcW w:w="1108" w:type="pct"/>
                  <w:tcBorders>
                    <w:tl2br w:val="nil"/>
                    <w:tr2bl w:val="nil"/>
                  </w:tcBorders>
                  <w:noWrap w:val="0"/>
                  <w:vAlign w:val="center"/>
                </w:tcPr>
                <w:p w14:paraId="0EAC8187">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ND</w:t>
                  </w:r>
                </w:p>
              </w:tc>
              <w:tc>
                <w:tcPr>
                  <w:tcW w:w="1108" w:type="pct"/>
                  <w:tcBorders>
                    <w:tl2br w:val="nil"/>
                    <w:tr2bl w:val="nil"/>
                  </w:tcBorders>
                  <w:noWrap w:val="0"/>
                  <w:vAlign w:val="center"/>
                </w:tcPr>
                <w:p w14:paraId="45425757">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r>
                    <w:t>mg/kg</w:t>
                  </w:r>
                </w:p>
              </w:tc>
              <w:tc>
                <w:tcPr>
                  <w:tcW w:w="752" w:type="pct"/>
                  <w:tcBorders>
                    <w:tl2br w:val="nil"/>
                    <w:tr2bl w:val="nil"/>
                  </w:tcBorders>
                  <w:noWrap w:val="0"/>
                  <w:vAlign w:val="center"/>
                </w:tcPr>
                <w:p w14:paraId="3AF1E0C6">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5.7</w:t>
                  </w:r>
                </w:p>
              </w:tc>
              <w:tc>
                <w:tcPr>
                  <w:tcW w:w="639" w:type="pct"/>
                  <w:tcBorders>
                    <w:tl2br w:val="nil"/>
                    <w:tr2bl w:val="nil"/>
                  </w:tcBorders>
                  <w:noWrap w:val="0"/>
                  <w:vAlign w:val="center"/>
                </w:tcPr>
                <w:p w14:paraId="5EACAABB">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否</w:t>
                  </w:r>
                </w:p>
              </w:tc>
            </w:tr>
            <w:tr w14:paraId="7B225C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1" w:type="pct"/>
                  <w:tcBorders>
                    <w:tl2br w:val="nil"/>
                    <w:tr2bl w:val="nil"/>
                  </w:tcBorders>
                  <w:noWrap w:val="0"/>
                  <w:vAlign w:val="center"/>
                </w:tcPr>
                <w:p w14:paraId="573EFF9E">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10</w:t>
                  </w:r>
                </w:p>
              </w:tc>
              <w:tc>
                <w:tcPr>
                  <w:tcW w:w="1021" w:type="pct"/>
                  <w:tcBorders>
                    <w:tl2br w:val="nil"/>
                    <w:tr2bl w:val="nil"/>
                  </w:tcBorders>
                  <w:noWrap w:val="0"/>
                  <w:vAlign w:val="center"/>
                </w:tcPr>
                <w:p w14:paraId="16E00859">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氯甲烷</w:t>
                  </w:r>
                </w:p>
              </w:tc>
              <w:tc>
                <w:tcPr>
                  <w:tcW w:w="1108" w:type="pct"/>
                  <w:tcBorders>
                    <w:tl2br w:val="nil"/>
                    <w:tr2bl w:val="nil"/>
                  </w:tcBorders>
                  <w:noWrap w:val="0"/>
                  <w:vAlign w:val="center"/>
                </w:tcPr>
                <w:p w14:paraId="71364E34">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s="Times New Roman"/>
                      <w:color w:val="auto"/>
                      <w:kern w:val="2"/>
                      <w:sz w:val="21"/>
                      <w:szCs w:val="22"/>
                      <w:highlight w:val="none"/>
                      <w:lang w:val="en-US" w:eastAsia="zh-CN" w:bidi="ar-SA"/>
                    </w:rPr>
                    <w:t>34.7</w:t>
                  </w:r>
                </w:p>
              </w:tc>
              <w:tc>
                <w:tcPr>
                  <w:tcW w:w="1108" w:type="pct"/>
                  <w:tcBorders>
                    <w:tl2br w:val="nil"/>
                    <w:tr2bl w:val="nil"/>
                  </w:tcBorders>
                  <w:noWrap w:val="0"/>
                  <w:vAlign w:val="center"/>
                </w:tcPr>
                <w:p w14:paraId="269DCF7D">
                  <w:pPr>
                    <w:pStyle w:val="135"/>
                    <w:keepNext w:val="0"/>
                    <w:keepLines w:val="0"/>
                    <w:pageBreakBefore w:val="0"/>
                    <w:widowControl/>
                    <w:kinsoku/>
                    <w:wordWrap/>
                    <w:overflowPunct/>
                    <w:topLinePunct w:val="0"/>
                    <w:autoSpaceDE/>
                    <w:autoSpaceDN/>
                    <w:bidi w:val="0"/>
                    <w:adjustRightInd w:val="0"/>
                    <w:snapToGrid w:val="0"/>
                    <w:textAlignment w:val="auto"/>
                    <w:rPr>
                      <w:rFonts w:hint="eastAsia" w:cs="Times New Roman"/>
                      <w:color w:val="auto"/>
                      <w:kern w:val="2"/>
                      <w:sz w:val="21"/>
                      <w:szCs w:val="22"/>
                      <w:highlight w:val="none"/>
                      <w:lang w:val="en-US" w:eastAsia="zh-CN" w:bidi="ar-SA"/>
                    </w:rPr>
                  </w:pPr>
                  <w:r>
                    <w:rPr>
                      <w:rFonts w:hint="default"/>
                      <w:lang w:eastAsia="zh-CN"/>
                    </w:rPr>
                    <w:t>μ</w:t>
                  </w:r>
                  <w:r>
                    <w:rPr>
                      <w:rFonts w:hint="default"/>
                    </w:rPr>
                    <w:t>g/kg</w:t>
                  </w:r>
                </w:p>
              </w:tc>
              <w:tc>
                <w:tcPr>
                  <w:tcW w:w="752" w:type="pct"/>
                  <w:tcBorders>
                    <w:tl2br w:val="nil"/>
                    <w:tr2bl w:val="nil"/>
                  </w:tcBorders>
                  <w:noWrap w:val="0"/>
                  <w:vAlign w:val="center"/>
                </w:tcPr>
                <w:p w14:paraId="6CCA3AEE">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37</w:t>
                  </w:r>
                </w:p>
              </w:tc>
              <w:tc>
                <w:tcPr>
                  <w:tcW w:w="639" w:type="pct"/>
                  <w:tcBorders>
                    <w:tl2br w:val="nil"/>
                    <w:tr2bl w:val="nil"/>
                  </w:tcBorders>
                  <w:noWrap w:val="0"/>
                  <w:vAlign w:val="center"/>
                </w:tcPr>
                <w:p w14:paraId="76B3950E">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否</w:t>
                  </w:r>
                </w:p>
              </w:tc>
            </w:tr>
            <w:tr w14:paraId="1943A7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1" w:type="pct"/>
                  <w:tcBorders>
                    <w:tl2br w:val="nil"/>
                    <w:tr2bl w:val="nil"/>
                  </w:tcBorders>
                  <w:noWrap w:val="0"/>
                  <w:vAlign w:val="center"/>
                </w:tcPr>
                <w:p w14:paraId="294587CD">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11</w:t>
                  </w:r>
                </w:p>
              </w:tc>
              <w:tc>
                <w:tcPr>
                  <w:tcW w:w="1021" w:type="pct"/>
                  <w:tcBorders>
                    <w:tl2br w:val="nil"/>
                    <w:tr2bl w:val="nil"/>
                  </w:tcBorders>
                  <w:noWrap w:val="0"/>
                  <w:vAlign w:val="center"/>
                </w:tcPr>
                <w:p w14:paraId="48F65C00">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氯乙烯</w:t>
                  </w:r>
                </w:p>
              </w:tc>
              <w:tc>
                <w:tcPr>
                  <w:tcW w:w="1108" w:type="pct"/>
                  <w:tcBorders>
                    <w:tl2br w:val="nil"/>
                    <w:tr2bl w:val="nil"/>
                  </w:tcBorders>
                  <w:noWrap w:val="0"/>
                  <w:vAlign w:val="center"/>
                </w:tcPr>
                <w:p w14:paraId="4FCE1C01">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ND</w:t>
                  </w:r>
                </w:p>
              </w:tc>
              <w:tc>
                <w:tcPr>
                  <w:tcW w:w="1108" w:type="pct"/>
                  <w:tcBorders>
                    <w:tl2br w:val="nil"/>
                    <w:tr2bl w:val="nil"/>
                  </w:tcBorders>
                  <w:noWrap w:val="0"/>
                  <w:vAlign w:val="center"/>
                </w:tcPr>
                <w:p w14:paraId="05C329DE">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r>
                    <w:rPr>
                      <w:rFonts w:hint="default"/>
                      <w:lang w:eastAsia="zh-CN"/>
                    </w:rPr>
                    <w:t>μ</w:t>
                  </w:r>
                  <w:r>
                    <w:rPr>
                      <w:rFonts w:hint="default"/>
                    </w:rPr>
                    <w:t>g/kg</w:t>
                  </w:r>
                </w:p>
              </w:tc>
              <w:tc>
                <w:tcPr>
                  <w:tcW w:w="752" w:type="pct"/>
                  <w:tcBorders>
                    <w:tl2br w:val="nil"/>
                    <w:tr2bl w:val="nil"/>
                  </w:tcBorders>
                  <w:noWrap w:val="0"/>
                  <w:vAlign w:val="center"/>
                </w:tcPr>
                <w:p w14:paraId="2774D064">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0.43</w:t>
                  </w:r>
                </w:p>
              </w:tc>
              <w:tc>
                <w:tcPr>
                  <w:tcW w:w="639" w:type="pct"/>
                  <w:tcBorders>
                    <w:tl2br w:val="nil"/>
                    <w:tr2bl w:val="nil"/>
                  </w:tcBorders>
                  <w:noWrap w:val="0"/>
                  <w:vAlign w:val="center"/>
                </w:tcPr>
                <w:p w14:paraId="0C03B08E">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否</w:t>
                  </w:r>
                </w:p>
              </w:tc>
            </w:tr>
            <w:tr w14:paraId="481DA8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1" w:type="pct"/>
                  <w:tcBorders>
                    <w:tl2br w:val="nil"/>
                    <w:tr2bl w:val="nil"/>
                  </w:tcBorders>
                  <w:noWrap w:val="0"/>
                  <w:vAlign w:val="center"/>
                </w:tcPr>
                <w:p w14:paraId="34E300B8">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12</w:t>
                  </w:r>
                </w:p>
              </w:tc>
              <w:tc>
                <w:tcPr>
                  <w:tcW w:w="1021" w:type="pct"/>
                  <w:tcBorders>
                    <w:tl2br w:val="nil"/>
                    <w:tr2bl w:val="nil"/>
                  </w:tcBorders>
                  <w:noWrap w:val="0"/>
                  <w:vAlign w:val="center"/>
                </w:tcPr>
                <w:p w14:paraId="72EA729C">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1,1-二氯乙烯</w:t>
                  </w:r>
                </w:p>
              </w:tc>
              <w:tc>
                <w:tcPr>
                  <w:tcW w:w="1108" w:type="pct"/>
                  <w:tcBorders>
                    <w:tl2br w:val="nil"/>
                    <w:tr2bl w:val="nil"/>
                  </w:tcBorders>
                  <w:noWrap w:val="0"/>
                  <w:vAlign w:val="center"/>
                </w:tcPr>
                <w:p w14:paraId="7891C975">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ND</w:t>
                  </w:r>
                </w:p>
              </w:tc>
              <w:tc>
                <w:tcPr>
                  <w:tcW w:w="1108" w:type="pct"/>
                  <w:tcBorders>
                    <w:tl2br w:val="nil"/>
                    <w:tr2bl w:val="nil"/>
                  </w:tcBorders>
                  <w:noWrap w:val="0"/>
                  <w:vAlign w:val="center"/>
                </w:tcPr>
                <w:p w14:paraId="0BFED7CD">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r>
                    <w:rPr>
                      <w:rFonts w:hint="default"/>
                      <w:lang w:eastAsia="zh-CN"/>
                    </w:rPr>
                    <w:t>μ</w:t>
                  </w:r>
                  <w:r>
                    <w:rPr>
                      <w:rFonts w:hint="default"/>
                    </w:rPr>
                    <w:t>g/kg</w:t>
                  </w:r>
                </w:p>
              </w:tc>
              <w:tc>
                <w:tcPr>
                  <w:tcW w:w="752" w:type="pct"/>
                  <w:tcBorders>
                    <w:tl2br w:val="nil"/>
                    <w:tr2bl w:val="nil"/>
                  </w:tcBorders>
                  <w:noWrap w:val="0"/>
                  <w:vAlign w:val="center"/>
                </w:tcPr>
                <w:p w14:paraId="06FDCBFF">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66</w:t>
                  </w:r>
                </w:p>
              </w:tc>
              <w:tc>
                <w:tcPr>
                  <w:tcW w:w="639" w:type="pct"/>
                  <w:tcBorders>
                    <w:tl2br w:val="nil"/>
                    <w:tr2bl w:val="nil"/>
                  </w:tcBorders>
                  <w:noWrap w:val="0"/>
                  <w:vAlign w:val="center"/>
                </w:tcPr>
                <w:p w14:paraId="593C1B7D">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否</w:t>
                  </w:r>
                </w:p>
              </w:tc>
            </w:tr>
            <w:tr w14:paraId="4AC5A7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1" w:type="pct"/>
                  <w:tcBorders>
                    <w:tl2br w:val="nil"/>
                    <w:tr2bl w:val="nil"/>
                  </w:tcBorders>
                  <w:noWrap w:val="0"/>
                  <w:vAlign w:val="center"/>
                </w:tcPr>
                <w:p w14:paraId="327DA003">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13</w:t>
                  </w:r>
                </w:p>
              </w:tc>
              <w:tc>
                <w:tcPr>
                  <w:tcW w:w="1021" w:type="pct"/>
                  <w:tcBorders>
                    <w:tl2br w:val="nil"/>
                    <w:tr2bl w:val="nil"/>
                  </w:tcBorders>
                  <w:noWrap w:val="0"/>
                  <w:vAlign w:val="center"/>
                </w:tcPr>
                <w:p w14:paraId="5DD5770B">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二氯甲烷</w:t>
                  </w:r>
                </w:p>
              </w:tc>
              <w:tc>
                <w:tcPr>
                  <w:tcW w:w="1108" w:type="pct"/>
                  <w:tcBorders>
                    <w:tl2br w:val="nil"/>
                    <w:tr2bl w:val="nil"/>
                  </w:tcBorders>
                  <w:noWrap w:val="0"/>
                  <w:vAlign w:val="center"/>
                </w:tcPr>
                <w:p w14:paraId="1845335D">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s="Times New Roman"/>
                      <w:color w:val="auto"/>
                      <w:kern w:val="2"/>
                      <w:sz w:val="21"/>
                      <w:szCs w:val="22"/>
                      <w:highlight w:val="none"/>
                      <w:lang w:val="en-US" w:eastAsia="zh-CN" w:bidi="ar-SA"/>
                    </w:rPr>
                    <w:t>5.7</w:t>
                  </w:r>
                </w:p>
              </w:tc>
              <w:tc>
                <w:tcPr>
                  <w:tcW w:w="1108" w:type="pct"/>
                  <w:tcBorders>
                    <w:tl2br w:val="nil"/>
                    <w:tr2bl w:val="nil"/>
                  </w:tcBorders>
                  <w:noWrap w:val="0"/>
                  <w:vAlign w:val="center"/>
                </w:tcPr>
                <w:p w14:paraId="20735E97">
                  <w:pPr>
                    <w:pStyle w:val="135"/>
                    <w:keepNext w:val="0"/>
                    <w:keepLines w:val="0"/>
                    <w:pageBreakBefore w:val="0"/>
                    <w:widowControl/>
                    <w:kinsoku/>
                    <w:wordWrap/>
                    <w:overflowPunct/>
                    <w:topLinePunct w:val="0"/>
                    <w:autoSpaceDE/>
                    <w:autoSpaceDN/>
                    <w:bidi w:val="0"/>
                    <w:adjustRightInd w:val="0"/>
                    <w:snapToGrid w:val="0"/>
                    <w:textAlignment w:val="auto"/>
                    <w:rPr>
                      <w:rFonts w:hint="eastAsia" w:cs="Times New Roman"/>
                      <w:color w:val="auto"/>
                      <w:kern w:val="2"/>
                      <w:sz w:val="21"/>
                      <w:szCs w:val="22"/>
                      <w:highlight w:val="none"/>
                      <w:lang w:val="en-US" w:eastAsia="zh-CN" w:bidi="ar-SA"/>
                    </w:rPr>
                  </w:pPr>
                  <w:r>
                    <w:rPr>
                      <w:rFonts w:hint="default"/>
                      <w:lang w:eastAsia="zh-CN"/>
                    </w:rPr>
                    <w:t>μ</w:t>
                  </w:r>
                  <w:r>
                    <w:rPr>
                      <w:rFonts w:hint="default"/>
                    </w:rPr>
                    <w:t>g/kg</w:t>
                  </w:r>
                </w:p>
              </w:tc>
              <w:tc>
                <w:tcPr>
                  <w:tcW w:w="752" w:type="pct"/>
                  <w:tcBorders>
                    <w:tl2br w:val="nil"/>
                    <w:tr2bl w:val="nil"/>
                  </w:tcBorders>
                  <w:noWrap w:val="0"/>
                  <w:vAlign w:val="center"/>
                </w:tcPr>
                <w:p w14:paraId="51B87858">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616</w:t>
                  </w:r>
                </w:p>
              </w:tc>
              <w:tc>
                <w:tcPr>
                  <w:tcW w:w="639" w:type="pct"/>
                  <w:tcBorders>
                    <w:tl2br w:val="nil"/>
                    <w:tr2bl w:val="nil"/>
                  </w:tcBorders>
                  <w:noWrap w:val="0"/>
                  <w:vAlign w:val="center"/>
                </w:tcPr>
                <w:p w14:paraId="5BD9E434">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否</w:t>
                  </w:r>
                </w:p>
              </w:tc>
            </w:tr>
            <w:tr w14:paraId="518632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1" w:type="pct"/>
                  <w:tcBorders>
                    <w:tl2br w:val="nil"/>
                    <w:tr2bl w:val="nil"/>
                  </w:tcBorders>
                  <w:noWrap w:val="0"/>
                  <w:vAlign w:val="center"/>
                </w:tcPr>
                <w:p w14:paraId="795395A8">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14</w:t>
                  </w:r>
                </w:p>
              </w:tc>
              <w:tc>
                <w:tcPr>
                  <w:tcW w:w="1021" w:type="pct"/>
                  <w:tcBorders>
                    <w:tl2br w:val="nil"/>
                    <w:tr2bl w:val="nil"/>
                  </w:tcBorders>
                  <w:noWrap w:val="0"/>
                  <w:vAlign w:val="center"/>
                </w:tcPr>
                <w:p w14:paraId="4E712BC2">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反式-1,2-二氯乙烯</w:t>
                  </w:r>
                </w:p>
              </w:tc>
              <w:tc>
                <w:tcPr>
                  <w:tcW w:w="1108" w:type="pct"/>
                  <w:tcBorders>
                    <w:tl2br w:val="nil"/>
                    <w:tr2bl w:val="nil"/>
                  </w:tcBorders>
                  <w:noWrap w:val="0"/>
                  <w:vAlign w:val="center"/>
                </w:tcPr>
                <w:p w14:paraId="08B9CD29">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ND</w:t>
                  </w:r>
                </w:p>
              </w:tc>
              <w:tc>
                <w:tcPr>
                  <w:tcW w:w="1108" w:type="pct"/>
                  <w:tcBorders>
                    <w:tl2br w:val="nil"/>
                    <w:tr2bl w:val="nil"/>
                  </w:tcBorders>
                  <w:noWrap w:val="0"/>
                  <w:vAlign w:val="center"/>
                </w:tcPr>
                <w:p w14:paraId="59BA7E90">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r>
                    <w:rPr>
                      <w:rFonts w:hint="default"/>
                      <w:lang w:eastAsia="zh-CN"/>
                    </w:rPr>
                    <w:t>μ</w:t>
                  </w:r>
                  <w:r>
                    <w:rPr>
                      <w:rFonts w:hint="default"/>
                    </w:rPr>
                    <w:t>g/kg</w:t>
                  </w:r>
                </w:p>
              </w:tc>
              <w:tc>
                <w:tcPr>
                  <w:tcW w:w="752" w:type="pct"/>
                  <w:tcBorders>
                    <w:tl2br w:val="nil"/>
                    <w:tr2bl w:val="nil"/>
                  </w:tcBorders>
                  <w:noWrap w:val="0"/>
                  <w:vAlign w:val="center"/>
                </w:tcPr>
                <w:p w14:paraId="79AECD30">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54</w:t>
                  </w:r>
                </w:p>
              </w:tc>
              <w:tc>
                <w:tcPr>
                  <w:tcW w:w="639" w:type="pct"/>
                  <w:tcBorders>
                    <w:tl2br w:val="nil"/>
                    <w:tr2bl w:val="nil"/>
                  </w:tcBorders>
                  <w:noWrap w:val="0"/>
                  <w:vAlign w:val="center"/>
                </w:tcPr>
                <w:p w14:paraId="5CF857E9">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否</w:t>
                  </w:r>
                </w:p>
              </w:tc>
            </w:tr>
            <w:tr w14:paraId="76B0D2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1" w:type="pct"/>
                  <w:tcBorders>
                    <w:tl2br w:val="nil"/>
                    <w:tr2bl w:val="nil"/>
                  </w:tcBorders>
                  <w:noWrap w:val="0"/>
                  <w:vAlign w:val="center"/>
                </w:tcPr>
                <w:p w14:paraId="67ECEAAC">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15</w:t>
                  </w:r>
                </w:p>
              </w:tc>
              <w:tc>
                <w:tcPr>
                  <w:tcW w:w="1021" w:type="pct"/>
                  <w:tcBorders>
                    <w:tl2br w:val="nil"/>
                    <w:tr2bl w:val="nil"/>
                  </w:tcBorders>
                  <w:noWrap w:val="0"/>
                  <w:vAlign w:val="center"/>
                </w:tcPr>
                <w:p w14:paraId="063EBED3">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1,1-二氯乙烷</w:t>
                  </w:r>
                </w:p>
              </w:tc>
              <w:tc>
                <w:tcPr>
                  <w:tcW w:w="1108" w:type="pct"/>
                  <w:tcBorders>
                    <w:tl2br w:val="nil"/>
                    <w:tr2bl w:val="nil"/>
                  </w:tcBorders>
                  <w:noWrap w:val="0"/>
                  <w:vAlign w:val="center"/>
                </w:tcPr>
                <w:p w14:paraId="140E4E14">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ND</w:t>
                  </w:r>
                </w:p>
              </w:tc>
              <w:tc>
                <w:tcPr>
                  <w:tcW w:w="1108" w:type="pct"/>
                  <w:tcBorders>
                    <w:tl2br w:val="nil"/>
                    <w:tr2bl w:val="nil"/>
                  </w:tcBorders>
                  <w:noWrap w:val="0"/>
                  <w:vAlign w:val="center"/>
                </w:tcPr>
                <w:p w14:paraId="1B0BF409">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r>
                    <w:rPr>
                      <w:rFonts w:hint="default"/>
                      <w:lang w:eastAsia="zh-CN"/>
                    </w:rPr>
                    <w:t>μ</w:t>
                  </w:r>
                  <w:r>
                    <w:rPr>
                      <w:rFonts w:hint="default"/>
                    </w:rPr>
                    <w:t>g/kg</w:t>
                  </w:r>
                </w:p>
              </w:tc>
              <w:tc>
                <w:tcPr>
                  <w:tcW w:w="752" w:type="pct"/>
                  <w:tcBorders>
                    <w:tl2br w:val="nil"/>
                    <w:tr2bl w:val="nil"/>
                  </w:tcBorders>
                  <w:noWrap w:val="0"/>
                  <w:vAlign w:val="center"/>
                </w:tcPr>
                <w:p w14:paraId="522BAD92">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9</w:t>
                  </w:r>
                </w:p>
              </w:tc>
              <w:tc>
                <w:tcPr>
                  <w:tcW w:w="639" w:type="pct"/>
                  <w:tcBorders>
                    <w:tl2br w:val="nil"/>
                    <w:tr2bl w:val="nil"/>
                  </w:tcBorders>
                  <w:noWrap w:val="0"/>
                  <w:vAlign w:val="center"/>
                </w:tcPr>
                <w:p w14:paraId="52F648DC">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否</w:t>
                  </w:r>
                </w:p>
              </w:tc>
            </w:tr>
            <w:tr w14:paraId="6B7A95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1" w:type="pct"/>
                  <w:tcBorders>
                    <w:tl2br w:val="nil"/>
                    <w:tr2bl w:val="nil"/>
                  </w:tcBorders>
                  <w:noWrap w:val="0"/>
                  <w:vAlign w:val="center"/>
                </w:tcPr>
                <w:p w14:paraId="637D2F69">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16</w:t>
                  </w:r>
                </w:p>
              </w:tc>
              <w:tc>
                <w:tcPr>
                  <w:tcW w:w="1021" w:type="pct"/>
                  <w:tcBorders>
                    <w:tl2br w:val="nil"/>
                    <w:tr2bl w:val="nil"/>
                  </w:tcBorders>
                  <w:noWrap w:val="0"/>
                  <w:vAlign w:val="center"/>
                </w:tcPr>
                <w:p w14:paraId="7FB6023C">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顺式-1,2-二氯乙烯</w:t>
                  </w:r>
                </w:p>
              </w:tc>
              <w:tc>
                <w:tcPr>
                  <w:tcW w:w="1108" w:type="pct"/>
                  <w:tcBorders>
                    <w:tl2br w:val="nil"/>
                    <w:tr2bl w:val="nil"/>
                  </w:tcBorders>
                  <w:noWrap w:val="0"/>
                  <w:vAlign w:val="center"/>
                </w:tcPr>
                <w:p w14:paraId="57AB2B6B">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ND</w:t>
                  </w:r>
                </w:p>
              </w:tc>
              <w:tc>
                <w:tcPr>
                  <w:tcW w:w="1108" w:type="pct"/>
                  <w:tcBorders>
                    <w:tl2br w:val="nil"/>
                    <w:tr2bl w:val="nil"/>
                  </w:tcBorders>
                  <w:noWrap w:val="0"/>
                  <w:vAlign w:val="center"/>
                </w:tcPr>
                <w:p w14:paraId="184A7AF3">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r>
                    <w:rPr>
                      <w:rFonts w:hint="default"/>
                      <w:lang w:eastAsia="zh-CN"/>
                    </w:rPr>
                    <w:t>μ</w:t>
                  </w:r>
                  <w:r>
                    <w:rPr>
                      <w:rFonts w:hint="default"/>
                    </w:rPr>
                    <w:t>g/kg</w:t>
                  </w:r>
                </w:p>
              </w:tc>
              <w:tc>
                <w:tcPr>
                  <w:tcW w:w="752" w:type="pct"/>
                  <w:tcBorders>
                    <w:tl2br w:val="nil"/>
                    <w:tr2bl w:val="nil"/>
                  </w:tcBorders>
                  <w:noWrap w:val="0"/>
                  <w:vAlign w:val="center"/>
                </w:tcPr>
                <w:p w14:paraId="62D35E45">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596</w:t>
                  </w:r>
                </w:p>
              </w:tc>
              <w:tc>
                <w:tcPr>
                  <w:tcW w:w="639" w:type="pct"/>
                  <w:tcBorders>
                    <w:tl2br w:val="nil"/>
                    <w:tr2bl w:val="nil"/>
                  </w:tcBorders>
                  <w:noWrap w:val="0"/>
                  <w:vAlign w:val="center"/>
                </w:tcPr>
                <w:p w14:paraId="68BD456D">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否</w:t>
                  </w:r>
                </w:p>
              </w:tc>
            </w:tr>
            <w:tr w14:paraId="64DAF3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1" w:type="pct"/>
                  <w:tcBorders>
                    <w:tl2br w:val="nil"/>
                    <w:tr2bl w:val="nil"/>
                  </w:tcBorders>
                  <w:noWrap w:val="0"/>
                  <w:vAlign w:val="center"/>
                </w:tcPr>
                <w:p w14:paraId="40767643">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17</w:t>
                  </w:r>
                </w:p>
              </w:tc>
              <w:tc>
                <w:tcPr>
                  <w:tcW w:w="1021" w:type="pct"/>
                  <w:tcBorders>
                    <w:tl2br w:val="nil"/>
                    <w:tr2bl w:val="nil"/>
                  </w:tcBorders>
                  <w:noWrap w:val="0"/>
                  <w:vAlign w:val="center"/>
                </w:tcPr>
                <w:p w14:paraId="11F8602D">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氯仿</w:t>
                  </w:r>
                </w:p>
              </w:tc>
              <w:tc>
                <w:tcPr>
                  <w:tcW w:w="1108" w:type="pct"/>
                  <w:tcBorders>
                    <w:tl2br w:val="nil"/>
                    <w:tr2bl w:val="nil"/>
                  </w:tcBorders>
                  <w:noWrap w:val="0"/>
                  <w:vAlign w:val="center"/>
                </w:tcPr>
                <w:p w14:paraId="321BE8C9">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s="Times New Roman"/>
                      <w:color w:val="auto"/>
                      <w:kern w:val="2"/>
                      <w:sz w:val="21"/>
                      <w:szCs w:val="22"/>
                      <w:highlight w:val="none"/>
                      <w:lang w:val="en-US" w:eastAsia="zh-CN" w:bidi="ar-SA"/>
                    </w:rPr>
                    <w:t>1.6</w:t>
                  </w:r>
                </w:p>
              </w:tc>
              <w:tc>
                <w:tcPr>
                  <w:tcW w:w="1108" w:type="pct"/>
                  <w:tcBorders>
                    <w:tl2br w:val="nil"/>
                    <w:tr2bl w:val="nil"/>
                  </w:tcBorders>
                  <w:noWrap w:val="0"/>
                  <w:vAlign w:val="center"/>
                </w:tcPr>
                <w:p w14:paraId="652D11BF">
                  <w:pPr>
                    <w:pStyle w:val="135"/>
                    <w:keepNext w:val="0"/>
                    <w:keepLines w:val="0"/>
                    <w:pageBreakBefore w:val="0"/>
                    <w:widowControl/>
                    <w:kinsoku/>
                    <w:wordWrap/>
                    <w:overflowPunct/>
                    <w:topLinePunct w:val="0"/>
                    <w:autoSpaceDE/>
                    <w:autoSpaceDN/>
                    <w:bidi w:val="0"/>
                    <w:adjustRightInd w:val="0"/>
                    <w:snapToGrid w:val="0"/>
                    <w:textAlignment w:val="auto"/>
                    <w:rPr>
                      <w:rFonts w:hint="eastAsia" w:cs="Times New Roman"/>
                      <w:color w:val="auto"/>
                      <w:kern w:val="2"/>
                      <w:sz w:val="21"/>
                      <w:szCs w:val="22"/>
                      <w:highlight w:val="none"/>
                      <w:lang w:val="en-US" w:eastAsia="zh-CN" w:bidi="ar-SA"/>
                    </w:rPr>
                  </w:pPr>
                  <w:r>
                    <w:rPr>
                      <w:rFonts w:hint="default"/>
                      <w:lang w:eastAsia="zh-CN"/>
                    </w:rPr>
                    <w:t>μ</w:t>
                  </w:r>
                  <w:r>
                    <w:rPr>
                      <w:rFonts w:hint="default"/>
                    </w:rPr>
                    <w:t>g/kg</w:t>
                  </w:r>
                </w:p>
              </w:tc>
              <w:tc>
                <w:tcPr>
                  <w:tcW w:w="752" w:type="pct"/>
                  <w:tcBorders>
                    <w:tl2br w:val="nil"/>
                    <w:tr2bl w:val="nil"/>
                  </w:tcBorders>
                  <w:noWrap w:val="0"/>
                  <w:vAlign w:val="center"/>
                </w:tcPr>
                <w:p w14:paraId="3D48EE15">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0.9</w:t>
                  </w:r>
                </w:p>
              </w:tc>
              <w:tc>
                <w:tcPr>
                  <w:tcW w:w="639" w:type="pct"/>
                  <w:tcBorders>
                    <w:tl2br w:val="nil"/>
                    <w:tr2bl w:val="nil"/>
                  </w:tcBorders>
                  <w:noWrap w:val="0"/>
                  <w:vAlign w:val="center"/>
                </w:tcPr>
                <w:p w14:paraId="70AF4E1C">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否</w:t>
                  </w:r>
                </w:p>
              </w:tc>
            </w:tr>
            <w:tr w14:paraId="3F0206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1" w:type="pct"/>
                  <w:tcBorders>
                    <w:tl2br w:val="nil"/>
                    <w:tr2bl w:val="nil"/>
                  </w:tcBorders>
                  <w:noWrap w:val="0"/>
                  <w:vAlign w:val="center"/>
                </w:tcPr>
                <w:p w14:paraId="3919DB87">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18</w:t>
                  </w:r>
                </w:p>
              </w:tc>
              <w:tc>
                <w:tcPr>
                  <w:tcW w:w="1021" w:type="pct"/>
                  <w:tcBorders>
                    <w:tl2br w:val="nil"/>
                    <w:tr2bl w:val="nil"/>
                  </w:tcBorders>
                  <w:noWrap w:val="0"/>
                  <w:vAlign w:val="center"/>
                </w:tcPr>
                <w:p w14:paraId="03AAF93F">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1,1,1-三氯乙烷</w:t>
                  </w:r>
                </w:p>
              </w:tc>
              <w:tc>
                <w:tcPr>
                  <w:tcW w:w="1108" w:type="pct"/>
                  <w:tcBorders>
                    <w:tl2br w:val="nil"/>
                    <w:tr2bl w:val="nil"/>
                  </w:tcBorders>
                  <w:noWrap w:val="0"/>
                  <w:vAlign w:val="center"/>
                </w:tcPr>
                <w:p w14:paraId="25744CDE">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ND</w:t>
                  </w:r>
                </w:p>
              </w:tc>
              <w:tc>
                <w:tcPr>
                  <w:tcW w:w="1108" w:type="pct"/>
                  <w:tcBorders>
                    <w:tl2br w:val="nil"/>
                    <w:tr2bl w:val="nil"/>
                  </w:tcBorders>
                  <w:noWrap w:val="0"/>
                  <w:vAlign w:val="center"/>
                </w:tcPr>
                <w:p w14:paraId="3EE91AFF">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r>
                    <w:rPr>
                      <w:rFonts w:hint="default"/>
                      <w:lang w:eastAsia="zh-CN"/>
                    </w:rPr>
                    <w:t>μ</w:t>
                  </w:r>
                  <w:r>
                    <w:rPr>
                      <w:rFonts w:hint="default"/>
                    </w:rPr>
                    <w:t>g/kg</w:t>
                  </w:r>
                </w:p>
              </w:tc>
              <w:tc>
                <w:tcPr>
                  <w:tcW w:w="752" w:type="pct"/>
                  <w:tcBorders>
                    <w:tl2br w:val="nil"/>
                    <w:tr2bl w:val="nil"/>
                  </w:tcBorders>
                  <w:noWrap w:val="0"/>
                  <w:vAlign w:val="center"/>
                </w:tcPr>
                <w:p w14:paraId="0DDB5C69">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840</w:t>
                  </w:r>
                </w:p>
              </w:tc>
              <w:tc>
                <w:tcPr>
                  <w:tcW w:w="639" w:type="pct"/>
                  <w:tcBorders>
                    <w:tl2br w:val="nil"/>
                    <w:tr2bl w:val="nil"/>
                  </w:tcBorders>
                  <w:noWrap w:val="0"/>
                  <w:vAlign w:val="center"/>
                </w:tcPr>
                <w:p w14:paraId="6920F021">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否</w:t>
                  </w:r>
                </w:p>
              </w:tc>
            </w:tr>
            <w:tr w14:paraId="3B8FBE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1" w:type="pct"/>
                  <w:tcBorders>
                    <w:tl2br w:val="nil"/>
                    <w:tr2bl w:val="nil"/>
                  </w:tcBorders>
                  <w:noWrap w:val="0"/>
                  <w:vAlign w:val="center"/>
                </w:tcPr>
                <w:p w14:paraId="78BAA8E1">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19</w:t>
                  </w:r>
                </w:p>
              </w:tc>
              <w:tc>
                <w:tcPr>
                  <w:tcW w:w="1021" w:type="pct"/>
                  <w:tcBorders>
                    <w:tl2br w:val="nil"/>
                    <w:tr2bl w:val="nil"/>
                  </w:tcBorders>
                  <w:noWrap w:val="0"/>
                  <w:vAlign w:val="center"/>
                </w:tcPr>
                <w:p w14:paraId="16544E5F">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四氯化碳</w:t>
                  </w:r>
                </w:p>
              </w:tc>
              <w:tc>
                <w:tcPr>
                  <w:tcW w:w="1108" w:type="pct"/>
                  <w:tcBorders>
                    <w:tl2br w:val="nil"/>
                    <w:tr2bl w:val="nil"/>
                  </w:tcBorders>
                  <w:noWrap w:val="0"/>
                  <w:vAlign w:val="center"/>
                </w:tcPr>
                <w:p w14:paraId="58A9F1B3">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ND</w:t>
                  </w:r>
                </w:p>
              </w:tc>
              <w:tc>
                <w:tcPr>
                  <w:tcW w:w="1108" w:type="pct"/>
                  <w:tcBorders>
                    <w:tl2br w:val="nil"/>
                    <w:tr2bl w:val="nil"/>
                  </w:tcBorders>
                  <w:noWrap w:val="0"/>
                  <w:vAlign w:val="center"/>
                </w:tcPr>
                <w:p w14:paraId="09DE1B98">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r>
                    <w:rPr>
                      <w:rFonts w:hint="default"/>
                      <w:lang w:eastAsia="zh-CN"/>
                    </w:rPr>
                    <w:t>μ</w:t>
                  </w:r>
                  <w:r>
                    <w:rPr>
                      <w:rFonts w:hint="default"/>
                    </w:rPr>
                    <w:t>g/kg</w:t>
                  </w:r>
                </w:p>
              </w:tc>
              <w:tc>
                <w:tcPr>
                  <w:tcW w:w="752" w:type="pct"/>
                  <w:tcBorders>
                    <w:tl2br w:val="nil"/>
                    <w:tr2bl w:val="nil"/>
                  </w:tcBorders>
                  <w:noWrap w:val="0"/>
                  <w:vAlign w:val="center"/>
                </w:tcPr>
                <w:p w14:paraId="7C0EE794">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2.8</w:t>
                  </w:r>
                </w:p>
              </w:tc>
              <w:tc>
                <w:tcPr>
                  <w:tcW w:w="639" w:type="pct"/>
                  <w:tcBorders>
                    <w:tl2br w:val="nil"/>
                    <w:tr2bl w:val="nil"/>
                  </w:tcBorders>
                  <w:noWrap w:val="0"/>
                  <w:vAlign w:val="center"/>
                </w:tcPr>
                <w:p w14:paraId="352E8219">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否</w:t>
                  </w:r>
                </w:p>
              </w:tc>
            </w:tr>
            <w:tr w14:paraId="46D025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1" w:type="pct"/>
                  <w:tcBorders>
                    <w:tl2br w:val="nil"/>
                    <w:tr2bl w:val="nil"/>
                  </w:tcBorders>
                  <w:noWrap w:val="0"/>
                  <w:vAlign w:val="center"/>
                </w:tcPr>
                <w:p w14:paraId="408A60BB">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20</w:t>
                  </w:r>
                </w:p>
              </w:tc>
              <w:tc>
                <w:tcPr>
                  <w:tcW w:w="1021" w:type="pct"/>
                  <w:tcBorders>
                    <w:tl2br w:val="nil"/>
                    <w:tr2bl w:val="nil"/>
                  </w:tcBorders>
                  <w:noWrap w:val="0"/>
                  <w:vAlign w:val="center"/>
                </w:tcPr>
                <w:p w14:paraId="410D045B">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苯</w:t>
                  </w:r>
                </w:p>
              </w:tc>
              <w:tc>
                <w:tcPr>
                  <w:tcW w:w="1108" w:type="pct"/>
                  <w:tcBorders>
                    <w:tl2br w:val="nil"/>
                    <w:tr2bl w:val="nil"/>
                  </w:tcBorders>
                  <w:noWrap w:val="0"/>
                  <w:vAlign w:val="center"/>
                </w:tcPr>
                <w:p w14:paraId="1A3879ED">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ND</w:t>
                  </w:r>
                </w:p>
              </w:tc>
              <w:tc>
                <w:tcPr>
                  <w:tcW w:w="1108" w:type="pct"/>
                  <w:tcBorders>
                    <w:tl2br w:val="nil"/>
                    <w:tr2bl w:val="nil"/>
                  </w:tcBorders>
                  <w:noWrap w:val="0"/>
                  <w:vAlign w:val="center"/>
                </w:tcPr>
                <w:p w14:paraId="79726A38">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r>
                    <w:rPr>
                      <w:rFonts w:hint="default"/>
                      <w:lang w:eastAsia="zh-CN"/>
                    </w:rPr>
                    <w:t>μ</w:t>
                  </w:r>
                  <w:r>
                    <w:rPr>
                      <w:rFonts w:hint="default"/>
                    </w:rPr>
                    <w:t>g/kg</w:t>
                  </w:r>
                </w:p>
              </w:tc>
              <w:tc>
                <w:tcPr>
                  <w:tcW w:w="752" w:type="pct"/>
                  <w:tcBorders>
                    <w:tl2br w:val="nil"/>
                    <w:tr2bl w:val="nil"/>
                  </w:tcBorders>
                  <w:noWrap w:val="0"/>
                  <w:vAlign w:val="center"/>
                </w:tcPr>
                <w:p w14:paraId="4B287121">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4.0</w:t>
                  </w:r>
                </w:p>
              </w:tc>
              <w:tc>
                <w:tcPr>
                  <w:tcW w:w="639" w:type="pct"/>
                  <w:tcBorders>
                    <w:tl2br w:val="nil"/>
                    <w:tr2bl w:val="nil"/>
                  </w:tcBorders>
                  <w:noWrap w:val="0"/>
                  <w:vAlign w:val="center"/>
                </w:tcPr>
                <w:p w14:paraId="0EAE376A">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否</w:t>
                  </w:r>
                </w:p>
              </w:tc>
            </w:tr>
            <w:tr w14:paraId="3DB9D3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1" w:type="pct"/>
                  <w:tcBorders>
                    <w:tl2br w:val="nil"/>
                    <w:tr2bl w:val="nil"/>
                  </w:tcBorders>
                  <w:noWrap w:val="0"/>
                  <w:vAlign w:val="center"/>
                </w:tcPr>
                <w:p w14:paraId="603480BC">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21</w:t>
                  </w:r>
                </w:p>
              </w:tc>
              <w:tc>
                <w:tcPr>
                  <w:tcW w:w="1021" w:type="pct"/>
                  <w:tcBorders>
                    <w:tl2br w:val="nil"/>
                    <w:tr2bl w:val="nil"/>
                  </w:tcBorders>
                  <w:noWrap w:val="0"/>
                  <w:vAlign w:val="center"/>
                </w:tcPr>
                <w:p w14:paraId="0CA85167">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1,2-二氯乙烷</w:t>
                  </w:r>
                </w:p>
              </w:tc>
              <w:tc>
                <w:tcPr>
                  <w:tcW w:w="1108" w:type="pct"/>
                  <w:tcBorders>
                    <w:tl2br w:val="nil"/>
                    <w:tr2bl w:val="nil"/>
                  </w:tcBorders>
                  <w:noWrap w:val="0"/>
                  <w:vAlign w:val="center"/>
                </w:tcPr>
                <w:p w14:paraId="60268CBE">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ND</w:t>
                  </w:r>
                </w:p>
              </w:tc>
              <w:tc>
                <w:tcPr>
                  <w:tcW w:w="1108" w:type="pct"/>
                  <w:tcBorders>
                    <w:tl2br w:val="nil"/>
                    <w:tr2bl w:val="nil"/>
                  </w:tcBorders>
                  <w:noWrap w:val="0"/>
                  <w:vAlign w:val="center"/>
                </w:tcPr>
                <w:p w14:paraId="536D5332">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r>
                    <w:rPr>
                      <w:rFonts w:hint="default"/>
                      <w:lang w:eastAsia="zh-CN"/>
                    </w:rPr>
                    <w:t>μ</w:t>
                  </w:r>
                  <w:r>
                    <w:rPr>
                      <w:rFonts w:hint="default"/>
                    </w:rPr>
                    <w:t>g/kg</w:t>
                  </w:r>
                </w:p>
              </w:tc>
              <w:tc>
                <w:tcPr>
                  <w:tcW w:w="752" w:type="pct"/>
                  <w:tcBorders>
                    <w:tl2br w:val="nil"/>
                    <w:tr2bl w:val="nil"/>
                  </w:tcBorders>
                  <w:noWrap w:val="0"/>
                  <w:vAlign w:val="center"/>
                </w:tcPr>
                <w:p w14:paraId="14EA58B6">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5</w:t>
                  </w:r>
                </w:p>
              </w:tc>
              <w:tc>
                <w:tcPr>
                  <w:tcW w:w="639" w:type="pct"/>
                  <w:tcBorders>
                    <w:tl2br w:val="nil"/>
                    <w:tr2bl w:val="nil"/>
                  </w:tcBorders>
                  <w:noWrap w:val="0"/>
                  <w:vAlign w:val="center"/>
                </w:tcPr>
                <w:p w14:paraId="1F153FEE">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eastAsia="zh-CN"/>
                    </w:rPr>
                  </w:pPr>
                  <w:r>
                    <w:rPr>
                      <w:rFonts w:hint="eastAsia"/>
                      <w:color w:val="auto"/>
                      <w:lang w:val="en-US" w:eastAsia="zh-CN"/>
                    </w:rPr>
                    <w:t>否</w:t>
                  </w:r>
                </w:p>
              </w:tc>
            </w:tr>
            <w:tr w14:paraId="5BC333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1" w:type="pct"/>
                  <w:tcBorders>
                    <w:tl2br w:val="nil"/>
                    <w:tr2bl w:val="nil"/>
                  </w:tcBorders>
                  <w:noWrap w:val="0"/>
                  <w:vAlign w:val="center"/>
                </w:tcPr>
                <w:p w14:paraId="1C1B971E">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22</w:t>
                  </w:r>
                </w:p>
              </w:tc>
              <w:tc>
                <w:tcPr>
                  <w:tcW w:w="1021" w:type="pct"/>
                  <w:tcBorders>
                    <w:tl2br w:val="nil"/>
                    <w:tr2bl w:val="nil"/>
                  </w:tcBorders>
                  <w:noWrap w:val="0"/>
                  <w:vAlign w:val="center"/>
                </w:tcPr>
                <w:p w14:paraId="1EDDA05E">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三氯乙烯</w:t>
                  </w:r>
                </w:p>
              </w:tc>
              <w:tc>
                <w:tcPr>
                  <w:tcW w:w="1108" w:type="pct"/>
                  <w:tcBorders>
                    <w:tl2br w:val="nil"/>
                    <w:tr2bl w:val="nil"/>
                  </w:tcBorders>
                  <w:noWrap w:val="0"/>
                  <w:vAlign w:val="center"/>
                </w:tcPr>
                <w:p w14:paraId="2F39DA37">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ND</w:t>
                  </w:r>
                </w:p>
              </w:tc>
              <w:tc>
                <w:tcPr>
                  <w:tcW w:w="1108" w:type="pct"/>
                  <w:tcBorders>
                    <w:tl2br w:val="nil"/>
                    <w:tr2bl w:val="nil"/>
                  </w:tcBorders>
                  <w:noWrap w:val="0"/>
                  <w:vAlign w:val="center"/>
                </w:tcPr>
                <w:p w14:paraId="2AB1FD1F">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r>
                    <w:rPr>
                      <w:rFonts w:hint="default"/>
                      <w:lang w:eastAsia="zh-CN"/>
                    </w:rPr>
                    <w:t>μ</w:t>
                  </w:r>
                  <w:r>
                    <w:rPr>
                      <w:rFonts w:hint="default"/>
                    </w:rPr>
                    <w:t>g/kg</w:t>
                  </w:r>
                </w:p>
              </w:tc>
              <w:tc>
                <w:tcPr>
                  <w:tcW w:w="752" w:type="pct"/>
                  <w:tcBorders>
                    <w:tl2br w:val="nil"/>
                    <w:tr2bl w:val="nil"/>
                  </w:tcBorders>
                  <w:noWrap w:val="0"/>
                  <w:vAlign w:val="center"/>
                </w:tcPr>
                <w:p w14:paraId="7351599D">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2.8</w:t>
                  </w:r>
                </w:p>
              </w:tc>
              <w:tc>
                <w:tcPr>
                  <w:tcW w:w="639" w:type="pct"/>
                  <w:tcBorders>
                    <w:tl2br w:val="nil"/>
                    <w:tr2bl w:val="nil"/>
                  </w:tcBorders>
                  <w:noWrap w:val="0"/>
                  <w:vAlign w:val="center"/>
                </w:tcPr>
                <w:p w14:paraId="36851E1D">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eastAsia="zh-CN"/>
                    </w:rPr>
                  </w:pPr>
                  <w:r>
                    <w:rPr>
                      <w:rFonts w:hint="eastAsia"/>
                      <w:color w:val="auto"/>
                      <w:lang w:val="en-US" w:eastAsia="zh-CN"/>
                    </w:rPr>
                    <w:t>否</w:t>
                  </w:r>
                </w:p>
              </w:tc>
            </w:tr>
            <w:tr w14:paraId="435F37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1" w:type="pct"/>
                  <w:tcBorders>
                    <w:tl2br w:val="nil"/>
                    <w:tr2bl w:val="nil"/>
                  </w:tcBorders>
                  <w:noWrap w:val="0"/>
                  <w:vAlign w:val="center"/>
                </w:tcPr>
                <w:p w14:paraId="7EE5DCF1">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23</w:t>
                  </w:r>
                </w:p>
              </w:tc>
              <w:tc>
                <w:tcPr>
                  <w:tcW w:w="1021" w:type="pct"/>
                  <w:tcBorders>
                    <w:tl2br w:val="nil"/>
                    <w:tr2bl w:val="nil"/>
                  </w:tcBorders>
                  <w:noWrap w:val="0"/>
                  <w:vAlign w:val="center"/>
                </w:tcPr>
                <w:p w14:paraId="4FE55AC2">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1,2-二氯丙烷</w:t>
                  </w:r>
                </w:p>
              </w:tc>
              <w:tc>
                <w:tcPr>
                  <w:tcW w:w="1108" w:type="pct"/>
                  <w:tcBorders>
                    <w:tl2br w:val="nil"/>
                    <w:tr2bl w:val="nil"/>
                  </w:tcBorders>
                  <w:noWrap w:val="0"/>
                  <w:vAlign w:val="center"/>
                </w:tcPr>
                <w:p w14:paraId="5BC35518">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ND</w:t>
                  </w:r>
                </w:p>
              </w:tc>
              <w:tc>
                <w:tcPr>
                  <w:tcW w:w="1108" w:type="pct"/>
                  <w:tcBorders>
                    <w:tl2br w:val="nil"/>
                    <w:tr2bl w:val="nil"/>
                  </w:tcBorders>
                  <w:noWrap w:val="0"/>
                  <w:vAlign w:val="center"/>
                </w:tcPr>
                <w:p w14:paraId="7B25BE71">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r>
                    <w:rPr>
                      <w:rFonts w:hint="default"/>
                      <w:lang w:eastAsia="zh-CN"/>
                    </w:rPr>
                    <w:t>μ</w:t>
                  </w:r>
                  <w:r>
                    <w:rPr>
                      <w:rFonts w:hint="default"/>
                    </w:rPr>
                    <w:t>g/kg</w:t>
                  </w:r>
                </w:p>
              </w:tc>
              <w:tc>
                <w:tcPr>
                  <w:tcW w:w="752" w:type="pct"/>
                  <w:tcBorders>
                    <w:tl2br w:val="nil"/>
                    <w:tr2bl w:val="nil"/>
                  </w:tcBorders>
                  <w:noWrap w:val="0"/>
                  <w:vAlign w:val="center"/>
                </w:tcPr>
                <w:p w14:paraId="16B63C89">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5</w:t>
                  </w:r>
                </w:p>
              </w:tc>
              <w:tc>
                <w:tcPr>
                  <w:tcW w:w="639" w:type="pct"/>
                  <w:tcBorders>
                    <w:tl2br w:val="nil"/>
                    <w:tr2bl w:val="nil"/>
                  </w:tcBorders>
                  <w:noWrap w:val="0"/>
                  <w:vAlign w:val="center"/>
                </w:tcPr>
                <w:p w14:paraId="774E229E">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eastAsia="zh-CN"/>
                    </w:rPr>
                  </w:pPr>
                  <w:r>
                    <w:rPr>
                      <w:rFonts w:hint="eastAsia"/>
                      <w:color w:val="auto"/>
                      <w:lang w:val="en-US" w:eastAsia="zh-CN"/>
                    </w:rPr>
                    <w:t>否</w:t>
                  </w:r>
                </w:p>
              </w:tc>
            </w:tr>
            <w:tr w14:paraId="3E7B0B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1" w:type="pct"/>
                  <w:tcBorders>
                    <w:tl2br w:val="nil"/>
                    <w:tr2bl w:val="nil"/>
                  </w:tcBorders>
                  <w:noWrap w:val="0"/>
                  <w:vAlign w:val="center"/>
                </w:tcPr>
                <w:p w14:paraId="03C19AEA">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24</w:t>
                  </w:r>
                </w:p>
              </w:tc>
              <w:tc>
                <w:tcPr>
                  <w:tcW w:w="1021" w:type="pct"/>
                  <w:tcBorders>
                    <w:tl2br w:val="nil"/>
                    <w:tr2bl w:val="nil"/>
                  </w:tcBorders>
                  <w:noWrap w:val="0"/>
                  <w:vAlign w:val="center"/>
                </w:tcPr>
                <w:p w14:paraId="68610517">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甲苯</w:t>
                  </w:r>
                </w:p>
              </w:tc>
              <w:tc>
                <w:tcPr>
                  <w:tcW w:w="1108" w:type="pct"/>
                  <w:tcBorders>
                    <w:tl2br w:val="nil"/>
                    <w:tr2bl w:val="nil"/>
                  </w:tcBorders>
                  <w:noWrap w:val="0"/>
                  <w:vAlign w:val="center"/>
                </w:tcPr>
                <w:p w14:paraId="4D03455C">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ND</w:t>
                  </w:r>
                </w:p>
              </w:tc>
              <w:tc>
                <w:tcPr>
                  <w:tcW w:w="1108" w:type="pct"/>
                  <w:tcBorders>
                    <w:tl2br w:val="nil"/>
                    <w:tr2bl w:val="nil"/>
                  </w:tcBorders>
                  <w:noWrap w:val="0"/>
                  <w:vAlign w:val="center"/>
                </w:tcPr>
                <w:p w14:paraId="29DC48DA">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r>
                    <w:rPr>
                      <w:rFonts w:hint="default"/>
                      <w:lang w:eastAsia="zh-CN"/>
                    </w:rPr>
                    <w:t>μ</w:t>
                  </w:r>
                  <w:r>
                    <w:rPr>
                      <w:rFonts w:hint="default"/>
                    </w:rPr>
                    <w:t>g/kg</w:t>
                  </w:r>
                </w:p>
              </w:tc>
              <w:tc>
                <w:tcPr>
                  <w:tcW w:w="752" w:type="pct"/>
                  <w:tcBorders>
                    <w:tl2br w:val="nil"/>
                    <w:tr2bl w:val="nil"/>
                  </w:tcBorders>
                  <w:noWrap w:val="0"/>
                  <w:vAlign w:val="center"/>
                </w:tcPr>
                <w:p w14:paraId="0570FEE5">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1200</w:t>
                  </w:r>
                </w:p>
              </w:tc>
              <w:tc>
                <w:tcPr>
                  <w:tcW w:w="639" w:type="pct"/>
                  <w:tcBorders>
                    <w:tl2br w:val="nil"/>
                    <w:tr2bl w:val="nil"/>
                  </w:tcBorders>
                  <w:noWrap w:val="0"/>
                  <w:vAlign w:val="center"/>
                </w:tcPr>
                <w:p w14:paraId="656B2942">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eastAsia="zh-CN"/>
                    </w:rPr>
                  </w:pPr>
                  <w:r>
                    <w:rPr>
                      <w:rFonts w:hint="eastAsia"/>
                      <w:color w:val="auto"/>
                      <w:lang w:val="en-US" w:eastAsia="zh-CN"/>
                    </w:rPr>
                    <w:t>否</w:t>
                  </w:r>
                </w:p>
              </w:tc>
            </w:tr>
            <w:tr w14:paraId="285D5C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1" w:type="pct"/>
                  <w:tcBorders>
                    <w:tl2br w:val="nil"/>
                    <w:tr2bl w:val="nil"/>
                  </w:tcBorders>
                  <w:noWrap w:val="0"/>
                  <w:vAlign w:val="center"/>
                </w:tcPr>
                <w:p w14:paraId="4CBACDAD">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25</w:t>
                  </w:r>
                </w:p>
              </w:tc>
              <w:tc>
                <w:tcPr>
                  <w:tcW w:w="1021" w:type="pct"/>
                  <w:tcBorders>
                    <w:tl2br w:val="nil"/>
                    <w:tr2bl w:val="nil"/>
                  </w:tcBorders>
                  <w:noWrap w:val="0"/>
                  <w:vAlign w:val="center"/>
                </w:tcPr>
                <w:p w14:paraId="1E489F86">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1,1,2-三氯乙烷</w:t>
                  </w:r>
                </w:p>
              </w:tc>
              <w:tc>
                <w:tcPr>
                  <w:tcW w:w="1108" w:type="pct"/>
                  <w:tcBorders>
                    <w:tl2br w:val="nil"/>
                    <w:tr2bl w:val="nil"/>
                  </w:tcBorders>
                  <w:noWrap w:val="0"/>
                  <w:vAlign w:val="center"/>
                </w:tcPr>
                <w:p w14:paraId="5FD2AC12">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ND</w:t>
                  </w:r>
                </w:p>
              </w:tc>
              <w:tc>
                <w:tcPr>
                  <w:tcW w:w="1108" w:type="pct"/>
                  <w:tcBorders>
                    <w:tl2br w:val="nil"/>
                    <w:tr2bl w:val="nil"/>
                  </w:tcBorders>
                  <w:noWrap w:val="0"/>
                  <w:vAlign w:val="center"/>
                </w:tcPr>
                <w:p w14:paraId="1E5B49F1">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r>
                    <w:rPr>
                      <w:rFonts w:hint="default"/>
                      <w:lang w:eastAsia="zh-CN"/>
                    </w:rPr>
                    <w:t>μ</w:t>
                  </w:r>
                  <w:r>
                    <w:rPr>
                      <w:rFonts w:hint="default"/>
                    </w:rPr>
                    <w:t>g/kg</w:t>
                  </w:r>
                </w:p>
              </w:tc>
              <w:tc>
                <w:tcPr>
                  <w:tcW w:w="752" w:type="pct"/>
                  <w:tcBorders>
                    <w:tl2br w:val="nil"/>
                    <w:tr2bl w:val="nil"/>
                  </w:tcBorders>
                  <w:noWrap w:val="0"/>
                  <w:vAlign w:val="center"/>
                </w:tcPr>
                <w:p w14:paraId="5F2B23E3">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2.8</w:t>
                  </w:r>
                </w:p>
              </w:tc>
              <w:tc>
                <w:tcPr>
                  <w:tcW w:w="639" w:type="pct"/>
                  <w:tcBorders>
                    <w:tl2br w:val="nil"/>
                    <w:tr2bl w:val="nil"/>
                  </w:tcBorders>
                  <w:noWrap w:val="0"/>
                  <w:vAlign w:val="center"/>
                </w:tcPr>
                <w:p w14:paraId="7FCD1D57">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eastAsia="zh-CN"/>
                    </w:rPr>
                  </w:pPr>
                  <w:r>
                    <w:rPr>
                      <w:rFonts w:hint="eastAsia"/>
                      <w:color w:val="auto"/>
                      <w:lang w:val="en-US" w:eastAsia="zh-CN"/>
                    </w:rPr>
                    <w:t>否</w:t>
                  </w:r>
                </w:p>
              </w:tc>
            </w:tr>
            <w:tr w14:paraId="7AD947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1" w:type="pct"/>
                  <w:tcBorders>
                    <w:tl2br w:val="nil"/>
                    <w:tr2bl w:val="nil"/>
                  </w:tcBorders>
                  <w:noWrap w:val="0"/>
                  <w:vAlign w:val="center"/>
                </w:tcPr>
                <w:p w14:paraId="3717BC1B">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26</w:t>
                  </w:r>
                </w:p>
              </w:tc>
              <w:tc>
                <w:tcPr>
                  <w:tcW w:w="1021" w:type="pct"/>
                  <w:tcBorders>
                    <w:tl2br w:val="nil"/>
                    <w:tr2bl w:val="nil"/>
                  </w:tcBorders>
                  <w:noWrap w:val="0"/>
                  <w:vAlign w:val="center"/>
                </w:tcPr>
                <w:p w14:paraId="2AFF6841">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四氯乙烯</w:t>
                  </w:r>
                </w:p>
              </w:tc>
              <w:tc>
                <w:tcPr>
                  <w:tcW w:w="1108" w:type="pct"/>
                  <w:tcBorders>
                    <w:tl2br w:val="nil"/>
                    <w:tr2bl w:val="nil"/>
                  </w:tcBorders>
                  <w:noWrap w:val="0"/>
                  <w:vAlign w:val="center"/>
                </w:tcPr>
                <w:p w14:paraId="3D7B3BD0">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s="Times New Roman"/>
                      <w:color w:val="auto"/>
                      <w:kern w:val="2"/>
                      <w:sz w:val="21"/>
                      <w:szCs w:val="22"/>
                      <w:highlight w:val="none"/>
                      <w:lang w:val="en-US" w:eastAsia="zh-CN" w:bidi="ar-SA"/>
                    </w:rPr>
                    <w:t>4.4</w:t>
                  </w:r>
                </w:p>
              </w:tc>
              <w:tc>
                <w:tcPr>
                  <w:tcW w:w="1108" w:type="pct"/>
                  <w:tcBorders>
                    <w:tl2br w:val="nil"/>
                    <w:tr2bl w:val="nil"/>
                  </w:tcBorders>
                  <w:noWrap w:val="0"/>
                  <w:vAlign w:val="center"/>
                </w:tcPr>
                <w:p w14:paraId="1089574C">
                  <w:pPr>
                    <w:pStyle w:val="135"/>
                    <w:keepNext w:val="0"/>
                    <w:keepLines w:val="0"/>
                    <w:pageBreakBefore w:val="0"/>
                    <w:widowControl/>
                    <w:kinsoku/>
                    <w:wordWrap/>
                    <w:overflowPunct/>
                    <w:topLinePunct w:val="0"/>
                    <w:autoSpaceDE/>
                    <w:autoSpaceDN/>
                    <w:bidi w:val="0"/>
                    <w:adjustRightInd w:val="0"/>
                    <w:snapToGrid w:val="0"/>
                    <w:textAlignment w:val="auto"/>
                    <w:rPr>
                      <w:rFonts w:hint="eastAsia" w:cs="Times New Roman"/>
                      <w:color w:val="auto"/>
                      <w:kern w:val="2"/>
                      <w:sz w:val="21"/>
                      <w:szCs w:val="22"/>
                      <w:highlight w:val="none"/>
                      <w:lang w:val="en-US" w:eastAsia="zh-CN" w:bidi="ar-SA"/>
                    </w:rPr>
                  </w:pPr>
                  <w:r>
                    <w:rPr>
                      <w:rFonts w:hint="default"/>
                      <w:lang w:eastAsia="zh-CN"/>
                    </w:rPr>
                    <w:t>μ</w:t>
                  </w:r>
                  <w:r>
                    <w:rPr>
                      <w:rFonts w:hint="default"/>
                    </w:rPr>
                    <w:t>g/kg</w:t>
                  </w:r>
                </w:p>
              </w:tc>
              <w:tc>
                <w:tcPr>
                  <w:tcW w:w="752" w:type="pct"/>
                  <w:tcBorders>
                    <w:tl2br w:val="nil"/>
                    <w:tr2bl w:val="nil"/>
                  </w:tcBorders>
                  <w:noWrap w:val="0"/>
                  <w:vAlign w:val="center"/>
                </w:tcPr>
                <w:p w14:paraId="4A7617B8">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53</w:t>
                  </w:r>
                </w:p>
              </w:tc>
              <w:tc>
                <w:tcPr>
                  <w:tcW w:w="639" w:type="pct"/>
                  <w:tcBorders>
                    <w:tl2br w:val="nil"/>
                    <w:tr2bl w:val="nil"/>
                  </w:tcBorders>
                  <w:noWrap w:val="0"/>
                  <w:vAlign w:val="center"/>
                </w:tcPr>
                <w:p w14:paraId="02EBBBC3">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eastAsia="zh-CN"/>
                    </w:rPr>
                  </w:pPr>
                  <w:r>
                    <w:rPr>
                      <w:rFonts w:hint="eastAsia"/>
                      <w:color w:val="auto"/>
                      <w:lang w:val="en-US" w:eastAsia="zh-CN"/>
                    </w:rPr>
                    <w:t>否</w:t>
                  </w:r>
                </w:p>
              </w:tc>
            </w:tr>
            <w:tr w14:paraId="122FB4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1" w:type="pct"/>
                  <w:tcBorders>
                    <w:tl2br w:val="nil"/>
                    <w:tr2bl w:val="nil"/>
                  </w:tcBorders>
                  <w:noWrap w:val="0"/>
                  <w:vAlign w:val="center"/>
                </w:tcPr>
                <w:p w14:paraId="65B69832">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27</w:t>
                  </w:r>
                </w:p>
              </w:tc>
              <w:tc>
                <w:tcPr>
                  <w:tcW w:w="1021" w:type="pct"/>
                  <w:tcBorders>
                    <w:tl2br w:val="nil"/>
                    <w:tr2bl w:val="nil"/>
                  </w:tcBorders>
                  <w:noWrap w:val="0"/>
                  <w:vAlign w:val="center"/>
                </w:tcPr>
                <w:p w14:paraId="6A0FF621">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氯苯</w:t>
                  </w:r>
                </w:p>
              </w:tc>
              <w:tc>
                <w:tcPr>
                  <w:tcW w:w="1108" w:type="pct"/>
                  <w:tcBorders>
                    <w:tl2br w:val="nil"/>
                    <w:tr2bl w:val="nil"/>
                  </w:tcBorders>
                  <w:noWrap w:val="0"/>
                  <w:vAlign w:val="center"/>
                </w:tcPr>
                <w:p w14:paraId="324C7517">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ND</w:t>
                  </w:r>
                </w:p>
              </w:tc>
              <w:tc>
                <w:tcPr>
                  <w:tcW w:w="1108" w:type="pct"/>
                  <w:tcBorders>
                    <w:tl2br w:val="nil"/>
                    <w:tr2bl w:val="nil"/>
                  </w:tcBorders>
                  <w:noWrap w:val="0"/>
                  <w:vAlign w:val="center"/>
                </w:tcPr>
                <w:p w14:paraId="0E867FC1">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r>
                    <w:rPr>
                      <w:rFonts w:hint="default"/>
                      <w:lang w:eastAsia="zh-CN"/>
                    </w:rPr>
                    <w:t>μ</w:t>
                  </w:r>
                  <w:r>
                    <w:rPr>
                      <w:rFonts w:hint="default"/>
                    </w:rPr>
                    <w:t>g/kg</w:t>
                  </w:r>
                </w:p>
              </w:tc>
              <w:tc>
                <w:tcPr>
                  <w:tcW w:w="752" w:type="pct"/>
                  <w:tcBorders>
                    <w:tl2br w:val="nil"/>
                    <w:tr2bl w:val="nil"/>
                  </w:tcBorders>
                  <w:noWrap w:val="0"/>
                  <w:vAlign w:val="center"/>
                </w:tcPr>
                <w:p w14:paraId="0B7D5555">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270</w:t>
                  </w:r>
                </w:p>
              </w:tc>
              <w:tc>
                <w:tcPr>
                  <w:tcW w:w="639" w:type="pct"/>
                  <w:tcBorders>
                    <w:tl2br w:val="nil"/>
                    <w:tr2bl w:val="nil"/>
                  </w:tcBorders>
                  <w:noWrap w:val="0"/>
                  <w:vAlign w:val="center"/>
                </w:tcPr>
                <w:p w14:paraId="41496A6B">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eastAsia="zh-CN"/>
                    </w:rPr>
                  </w:pPr>
                  <w:r>
                    <w:rPr>
                      <w:rFonts w:hint="eastAsia"/>
                      <w:color w:val="auto"/>
                      <w:lang w:val="en-US" w:eastAsia="zh-CN"/>
                    </w:rPr>
                    <w:t>否</w:t>
                  </w:r>
                </w:p>
              </w:tc>
            </w:tr>
            <w:tr w14:paraId="514E91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1" w:type="pct"/>
                  <w:tcBorders>
                    <w:tl2br w:val="nil"/>
                    <w:tr2bl w:val="nil"/>
                  </w:tcBorders>
                  <w:noWrap w:val="0"/>
                  <w:vAlign w:val="center"/>
                </w:tcPr>
                <w:p w14:paraId="101CBC47">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28</w:t>
                  </w:r>
                </w:p>
              </w:tc>
              <w:tc>
                <w:tcPr>
                  <w:tcW w:w="1021" w:type="pct"/>
                  <w:tcBorders>
                    <w:tl2br w:val="nil"/>
                    <w:tr2bl w:val="nil"/>
                  </w:tcBorders>
                  <w:noWrap w:val="0"/>
                  <w:vAlign w:val="center"/>
                </w:tcPr>
                <w:p w14:paraId="198D9683">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乙苯</w:t>
                  </w:r>
                </w:p>
              </w:tc>
              <w:tc>
                <w:tcPr>
                  <w:tcW w:w="1108" w:type="pct"/>
                  <w:tcBorders>
                    <w:tl2br w:val="nil"/>
                    <w:tr2bl w:val="nil"/>
                  </w:tcBorders>
                  <w:noWrap w:val="0"/>
                  <w:vAlign w:val="center"/>
                </w:tcPr>
                <w:p w14:paraId="6FBA7517">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ND</w:t>
                  </w:r>
                </w:p>
              </w:tc>
              <w:tc>
                <w:tcPr>
                  <w:tcW w:w="1108" w:type="pct"/>
                  <w:tcBorders>
                    <w:tl2br w:val="nil"/>
                    <w:tr2bl w:val="nil"/>
                  </w:tcBorders>
                  <w:noWrap w:val="0"/>
                  <w:vAlign w:val="center"/>
                </w:tcPr>
                <w:p w14:paraId="49159456">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r>
                    <w:rPr>
                      <w:rFonts w:hint="default"/>
                      <w:lang w:eastAsia="zh-CN"/>
                    </w:rPr>
                    <w:t>μ</w:t>
                  </w:r>
                  <w:r>
                    <w:rPr>
                      <w:rFonts w:hint="default"/>
                    </w:rPr>
                    <w:t>g/kg</w:t>
                  </w:r>
                </w:p>
              </w:tc>
              <w:tc>
                <w:tcPr>
                  <w:tcW w:w="752" w:type="pct"/>
                  <w:tcBorders>
                    <w:tl2br w:val="nil"/>
                    <w:tr2bl w:val="nil"/>
                  </w:tcBorders>
                  <w:noWrap w:val="0"/>
                  <w:vAlign w:val="center"/>
                </w:tcPr>
                <w:p w14:paraId="4CD676A2">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28</w:t>
                  </w:r>
                </w:p>
              </w:tc>
              <w:tc>
                <w:tcPr>
                  <w:tcW w:w="639" w:type="pct"/>
                  <w:tcBorders>
                    <w:tl2br w:val="nil"/>
                    <w:tr2bl w:val="nil"/>
                  </w:tcBorders>
                  <w:noWrap w:val="0"/>
                  <w:vAlign w:val="center"/>
                </w:tcPr>
                <w:p w14:paraId="2F5FB9B2">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eastAsia="zh-CN"/>
                    </w:rPr>
                  </w:pPr>
                  <w:r>
                    <w:rPr>
                      <w:rFonts w:hint="eastAsia"/>
                      <w:color w:val="auto"/>
                      <w:lang w:val="en-US" w:eastAsia="zh-CN"/>
                    </w:rPr>
                    <w:t>否</w:t>
                  </w:r>
                </w:p>
              </w:tc>
            </w:tr>
            <w:tr w14:paraId="782927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1" w:type="pct"/>
                  <w:tcBorders>
                    <w:tl2br w:val="nil"/>
                    <w:tr2bl w:val="nil"/>
                  </w:tcBorders>
                  <w:noWrap w:val="0"/>
                  <w:vAlign w:val="center"/>
                </w:tcPr>
                <w:p w14:paraId="3FA4EDDF">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29</w:t>
                  </w:r>
                </w:p>
              </w:tc>
              <w:tc>
                <w:tcPr>
                  <w:tcW w:w="1021" w:type="pct"/>
                  <w:tcBorders>
                    <w:tl2br w:val="nil"/>
                    <w:tr2bl w:val="nil"/>
                  </w:tcBorders>
                  <w:noWrap w:val="0"/>
                  <w:vAlign w:val="center"/>
                </w:tcPr>
                <w:p w14:paraId="431F4A31">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1,1,1,2-四氯乙烷</w:t>
                  </w:r>
                </w:p>
              </w:tc>
              <w:tc>
                <w:tcPr>
                  <w:tcW w:w="1108" w:type="pct"/>
                  <w:tcBorders>
                    <w:tl2br w:val="nil"/>
                    <w:tr2bl w:val="nil"/>
                  </w:tcBorders>
                  <w:noWrap w:val="0"/>
                  <w:vAlign w:val="center"/>
                </w:tcPr>
                <w:p w14:paraId="3064B3AD">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ND</w:t>
                  </w:r>
                </w:p>
              </w:tc>
              <w:tc>
                <w:tcPr>
                  <w:tcW w:w="1108" w:type="pct"/>
                  <w:tcBorders>
                    <w:tl2br w:val="nil"/>
                    <w:tr2bl w:val="nil"/>
                  </w:tcBorders>
                  <w:noWrap w:val="0"/>
                  <w:vAlign w:val="center"/>
                </w:tcPr>
                <w:p w14:paraId="21005884">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r>
                    <w:rPr>
                      <w:rFonts w:hint="default"/>
                      <w:lang w:eastAsia="zh-CN"/>
                    </w:rPr>
                    <w:t>μ</w:t>
                  </w:r>
                  <w:r>
                    <w:rPr>
                      <w:rFonts w:hint="default"/>
                    </w:rPr>
                    <w:t>g/kg</w:t>
                  </w:r>
                </w:p>
              </w:tc>
              <w:tc>
                <w:tcPr>
                  <w:tcW w:w="752" w:type="pct"/>
                  <w:tcBorders>
                    <w:tl2br w:val="nil"/>
                    <w:tr2bl w:val="nil"/>
                  </w:tcBorders>
                  <w:noWrap w:val="0"/>
                  <w:vAlign w:val="center"/>
                </w:tcPr>
                <w:p w14:paraId="1F630038">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10</w:t>
                  </w:r>
                </w:p>
              </w:tc>
              <w:tc>
                <w:tcPr>
                  <w:tcW w:w="639" w:type="pct"/>
                  <w:tcBorders>
                    <w:tl2br w:val="nil"/>
                    <w:tr2bl w:val="nil"/>
                  </w:tcBorders>
                  <w:noWrap w:val="0"/>
                  <w:vAlign w:val="center"/>
                </w:tcPr>
                <w:p w14:paraId="2CE2FB17">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eastAsia="zh-CN"/>
                    </w:rPr>
                  </w:pPr>
                  <w:r>
                    <w:rPr>
                      <w:rFonts w:hint="eastAsia"/>
                      <w:color w:val="auto"/>
                      <w:lang w:val="en-US" w:eastAsia="zh-CN"/>
                    </w:rPr>
                    <w:t>否</w:t>
                  </w:r>
                </w:p>
              </w:tc>
            </w:tr>
            <w:tr w14:paraId="11F605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1" w:type="pct"/>
                  <w:tcBorders>
                    <w:tl2br w:val="nil"/>
                    <w:tr2bl w:val="nil"/>
                  </w:tcBorders>
                  <w:noWrap w:val="0"/>
                  <w:vAlign w:val="center"/>
                </w:tcPr>
                <w:p w14:paraId="67559C45">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30</w:t>
                  </w:r>
                </w:p>
              </w:tc>
              <w:tc>
                <w:tcPr>
                  <w:tcW w:w="1021" w:type="pct"/>
                  <w:tcBorders>
                    <w:tl2br w:val="nil"/>
                    <w:tr2bl w:val="nil"/>
                  </w:tcBorders>
                  <w:noWrap w:val="0"/>
                  <w:vAlign w:val="center"/>
                </w:tcPr>
                <w:p w14:paraId="2E4304A4">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（间/对）-二甲苯</w:t>
                  </w:r>
                </w:p>
              </w:tc>
              <w:tc>
                <w:tcPr>
                  <w:tcW w:w="1108" w:type="pct"/>
                  <w:tcBorders>
                    <w:tl2br w:val="nil"/>
                    <w:tr2bl w:val="nil"/>
                  </w:tcBorders>
                  <w:noWrap w:val="0"/>
                  <w:vAlign w:val="center"/>
                </w:tcPr>
                <w:p w14:paraId="1D2BC9C7">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ND</w:t>
                  </w:r>
                </w:p>
              </w:tc>
              <w:tc>
                <w:tcPr>
                  <w:tcW w:w="1108" w:type="pct"/>
                  <w:tcBorders>
                    <w:tl2br w:val="nil"/>
                    <w:tr2bl w:val="nil"/>
                  </w:tcBorders>
                  <w:noWrap w:val="0"/>
                  <w:vAlign w:val="center"/>
                </w:tcPr>
                <w:p w14:paraId="44D70AD5">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r>
                    <w:rPr>
                      <w:rFonts w:hint="default"/>
                      <w:lang w:eastAsia="zh-CN"/>
                    </w:rPr>
                    <w:t>μ</w:t>
                  </w:r>
                  <w:r>
                    <w:rPr>
                      <w:rFonts w:hint="default"/>
                    </w:rPr>
                    <w:t>g/kg</w:t>
                  </w:r>
                </w:p>
              </w:tc>
              <w:tc>
                <w:tcPr>
                  <w:tcW w:w="752" w:type="pct"/>
                  <w:tcBorders>
                    <w:tl2br w:val="nil"/>
                    <w:tr2bl w:val="nil"/>
                  </w:tcBorders>
                  <w:noWrap w:val="0"/>
                  <w:vAlign w:val="center"/>
                </w:tcPr>
                <w:p w14:paraId="19F1394F">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570</w:t>
                  </w:r>
                </w:p>
              </w:tc>
              <w:tc>
                <w:tcPr>
                  <w:tcW w:w="639" w:type="pct"/>
                  <w:tcBorders>
                    <w:tl2br w:val="nil"/>
                    <w:tr2bl w:val="nil"/>
                  </w:tcBorders>
                  <w:noWrap w:val="0"/>
                  <w:vAlign w:val="center"/>
                </w:tcPr>
                <w:p w14:paraId="3A042A7E">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eastAsia="zh-CN"/>
                    </w:rPr>
                  </w:pPr>
                  <w:r>
                    <w:rPr>
                      <w:rFonts w:hint="eastAsia"/>
                      <w:color w:val="auto"/>
                      <w:lang w:val="en-US" w:eastAsia="zh-CN"/>
                    </w:rPr>
                    <w:t>否</w:t>
                  </w:r>
                </w:p>
              </w:tc>
            </w:tr>
            <w:tr w14:paraId="4DED86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1" w:type="pct"/>
                  <w:tcBorders>
                    <w:tl2br w:val="nil"/>
                    <w:tr2bl w:val="nil"/>
                  </w:tcBorders>
                  <w:noWrap w:val="0"/>
                  <w:vAlign w:val="center"/>
                </w:tcPr>
                <w:p w14:paraId="301AF1A8">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31</w:t>
                  </w:r>
                </w:p>
              </w:tc>
              <w:tc>
                <w:tcPr>
                  <w:tcW w:w="1021" w:type="pct"/>
                  <w:tcBorders>
                    <w:tl2br w:val="nil"/>
                    <w:tr2bl w:val="nil"/>
                  </w:tcBorders>
                  <w:noWrap w:val="0"/>
                  <w:vAlign w:val="center"/>
                </w:tcPr>
                <w:p w14:paraId="7296B6CF">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邻-二甲苯</w:t>
                  </w:r>
                </w:p>
              </w:tc>
              <w:tc>
                <w:tcPr>
                  <w:tcW w:w="1108" w:type="pct"/>
                  <w:tcBorders>
                    <w:tl2br w:val="nil"/>
                    <w:tr2bl w:val="nil"/>
                  </w:tcBorders>
                  <w:noWrap w:val="0"/>
                  <w:vAlign w:val="center"/>
                </w:tcPr>
                <w:p w14:paraId="357BCBE4">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ND</w:t>
                  </w:r>
                </w:p>
              </w:tc>
              <w:tc>
                <w:tcPr>
                  <w:tcW w:w="1108" w:type="pct"/>
                  <w:tcBorders>
                    <w:tl2br w:val="nil"/>
                    <w:tr2bl w:val="nil"/>
                  </w:tcBorders>
                  <w:noWrap w:val="0"/>
                  <w:vAlign w:val="center"/>
                </w:tcPr>
                <w:p w14:paraId="7CF94EE5">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r>
                    <w:rPr>
                      <w:rFonts w:hint="default"/>
                      <w:lang w:eastAsia="zh-CN"/>
                    </w:rPr>
                    <w:t>μ</w:t>
                  </w:r>
                  <w:r>
                    <w:rPr>
                      <w:rFonts w:hint="default"/>
                    </w:rPr>
                    <w:t>g/kg</w:t>
                  </w:r>
                </w:p>
              </w:tc>
              <w:tc>
                <w:tcPr>
                  <w:tcW w:w="752" w:type="pct"/>
                  <w:tcBorders>
                    <w:tl2br w:val="nil"/>
                    <w:tr2bl w:val="nil"/>
                  </w:tcBorders>
                  <w:noWrap w:val="0"/>
                  <w:vAlign w:val="center"/>
                </w:tcPr>
                <w:p w14:paraId="432B2513">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640</w:t>
                  </w:r>
                </w:p>
              </w:tc>
              <w:tc>
                <w:tcPr>
                  <w:tcW w:w="639" w:type="pct"/>
                  <w:tcBorders>
                    <w:tl2br w:val="nil"/>
                    <w:tr2bl w:val="nil"/>
                  </w:tcBorders>
                  <w:noWrap w:val="0"/>
                  <w:vAlign w:val="center"/>
                </w:tcPr>
                <w:p w14:paraId="2AE78B46">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eastAsia="zh-CN"/>
                    </w:rPr>
                  </w:pPr>
                  <w:r>
                    <w:rPr>
                      <w:rFonts w:hint="eastAsia"/>
                      <w:color w:val="auto"/>
                      <w:lang w:val="en-US" w:eastAsia="zh-CN"/>
                    </w:rPr>
                    <w:t>否</w:t>
                  </w:r>
                </w:p>
              </w:tc>
            </w:tr>
            <w:tr w14:paraId="06CDD2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1" w:type="pct"/>
                  <w:tcBorders>
                    <w:tl2br w:val="nil"/>
                    <w:tr2bl w:val="nil"/>
                  </w:tcBorders>
                  <w:noWrap w:val="0"/>
                  <w:vAlign w:val="center"/>
                </w:tcPr>
                <w:p w14:paraId="59B67B2F">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32</w:t>
                  </w:r>
                </w:p>
              </w:tc>
              <w:tc>
                <w:tcPr>
                  <w:tcW w:w="1021" w:type="pct"/>
                  <w:tcBorders>
                    <w:tl2br w:val="nil"/>
                    <w:tr2bl w:val="nil"/>
                  </w:tcBorders>
                  <w:noWrap w:val="0"/>
                  <w:vAlign w:val="center"/>
                </w:tcPr>
                <w:p w14:paraId="058BBA70">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eastAsia="zh-CN"/>
                    </w:rPr>
                    <w:t>苯乙烯</w:t>
                  </w:r>
                </w:p>
              </w:tc>
              <w:tc>
                <w:tcPr>
                  <w:tcW w:w="1108" w:type="pct"/>
                  <w:tcBorders>
                    <w:tl2br w:val="nil"/>
                    <w:tr2bl w:val="nil"/>
                  </w:tcBorders>
                  <w:noWrap w:val="0"/>
                  <w:vAlign w:val="center"/>
                </w:tcPr>
                <w:p w14:paraId="70B53F5C">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ND</w:t>
                  </w:r>
                </w:p>
              </w:tc>
              <w:tc>
                <w:tcPr>
                  <w:tcW w:w="1108" w:type="pct"/>
                  <w:tcBorders>
                    <w:tl2br w:val="nil"/>
                    <w:tr2bl w:val="nil"/>
                  </w:tcBorders>
                  <w:noWrap w:val="0"/>
                  <w:vAlign w:val="center"/>
                </w:tcPr>
                <w:p w14:paraId="605E6D7E">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r>
                    <w:rPr>
                      <w:rFonts w:hint="default"/>
                      <w:lang w:eastAsia="zh-CN"/>
                    </w:rPr>
                    <w:t>μ</w:t>
                  </w:r>
                  <w:r>
                    <w:rPr>
                      <w:rFonts w:hint="default"/>
                    </w:rPr>
                    <w:t>g/kg</w:t>
                  </w:r>
                </w:p>
              </w:tc>
              <w:tc>
                <w:tcPr>
                  <w:tcW w:w="752" w:type="pct"/>
                  <w:tcBorders>
                    <w:tl2br w:val="nil"/>
                    <w:tr2bl w:val="nil"/>
                  </w:tcBorders>
                  <w:noWrap w:val="0"/>
                  <w:vAlign w:val="center"/>
                </w:tcPr>
                <w:p w14:paraId="094D4F7D">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1290</w:t>
                  </w:r>
                </w:p>
              </w:tc>
              <w:tc>
                <w:tcPr>
                  <w:tcW w:w="639" w:type="pct"/>
                  <w:tcBorders>
                    <w:tl2br w:val="nil"/>
                    <w:tr2bl w:val="nil"/>
                  </w:tcBorders>
                  <w:noWrap w:val="0"/>
                  <w:vAlign w:val="center"/>
                </w:tcPr>
                <w:p w14:paraId="49EDB4CC">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eastAsia="zh-CN"/>
                    </w:rPr>
                  </w:pPr>
                  <w:r>
                    <w:rPr>
                      <w:rFonts w:hint="eastAsia"/>
                      <w:color w:val="auto"/>
                      <w:lang w:val="en-US" w:eastAsia="zh-CN"/>
                    </w:rPr>
                    <w:t>否</w:t>
                  </w:r>
                </w:p>
              </w:tc>
            </w:tr>
            <w:tr w14:paraId="628ECA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1" w:type="pct"/>
                  <w:tcBorders>
                    <w:tl2br w:val="nil"/>
                    <w:tr2bl w:val="nil"/>
                  </w:tcBorders>
                  <w:noWrap w:val="0"/>
                  <w:vAlign w:val="center"/>
                </w:tcPr>
                <w:p w14:paraId="4F4C2E46">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33</w:t>
                  </w:r>
                </w:p>
              </w:tc>
              <w:tc>
                <w:tcPr>
                  <w:tcW w:w="1021" w:type="pct"/>
                  <w:tcBorders>
                    <w:tl2br w:val="nil"/>
                    <w:tr2bl w:val="nil"/>
                  </w:tcBorders>
                  <w:noWrap w:val="0"/>
                  <w:vAlign w:val="center"/>
                </w:tcPr>
                <w:p w14:paraId="4DEA40E4">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eastAsia="zh-CN"/>
                    </w:rPr>
                    <w:t>1,1,2,2-四氯乙烷</w:t>
                  </w:r>
                </w:p>
              </w:tc>
              <w:tc>
                <w:tcPr>
                  <w:tcW w:w="1108" w:type="pct"/>
                  <w:tcBorders>
                    <w:tl2br w:val="nil"/>
                    <w:tr2bl w:val="nil"/>
                  </w:tcBorders>
                  <w:noWrap w:val="0"/>
                  <w:vAlign w:val="center"/>
                </w:tcPr>
                <w:p w14:paraId="2DD01128">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ND</w:t>
                  </w:r>
                </w:p>
              </w:tc>
              <w:tc>
                <w:tcPr>
                  <w:tcW w:w="1108" w:type="pct"/>
                  <w:tcBorders>
                    <w:tl2br w:val="nil"/>
                    <w:tr2bl w:val="nil"/>
                  </w:tcBorders>
                  <w:noWrap w:val="0"/>
                  <w:vAlign w:val="center"/>
                </w:tcPr>
                <w:p w14:paraId="0E0208B9">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r>
                    <w:rPr>
                      <w:rFonts w:hint="default"/>
                      <w:lang w:eastAsia="zh-CN"/>
                    </w:rPr>
                    <w:t>μ</w:t>
                  </w:r>
                  <w:r>
                    <w:rPr>
                      <w:rFonts w:hint="default"/>
                    </w:rPr>
                    <w:t>g/kg</w:t>
                  </w:r>
                </w:p>
              </w:tc>
              <w:tc>
                <w:tcPr>
                  <w:tcW w:w="752" w:type="pct"/>
                  <w:tcBorders>
                    <w:tl2br w:val="nil"/>
                    <w:tr2bl w:val="nil"/>
                  </w:tcBorders>
                  <w:noWrap w:val="0"/>
                  <w:vAlign w:val="center"/>
                </w:tcPr>
                <w:p w14:paraId="7CE6174F">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6.8</w:t>
                  </w:r>
                </w:p>
              </w:tc>
              <w:tc>
                <w:tcPr>
                  <w:tcW w:w="639" w:type="pct"/>
                  <w:tcBorders>
                    <w:tl2br w:val="nil"/>
                    <w:tr2bl w:val="nil"/>
                  </w:tcBorders>
                  <w:noWrap w:val="0"/>
                  <w:vAlign w:val="center"/>
                </w:tcPr>
                <w:p w14:paraId="783B37EF">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eastAsia="zh-CN"/>
                    </w:rPr>
                  </w:pPr>
                  <w:r>
                    <w:rPr>
                      <w:rFonts w:hint="eastAsia"/>
                      <w:color w:val="auto"/>
                      <w:lang w:val="en-US" w:eastAsia="zh-CN"/>
                    </w:rPr>
                    <w:t>否</w:t>
                  </w:r>
                </w:p>
              </w:tc>
            </w:tr>
            <w:tr w14:paraId="488095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1" w:type="pct"/>
                  <w:tcBorders>
                    <w:tl2br w:val="nil"/>
                    <w:tr2bl w:val="nil"/>
                  </w:tcBorders>
                  <w:noWrap w:val="0"/>
                  <w:vAlign w:val="center"/>
                </w:tcPr>
                <w:p w14:paraId="295D2F81">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34</w:t>
                  </w:r>
                </w:p>
              </w:tc>
              <w:tc>
                <w:tcPr>
                  <w:tcW w:w="1021" w:type="pct"/>
                  <w:tcBorders>
                    <w:tl2br w:val="nil"/>
                    <w:tr2bl w:val="nil"/>
                  </w:tcBorders>
                  <w:noWrap w:val="0"/>
                  <w:vAlign w:val="center"/>
                </w:tcPr>
                <w:p w14:paraId="45E4192D">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eastAsia="zh-CN"/>
                    </w:rPr>
                    <w:t>1,2,3-三氯丙烷</w:t>
                  </w:r>
                </w:p>
              </w:tc>
              <w:tc>
                <w:tcPr>
                  <w:tcW w:w="1108" w:type="pct"/>
                  <w:tcBorders>
                    <w:tl2br w:val="nil"/>
                    <w:tr2bl w:val="nil"/>
                  </w:tcBorders>
                  <w:noWrap w:val="0"/>
                  <w:vAlign w:val="center"/>
                </w:tcPr>
                <w:p w14:paraId="4AA14B98">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ND</w:t>
                  </w:r>
                </w:p>
              </w:tc>
              <w:tc>
                <w:tcPr>
                  <w:tcW w:w="1108" w:type="pct"/>
                  <w:tcBorders>
                    <w:tl2br w:val="nil"/>
                    <w:tr2bl w:val="nil"/>
                  </w:tcBorders>
                  <w:noWrap w:val="0"/>
                  <w:vAlign w:val="center"/>
                </w:tcPr>
                <w:p w14:paraId="015E2487">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r>
                    <w:rPr>
                      <w:rFonts w:hint="default"/>
                      <w:lang w:eastAsia="zh-CN"/>
                    </w:rPr>
                    <w:t>μ</w:t>
                  </w:r>
                  <w:r>
                    <w:rPr>
                      <w:rFonts w:hint="default"/>
                    </w:rPr>
                    <w:t>g/kg</w:t>
                  </w:r>
                </w:p>
              </w:tc>
              <w:tc>
                <w:tcPr>
                  <w:tcW w:w="752" w:type="pct"/>
                  <w:tcBorders>
                    <w:tl2br w:val="nil"/>
                    <w:tr2bl w:val="nil"/>
                  </w:tcBorders>
                  <w:noWrap w:val="0"/>
                  <w:vAlign w:val="center"/>
                </w:tcPr>
                <w:p w14:paraId="72578551">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0.5</w:t>
                  </w:r>
                </w:p>
              </w:tc>
              <w:tc>
                <w:tcPr>
                  <w:tcW w:w="639" w:type="pct"/>
                  <w:tcBorders>
                    <w:tl2br w:val="nil"/>
                    <w:tr2bl w:val="nil"/>
                  </w:tcBorders>
                  <w:noWrap w:val="0"/>
                  <w:vAlign w:val="center"/>
                </w:tcPr>
                <w:p w14:paraId="5C72566B">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eastAsia="zh-CN"/>
                    </w:rPr>
                  </w:pPr>
                  <w:r>
                    <w:rPr>
                      <w:rFonts w:hint="eastAsia"/>
                      <w:color w:val="auto"/>
                      <w:lang w:val="en-US" w:eastAsia="zh-CN"/>
                    </w:rPr>
                    <w:t>否</w:t>
                  </w:r>
                </w:p>
              </w:tc>
            </w:tr>
            <w:tr w14:paraId="254CE3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1" w:type="pct"/>
                  <w:tcBorders>
                    <w:tl2br w:val="nil"/>
                    <w:tr2bl w:val="nil"/>
                  </w:tcBorders>
                  <w:noWrap w:val="0"/>
                  <w:vAlign w:val="center"/>
                </w:tcPr>
                <w:p w14:paraId="1BA0B70F">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35</w:t>
                  </w:r>
                </w:p>
              </w:tc>
              <w:tc>
                <w:tcPr>
                  <w:tcW w:w="1021" w:type="pct"/>
                  <w:tcBorders>
                    <w:tl2br w:val="nil"/>
                    <w:tr2bl w:val="nil"/>
                  </w:tcBorders>
                  <w:noWrap w:val="0"/>
                  <w:vAlign w:val="center"/>
                </w:tcPr>
                <w:p w14:paraId="79A79586">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eastAsia="zh-CN"/>
                    </w:rPr>
                    <w:t>1,4-二氯苯</w:t>
                  </w:r>
                </w:p>
              </w:tc>
              <w:tc>
                <w:tcPr>
                  <w:tcW w:w="1108" w:type="pct"/>
                  <w:tcBorders>
                    <w:tl2br w:val="nil"/>
                    <w:tr2bl w:val="nil"/>
                  </w:tcBorders>
                  <w:noWrap w:val="0"/>
                  <w:vAlign w:val="center"/>
                </w:tcPr>
                <w:p w14:paraId="5434B7CD">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ND</w:t>
                  </w:r>
                </w:p>
              </w:tc>
              <w:tc>
                <w:tcPr>
                  <w:tcW w:w="1108" w:type="pct"/>
                  <w:tcBorders>
                    <w:tl2br w:val="nil"/>
                    <w:tr2bl w:val="nil"/>
                  </w:tcBorders>
                  <w:noWrap w:val="0"/>
                  <w:vAlign w:val="center"/>
                </w:tcPr>
                <w:p w14:paraId="249EBDDB">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r>
                    <w:rPr>
                      <w:rFonts w:hint="default"/>
                      <w:lang w:eastAsia="zh-CN"/>
                    </w:rPr>
                    <w:t>μ</w:t>
                  </w:r>
                  <w:r>
                    <w:rPr>
                      <w:rFonts w:hint="default"/>
                    </w:rPr>
                    <w:t>g/kg</w:t>
                  </w:r>
                </w:p>
              </w:tc>
              <w:tc>
                <w:tcPr>
                  <w:tcW w:w="752" w:type="pct"/>
                  <w:tcBorders>
                    <w:tl2br w:val="nil"/>
                    <w:tr2bl w:val="nil"/>
                  </w:tcBorders>
                  <w:noWrap w:val="0"/>
                  <w:vAlign w:val="center"/>
                </w:tcPr>
                <w:p w14:paraId="091832AB">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20</w:t>
                  </w:r>
                </w:p>
              </w:tc>
              <w:tc>
                <w:tcPr>
                  <w:tcW w:w="639" w:type="pct"/>
                  <w:tcBorders>
                    <w:tl2br w:val="nil"/>
                    <w:tr2bl w:val="nil"/>
                  </w:tcBorders>
                  <w:noWrap w:val="0"/>
                  <w:vAlign w:val="center"/>
                </w:tcPr>
                <w:p w14:paraId="53A87B06">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eastAsia="zh-CN"/>
                    </w:rPr>
                  </w:pPr>
                  <w:r>
                    <w:rPr>
                      <w:rFonts w:hint="eastAsia"/>
                      <w:color w:val="auto"/>
                      <w:lang w:val="en-US" w:eastAsia="zh-CN"/>
                    </w:rPr>
                    <w:t>否</w:t>
                  </w:r>
                </w:p>
              </w:tc>
            </w:tr>
            <w:tr w14:paraId="532D3B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1" w:type="pct"/>
                  <w:tcBorders>
                    <w:tl2br w:val="nil"/>
                    <w:tr2bl w:val="nil"/>
                  </w:tcBorders>
                  <w:noWrap w:val="0"/>
                  <w:vAlign w:val="center"/>
                </w:tcPr>
                <w:p w14:paraId="277DFCD3">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36</w:t>
                  </w:r>
                </w:p>
              </w:tc>
              <w:tc>
                <w:tcPr>
                  <w:tcW w:w="1021" w:type="pct"/>
                  <w:tcBorders>
                    <w:tl2br w:val="nil"/>
                    <w:tr2bl w:val="nil"/>
                  </w:tcBorders>
                  <w:noWrap w:val="0"/>
                  <w:vAlign w:val="center"/>
                </w:tcPr>
                <w:p w14:paraId="202D917C">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eastAsia="zh-CN"/>
                    </w:rPr>
                    <w:t>1,2-二氯苯</w:t>
                  </w:r>
                </w:p>
              </w:tc>
              <w:tc>
                <w:tcPr>
                  <w:tcW w:w="1108" w:type="pct"/>
                  <w:tcBorders>
                    <w:tl2br w:val="nil"/>
                    <w:tr2bl w:val="nil"/>
                  </w:tcBorders>
                  <w:noWrap w:val="0"/>
                  <w:vAlign w:val="center"/>
                </w:tcPr>
                <w:p w14:paraId="501E8BF1">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ND</w:t>
                  </w:r>
                </w:p>
              </w:tc>
              <w:tc>
                <w:tcPr>
                  <w:tcW w:w="1108" w:type="pct"/>
                  <w:tcBorders>
                    <w:tl2br w:val="nil"/>
                    <w:tr2bl w:val="nil"/>
                  </w:tcBorders>
                  <w:noWrap w:val="0"/>
                  <w:vAlign w:val="center"/>
                </w:tcPr>
                <w:p w14:paraId="006DF55D">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r>
                    <w:rPr>
                      <w:rFonts w:hint="default"/>
                      <w:lang w:eastAsia="zh-CN"/>
                    </w:rPr>
                    <w:t>μ</w:t>
                  </w:r>
                  <w:r>
                    <w:rPr>
                      <w:rFonts w:hint="default"/>
                    </w:rPr>
                    <w:t>g/kg</w:t>
                  </w:r>
                </w:p>
              </w:tc>
              <w:tc>
                <w:tcPr>
                  <w:tcW w:w="752" w:type="pct"/>
                  <w:tcBorders>
                    <w:tl2br w:val="nil"/>
                    <w:tr2bl w:val="nil"/>
                  </w:tcBorders>
                  <w:noWrap w:val="0"/>
                  <w:vAlign w:val="center"/>
                </w:tcPr>
                <w:p w14:paraId="2D03B94E">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560</w:t>
                  </w:r>
                </w:p>
              </w:tc>
              <w:tc>
                <w:tcPr>
                  <w:tcW w:w="639" w:type="pct"/>
                  <w:tcBorders>
                    <w:tl2br w:val="nil"/>
                    <w:tr2bl w:val="nil"/>
                  </w:tcBorders>
                  <w:noWrap w:val="0"/>
                  <w:vAlign w:val="center"/>
                </w:tcPr>
                <w:p w14:paraId="394ABE1C">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eastAsia="zh-CN"/>
                    </w:rPr>
                  </w:pPr>
                  <w:r>
                    <w:rPr>
                      <w:rFonts w:hint="eastAsia"/>
                      <w:color w:val="auto"/>
                      <w:lang w:val="en-US" w:eastAsia="zh-CN"/>
                    </w:rPr>
                    <w:t>否</w:t>
                  </w:r>
                </w:p>
              </w:tc>
            </w:tr>
            <w:tr w14:paraId="140E16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1" w:type="pct"/>
                  <w:tcBorders>
                    <w:tl2br w:val="nil"/>
                    <w:tr2bl w:val="nil"/>
                  </w:tcBorders>
                  <w:noWrap w:val="0"/>
                  <w:vAlign w:val="center"/>
                </w:tcPr>
                <w:p w14:paraId="58A1CF99">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37</w:t>
                  </w:r>
                </w:p>
              </w:tc>
              <w:tc>
                <w:tcPr>
                  <w:tcW w:w="1021" w:type="pct"/>
                  <w:tcBorders>
                    <w:tl2br w:val="nil"/>
                    <w:tr2bl w:val="nil"/>
                  </w:tcBorders>
                  <w:noWrap w:val="0"/>
                  <w:vAlign w:val="center"/>
                </w:tcPr>
                <w:p w14:paraId="1DB76033">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eastAsia="zh-CN"/>
                    </w:rPr>
                    <w:t>苯胺</w:t>
                  </w:r>
                </w:p>
              </w:tc>
              <w:tc>
                <w:tcPr>
                  <w:tcW w:w="1108" w:type="pct"/>
                  <w:tcBorders>
                    <w:tl2br w:val="nil"/>
                    <w:tr2bl w:val="nil"/>
                  </w:tcBorders>
                  <w:noWrap w:val="0"/>
                  <w:vAlign w:val="center"/>
                </w:tcPr>
                <w:p w14:paraId="37B66A0F">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ND</w:t>
                  </w:r>
                </w:p>
              </w:tc>
              <w:tc>
                <w:tcPr>
                  <w:tcW w:w="1108" w:type="pct"/>
                  <w:tcBorders>
                    <w:tl2br w:val="nil"/>
                    <w:tr2bl w:val="nil"/>
                  </w:tcBorders>
                  <w:noWrap w:val="0"/>
                  <w:vAlign w:val="center"/>
                </w:tcPr>
                <w:p w14:paraId="1CEB8AF1">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r>
                    <w:rPr>
                      <w:rFonts w:hint="default"/>
                    </w:rPr>
                    <w:t>mg/kg</w:t>
                  </w:r>
                </w:p>
              </w:tc>
              <w:tc>
                <w:tcPr>
                  <w:tcW w:w="752" w:type="pct"/>
                  <w:tcBorders>
                    <w:tl2br w:val="nil"/>
                    <w:tr2bl w:val="nil"/>
                  </w:tcBorders>
                  <w:noWrap w:val="0"/>
                  <w:vAlign w:val="center"/>
                </w:tcPr>
                <w:p w14:paraId="00A03E30">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260</w:t>
                  </w:r>
                </w:p>
              </w:tc>
              <w:tc>
                <w:tcPr>
                  <w:tcW w:w="639" w:type="pct"/>
                  <w:tcBorders>
                    <w:tl2br w:val="nil"/>
                    <w:tr2bl w:val="nil"/>
                  </w:tcBorders>
                  <w:noWrap w:val="0"/>
                  <w:vAlign w:val="center"/>
                </w:tcPr>
                <w:p w14:paraId="765A1BCA">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eastAsia="zh-CN"/>
                    </w:rPr>
                  </w:pPr>
                  <w:r>
                    <w:rPr>
                      <w:rFonts w:hint="eastAsia"/>
                      <w:color w:val="auto"/>
                      <w:lang w:val="en-US" w:eastAsia="zh-CN"/>
                    </w:rPr>
                    <w:t>否</w:t>
                  </w:r>
                </w:p>
              </w:tc>
            </w:tr>
            <w:tr w14:paraId="1410D3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1" w:type="pct"/>
                  <w:tcBorders>
                    <w:tl2br w:val="nil"/>
                    <w:tr2bl w:val="nil"/>
                  </w:tcBorders>
                  <w:noWrap w:val="0"/>
                  <w:vAlign w:val="center"/>
                </w:tcPr>
                <w:p w14:paraId="4F8CBD54">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38</w:t>
                  </w:r>
                </w:p>
              </w:tc>
              <w:tc>
                <w:tcPr>
                  <w:tcW w:w="1021" w:type="pct"/>
                  <w:tcBorders>
                    <w:tl2br w:val="nil"/>
                    <w:tr2bl w:val="nil"/>
                  </w:tcBorders>
                  <w:noWrap w:val="0"/>
                  <w:vAlign w:val="center"/>
                </w:tcPr>
                <w:p w14:paraId="17E0EBA6">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eastAsia="zh-CN"/>
                    </w:rPr>
                    <w:t>2</w:t>
                  </w:r>
                  <w:r>
                    <w:rPr>
                      <w:rFonts w:hint="eastAsia"/>
                      <w:color w:val="auto"/>
                      <w:lang w:eastAsia="zh-CN"/>
                    </w:rPr>
                    <w:t>-氯酚</w:t>
                  </w:r>
                </w:p>
              </w:tc>
              <w:tc>
                <w:tcPr>
                  <w:tcW w:w="1108" w:type="pct"/>
                  <w:tcBorders>
                    <w:tl2br w:val="nil"/>
                    <w:tr2bl w:val="nil"/>
                  </w:tcBorders>
                  <w:noWrap w:val="0"/>
                  <w:vAlign w:val="center"/>
                </w:tcPr>
                <w:p w14:paraId="47BBB79D">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ND</w:t>
                  </w:r>
                </w:p>
              </w:tc>
              <w:tc>
                <w:tcPr>
                  <w:tcW w:w="1108" w:type="pct"/>
                  <w:tcBorders>
                    <w:tl2br w:val="nil"/>
                    <w:tr2bl w:val="nil"/>
                  </w:tcBorders>
                  <w:noWrap w:val="0"/>
                  <w:vAlign w:val="center"/>
                </w:tcPr>
                <w:p w14:paraId="29601A59">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r>
                    <w:rPr>
                      <w:rFonts w:hint="default"/>
                    </w:rPr>
                    <w:t>mg/kg</w:t>
                  </w:r>
                </w:p>
              </w:tc>
              <w:tc>
                <w:tcPr>
                  <w:tcW w:w="752" w:type="pct"/>
                  <w:tcBorders>
                    <w:tl2br w:val="nil"/>
                    <w:tr2bl w:val="nil"/>
                  </w:tcBorders>
                  <w:noWrap w:val="0"/>
                  <w:vAlign w:val="center"/>
                </w:tcPr>
                <w:p w14:paraId="415506EB">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2256</w:t>
                  </w:r>
                </w:p>
              </w:tc>
              <w:tc>
                <w:tcPr>
                  <w:tcW w:w="639" w:type="pct"/>
                  <w:tcBorders>
                    <w:tl2br w:val="nil"/>
                    <w:tr2bl w:val="nil"/>
                  </w:tcBorders>
                  <w:noWrap w:val="0"/>
                  <w:vAlign w:val="center"/>
                </w:tcPr>
                <w:p w14:paraId="63FD0C77">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eastAsia="zh-CN"/>
                    </w:rPr>
                  </w:pPr>
                  <w:r>
                    <w:rPr>
                      <w:rFonts w:hint="eastAsia"/>
                      <w:color w:val="auto"/>
                      <w:lang w:val="en-US" w:eastAsia="zh-CN"/>
                    </w:rPr>
                    <w:t>否</w:t>
                  </w:r>
                </w:p>
              </w:tc>
            </w:tr>
            <w:tr w14:paraId="7C5076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1" w:type="pct"/>
                  <w:tcBorders>
                    <w:tl2br w:val="nil"/>
                    <w:tr2bl w:val="nil"/>
                  </w:tcBorders>
                  <w:noWrap w:val="0"/>
                  <w:vAlign w:val="center"/>
                </w:tcPr>
                <w:p w14:paraId="0039136E">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39</w:t>
                  </w:r>
                </w:p>
              </w:tc>
              <w:tc>
                <w:tcPr>
                  <w:tcW w:w="1021" w:type="pct"/>
                  <w:tcBorders>
                    <w:tl2br w:val="nil"/>
                    <w:tr2bl w:val="nil"/>
                  </w:tcBorders>
                  <w:noWrap w:val="0"/>
                  <w:vAlign w:val="center"/>
                </w:tcPr>
                <w:p w14:paraId="62D6DCF0">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eastAsia="zh-CN"/>
                    </w:rPr>
                    <w:t>萘</w:t>
                  </w:r>
                </w:p>
              </w:tc>
              <w:tc>
                <w:tcPr>
                  <w:tcW w:w="1108" w:type="pct"/>
                  <w:tcBorders>
                    <w:tl2br w:val="nil"/>
                    <w:tr2bl w:val="nil"/>
                  </w:tcBorders>
                  <w:noWrap w:val="0"/>
                  <w:vAlign w:val="center"/>
                </w:tcPr>
                <w:p w14:paraId="671ED9B5">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ND</w:t>
                  </w:r>
                </w:p>
              </w:tc>
              <w:tc>
                <w:tcPr>
                  <w:tcW w:w="1108" w:type="pct"/>
                  <w:tcBorders>
                    <w:tl2br w:val="nil"/>
                    <w:tr2bl w:val="nil"/>
                  </w:tcBorders>
                  <w:noWrap w:val="0"/>
                  <w:vAlign w:val="center"/>
                </w:tcPr>
                <w:p w14:paraId="58EA920A">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r>
                    <w:rPr>
                      <w:rFonts w:hint="default"/>
                    </w:rPr>
                    <w:t>mg/kg</w:t>
                  </w:r>
                </w:p>
              </w:tc>
              <w:tc>
                <w:tcPr>
                  <w:tcW w:w="752" w:type="pct"/>
                  <w:tcBorders>
                    <w:tl2br w:val="nil"/>
                    <w:tr2bl w:val="nil"/>
                  </w:tcBorders>
                  <w:noWrap w:val="0"/>
                  <w:vAlign w:val="center"/>
                </w:tcPr>
                <w:p w14:paraId="47F01D4A">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70</w:t>
                  </w:r>
                </w:p>
              </w:tc>
              <w:tc>
                <w:tcPr>
                  <w:tcW w:w="639" w:type="pct"/>
                  <w:tcBorders>
                    <w:tl2br w:val="nil"/>
                    <w:tr2bl w:val="nil"/>
                  </w:tcBorders>
                  <w:noWrap w:val="0"/>
                  <w:vAlign w:val="center"/>
                </w:tcPr>
                <w:p w14:paraId="4EDCB7FE">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eastAsia="zh-CN"/>
                    </w:rPr>
                  </w:pPr>
                  <w:r>
                    <w:rPr>
                      <w:rFonts w:hint="eastAsia"/>
                      <w:color w:val="auto"/>
                      <w:lang w:val="en-US" w:eastAsia="zh-CN"/>
                    </w:rPr>
                    <w:t>否</w:t>
                  </w:r>
                </w:p>
              </w:tc>
            </w:tr>
            <w:tr w14:paraId="589A0D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1" w:type="pct"/>
                  <w:tcBorders>
                    <w:tl2br w:val="nil"/>
                    <w:tr2bl w:val="nil"/>
                  </w:tcBorders>
                  <w:noWrap w:val="0"/>
                  <w:vAlign w:val="center"/>
                </w:tcPr>
                <w:p w14:paraId="1343E07D">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40</w:t>
                  </w:r>
                </w:p>
              </w:tc>
              <w:tc>
                <w:tcPr>
                  <w:tcW w:w="1021" w:type="pct"/>
                  <w:tcBorders>
                    <w:tl2br w:val="nil"/>
                    <w:tr2bl w:val="nil"/>
                  </w:tcBorders>
                  <w:noWrap w:val="0"/>
                  <w:vAlign w:val="center"/>
                </w:tcPr>
                <w:p w14:paraId="3AD929B6">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eastAsia="zh-CN"/>
                    </w:rPr>
                    <w:t>苯并</w:t>
                  </w:r>
                  <w:r>
                    <w:rPr>
                      <w:rFonts w:hint="eastAsia"/>
                      <w:color w:val="auto"/>
                      <w:lang w:eastAsia="zh-CN"/>
                    </w:rPr>
                    <w:t>（</w:t>
                  </w:r>
                  <w:r>
                    <w:rPr>
                      <w:rFonts w:hint="default"/>
                      <w:color w:val="auto"/>
                      <w:lang w:eastAsia="zh-CN"/>
                    </w:rPr>
                    <w:t>a</w:t>
                  </w:r>
                  <w:r>
                    <w:rPr>
                      <w:rFonts w:hint="eastAsia"/>
                      <w:color w:val="auto"/>
                      <w:lang w:eastAsia="zh-CN"/>
                    </w:rPr>
                    <w:t>）</w:t>
                  </w:r>
                  <w:r>
                    <w:rPr>
                      <w:rFonts w:hint="default"/>
                      <w:color w:val="auto"/>
                      <w:lang w:eastAsia="zh-CN"/>
                    </w:rPr>
                    <w:t>蒽</w:t>
                  </w:r>
                </w:p>
              </w:tc>
              <w:tc>
                <w:tcPr>
                  <w:tcW w:w="1108" w:type="pct"/>
                  <w:tcBorders>
                    <w:tl2br w:val="nil"/>
                    <w:tr2bl w:val="nil"/>
                  </w:tcBorders>
                  <w:noWrap w:val="0"/>
                  <w:vAlign w:val="center"/>
                </w:tcPr>
                <w:p w14:paraId="740E2581">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ND</w:t>
                  </w:r>
                </w:p>
              </w:tc>
              <w:tc>
                <w:tcPr>
                  <w:tcW w:w="1108" w:type="pct"/>
                  <w:tcBorders>
                    <w:tl2br w:val="nil"/>
                    <w:tr2bl w:val="nil"/>
                  </w:tcBorders>
                  <w:noWrap w:val="0"/>
                  <w:vAlign w:val="center"/>
                </w:tcPr>
                <w:p w14:paraId="49A8B582">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r>
                    <w:rPr>
                      <w:rFonts w:hint="default"/>
                    </w:rPr>
                    <w:t>mg/kg</w:t>
                  </w:r>
                </w:p>
              </w:tc>
              <w:tc>
                <w:tcPr>
                  <w:tcW w:w="752" w:type="pct"/>
                  <w:tcBorders>
                    <w:tl2br w:val="nil"/>
                    <w:tr2bl w:val="nil"/>
                  </w:tcBorders>
                  <w:noWrap w:val="0"/>
                  <w:vAlign w:val="center"/>
                </w:tcPr>
                <w:p w14:paraId="3E4AF487">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15</w:t>
                  </w:r>
                </w:p>
              </w:tc>
              <w:tc>
                <w:tcPr>
                  <w:tcW w:w="639" w:type="pct"/>
                  <w:tcBorders>
                    <w:tl2br w:val="nil"/>
                    <w:tr2bl w:val="nil"/>
                  </w:tcBorders>
                  <w:noWrap w:val="0"/>
                  <w:vAlign w:val="center"/>
                </w:tcPr>
                <w:p w14:paraId="1781ED51">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eastAsia="zh-CN"/>
                    </w:rPr>
                  </w:pPr>
                  <w:r>
                    <w:rPr>
                      <w:rFonts w:hint="eastAsia"/>
                      <w:color w:val="auto"/>
                      <w:lang w:val="en-US" w:eastAsia="zh-CN"/>
                    </w:rPr>
                    <w:t>否</w:t>
                  </w:r>
                </w:p>
              </w:tc>
            </w:tr>
            <w:tr w14:paraId="417AB1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1" w:type="pct"/>
                  <w:tcBorders>
                    <w:tl2br w:val="nil"/>
                    <w:tr2bl w:val="nil"/>
                  </w:tcBorders>
                  <w:noWrap w:val="0"/>
                  <w:vAlign w:val="center"/>
                </w:tcPr>
                <w:p w14:paraId="27D8C6D7">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41</w:t>
                  </w:r>
                </w:p>
              </w:tc>
              <w:tc>
                <w:tcPr>
                  <w:tcW w:w="1021" w:type="pct"/>
                  <w:tcBorders>
                    <w:tl2br w:val="nil"/>
                    <w:tr2bl w:val="nil"/>
                  </w:tcBorders>
                  <w:noWrap w:val="0"/>
                  <w:vAlign w:val="center"/>
                </w:tcPr>
                <w:p w14:paraId="63C1FB16">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eastAsia="zh-CN"/>
                    </w:rPr>
                    <w:t>䓛</w:t>
                  </w:r>
                </w:p>
              </w:tc>
              <w:tc>
                <w:tcPr>
                  <w:tcW w:w="1108" w:type="pct"/>
                  <w:tcBorders>
                    <w:tl2br w:val="nil"/>
                    <w:tr2bl w:val="nil"/>
                  </w:tcBorders>
                  <w:noWrap w:val="0"/>
                  <w:vAlign w:val="center"/>
                </w:tcPr>
                <w:p w14:paraId="43C6471B">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ND</w:t>
                  </w:r>
                </w:p>
              </w:tc>
              <w:tc>
                <w:tcPr>
                  <w:tcW w:w="1108" w:type="pct"/>
                  <w:tcBorders>
                    <w:tl2br w:val="nil"/>
                    <w:tr2bl w:val="nil"/>
                  </w:tcBorders>
                  <w:noWrap w:val="0"/>
                  <w:vAlign w:val="center"/>
                </w:tcPr>
                <w:p w14:paraId="7B5D57DF">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r>
                    <w:rPr>
                      <w:rFonts w:hint="default"/>
                    </w:rPr>
                    <w:t>mg/kg</w:t>
                  </w:r>
                </w:p>
              </w:tc>
              <w:tc>
                <w:tcPr>
                  <w:tcW w:w="752" w:type="pct"/>
                  <w:tcBorders>
                    <w:tl2br w:val="nil"/>
                    <w:tr2bl w:val="nil"/>
                  </w:tcBorders>
                  <w:noWrap w:val="0"/>
                  <w:vAlign w:val="center"/>
                </w:tcPr>
                <w:p w14:paraId="7E736FDF">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1293</w:t>
                  </w:r>
                </w:p>
              </w:tc>
              <w:tc>
                <w:tcPr>
                  <w:tcW w:w="639" w:type="pct"/>
                  <w:tcBorders>
                    <w:tl2br w:val="nil"/>
                    <w:tr2bl w:val="nil"/>
                  </w:tcBorders>
                  <w:noWrap w:val="0"/>
                  <w:vAlign w:val="center"/>
                </w:tcPr>
                <w:p w14:paraId="52FA7A6C">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eastAsia="zh-CN"/>
                    </w:rPr>
                  </w:pPr>
                  <w:r>
                    <w:rPr>
                      <w:rFonts w:hint="eastAsia"/>
                      <w:color w:val="auto"/>
                      <w:lang w:val="en-US" w:eastAsia="zh-CN"/>
                    </w:rPr>
                    <w:t>否</w:t>
                  </w:r>
                </w:p>
              </w:tc>
            </w:tr>
            <w:tr w14:paraId="34891A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1" w:type="pct"/>
                  <w:tcBorders>
                    <w:tl2br w:val="nil"/>
                    <w:tr2bl w:val="nil"/>
                  </w:tcBorders>
                  <w:noWrap w:val="0"/>
                  <w:vAlign w:val="center"/>
                </w:tcPr>
                <w:p w14:paraId="6AB541CF">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42</w:t>
                  </w:r>
                </w:p>
              </w:tc>
              <w:tc>
                <w:tcPr>
                  <w:tcW w:w="1021" w:type="pct"/>
                  <w:tcBorders>
                    <w:tl2br w:val="nil"/>
                    <w:tr2bl w:val="nil"/>
                  </w:tcBorders>
                  <w:noWrap w:val="0"/>
                  <w:vAlign w:val="center"/>
                </w:tcPr>
                <w:p w14:paraId="39947823">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eastAsia="zh-CN"/>
                    </w:rPr>
                    <w:t>苯并</w:t>
                  </w:r>
                  <w:r>
                    <w:rPr>
                      <w:rFonts w:hint="eastAsia"/>
                      <w:color w:val="auto"/>
                      <w:lang w:eastAsia="zh-CN"/>
                    </w:rPr>
                    <w:t>（</w:t>
                  </w:r>
                  <w:r>
                    <w:rPr>
                      <w:rFonts w:hint="default"/>
                      <w:color w:val="auto"/>
                      <w:lang w:eastAsia="zh-CN"/>
                    </w:rPr>
                    <w:t>b</w:t>
                  </w:r>
                  <w:r>
                    <w:rPr>
                      <w:rFonts w:hint="eastAsia"/>
                      <w:color w:val="auto"/>
                      <w:lang w:eastAsia="zh-CN"/>
                    </w:rPr>
                    <w:t>）</w:t>
                  </w:r>
                  <w:r>
                    <w:rPr>
                      <w:rFonts w:hint="default"/>
                      <w:color w:val="auto"/>
                      <w:lang w:eastAsia="zh-CN"/>
                    </w:rPr>
                    <w:t>荧蒽</w:t>
                  </w:r>
                </w:p>
              </w:tc>
              <w:tc>
                <w:tcPr>
                  <w:tcW w:w="1108" w:type="pct"/>
                  <w:tcBorders>
                    <w:tl2br w:val="nil"/>
                    <w:tr2bl w:val="nil"/>
                  </w:tcBorders>
                  <w:noWrap w:val="0"/>
                  <w:vAlign w:val="center"/>
                </w:tcPr>
                <w:p w14:paraId="49322000">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ND</w:t>
                  </w:r>
                </w:p>
              </w:tc>
              <w:tc>
                <w:tcPr>
                  <w:tcW w:w="1108" w:type="pct"/>
                  <w:tcBorders>
                    <w:tl2br w:val="nil"/>
                    <w:tr2bl w:val="nil"/>
                  </w:tcBorders>
                  <w:noWrap w:val="0"/>
                  <w:vAlign w:val="center"/>
                </w:tcPr>
                <w:p w14:paraId="0BCADEF6">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r>
                    <w:rPr>
                      <w:rFonts w:hint="default"/>
                    </w:rPr>
                    <w:t>mg/kg</w:t>
                  </w:r>
                </w:p>
              </w:tc>
              <w:tc>
                <w:tcPr>
                  <w:tcW w:w="752" w:type="pct"/>
                  <w:tcBorders>
                    <w:tl2br w:val="nil"/>
                    <w:tr2bl w:val="nil"/>
                  </w:tcBorders>
                  <w:noWrap w:val="0"/>
                  <w:vAlign w:val="center"/>
                </w:tcPr>
                <w:p w14:paraId="77F4323D">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15</w:t>
                  </w:r>
                </w:p>
              </w:tc>
              <w:tc>
                <w:tcPr>
                  <w:tcW w:w="639" w:type="pct"/>
                  <w:tcBorders>
                    <w:tl2br w:val="nil"/>
                    <w:tr2bl w:val="nil"/>
                  </w:tcBorders>
                  <w:noWrap w:val="0"/>
                  <w:vAlign w:val="center"/>
                </w:tcPr>
                <w:p w14:paraId="33489369">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eastAsia="zh-CN"/>
                    </w:rPr>
                  </w:pPr>
                  <w:r>
                    <w:rPr>
                      <w:rFonts w:hint="eastAsia"/>
                      <w:color w:val="auto"/>
                      <w:lang w:val="en-US" w:eastAsia="zh-CN"/>
                    </w:rPr>
                    <w:t>否</w:t>
                  </w:r>
                </w:p>
              </w:tc>
            </w:tr>
            <w:tr w14:paraId="5CF10D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1" w:type="pct"/>
                  <w:tcBorders>
                    <w:tl2br w:val="nil"/>
                    <w:tr2bl w:val="nil"/>
                  </w:tcBorders>
                  <w:noWrap w:val="0"/>
                  <w:vAlign w:val="center"/>
                </w:tcPr>
                <w:p w14:paraId="4792A00B">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43</w:t>
                  </w:r>
                </w:p>
              </w:tc>
              <w:tc>
                <w:tcPr>
                  <w:tcW w:w="1021" w:type="pct"/>
                  <w:tcBorders>
                    <w:tl2br w:val="nil"/>
                    <w:tr2bl w:val="nil"/>
                  </w:tcBorders>
                  <w:noWrap w:val="0"/>
                  <w:vAlign w:val="center"/>
                </w:tcPr>
                <w:p w14:paraId="4030E945">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eastAsia="zh-CN"/>
                    </w:rPr>
                    <w:t>苯并</w:t>
                  </w:r>
                  <w:r>
                    <w:rPr>
                      <w:rFonts w:hint="eastAsia"/>
                      <w:color w:val="auto"/>
                      <w:lang w:eastAsia="zh-CN"/>
                    </w:rPr>
                    <w:t>（</w:t>
                  </w:r>
                  <w:r>
                    <w:rPr>
                      <w:rFonts w:hint="default"/>
                      <w:color w:val="auto"/>
                      <w:lang w:eastAsia="zh-CN"/>
                    </w:rPr>
                    <w:t>k</w:t>
                  </w:r>
                  <w:r>
                    <w:rPr>
                      <w:rFonts w:hint="eastAsia"/>
                      <w:color w:val="auto"/>
                      <w:lang w:eastAsia="zh-CN"/>
                    </w:rPr>
                    <w:t>）</w:t>
                  </w:r>
                  <w:r>
                    <w:rPr>
                      <w:rFonts w:hint="default"/>
                      <w:color w:val="auto"/>
                      <w:lang w:eastAsia="zh-CN"/>
                    </w:rPr>
                    <w:t>荧蒽</w:t>
                  </w:r>
                </w:p>
              </w:tc>
              <w:tc>
                <w:tcPr>
                  <w:tcW w:w="1108" w:type="pct"/>
                  <w:tcBorders>
                    <w:tl2br w:val="nil"/>
                    <w:tr2bl w:val="nil"/>
                  </w:tcBorders>
                  <w:noWrap w:val="0"/>
                  <w:vAlign w:val="center"/>
                </w:tcPr>
                <w:p w14:paraId="6295A8F3">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ND</w:t>
                  </w:r>
                </w:p>
              </w:tc>
              <w:tc>
                <w:tcPr>
                  <w:tcW w:w="1108" w:type="pct"/>
                  <w:tcBorders>
                    <w:tl2br w:val="nil"/>
                    <w:tr2bl w:val="nil"/>
                  </w:tcBorders>
                  <w:noWrap w:val="0"/>
                  <w:vAlign w:val="center"/>
                </w:tcPr>
                <w:p w14:paraId="36D6292D">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r>
                    <w:rPr>
                      <w:rFonts w:hint="default"/>
                    </w:rPr>
                    <w:t>mg/kg</w:t>
                  </w:r>
                </w:p>
              </w:tc>
              <w:tc>
                <w:tcPr>
                  <w:tcW w:w="752" w:type="pct"/>
                  <w:tcBorders>
                    <w:tl2br w:val="nil"/>
                    <w:tr2bl w:val="nil"/>
                  </w:tcBorders>
                  <w:noWrap w:val="0"/>
                  <w:vAlign w:val="center"/>
                </w:tcPr>
                <w:p w14:paraId="70BE678F">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151</w:t>
                  </w:r>
                </w:p>
              </w:tc>
              <w:tc>
                <w:tcPr>
                  <w:tcW w:w="639" w:type="pct"/>
                  <w:tcBorders>
                    <w:tl2br w:val="nil"/>
                    <w:tr2bl w:val="nil"/>
                  </w:tcBorders>
                  <w:noWrap w:val="0"/>
                  <w:vAlign w:val="center"/>
                </w:tcPr>
                <w:p w14:paraId="3F5BA2D7">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eastAsia="zh-CN"/>
                    </w:rPr>
                  </w:pPr>
                  <w:r>
                    <w:rPr>
                      <w:rFonts w:hint="eastAsia"/>
                      <w:color w:val="auto"/>
                      <w:lang w:val="en-US" w:eastAsia="zh-CN"/>
                    </w:rPr>
                    <w:t>否</w:t>
                  </w:r>
                </w:p>
              </w:tc>
            </w:tr>
            <w:tr w14:paraId="57D334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1" w:type="pct"/>
                  <w:tcBorders>
                    <w:tl2br w:val="nil"/>
                    <w:tr2bl w:val="nil"/>
                  </w:tcBorders>
                  <w:noWrap w:val="0"/>
                  <w:vAlign w:val="center"/>
                </w:tcPr>
                <w:p w14:paraId="4B485D0D">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44</w:t>
                  </w:r>
                </w:p>
              </w:tc>
              <w:tc>
                <w:tcPr>
                  <w:tcW w:w="1021" w:type="pct"/>
                  <w:tcBorders>
                    <w:tl2br w:val="nil"/>
                    <w:tr2bl w:val="nil"/>
                  </w:tcBorders>
                  <w:noWrap w:val="0"/>
                  <w:vAlign w:val="center"/>
                </w:tcPr>
                <w:p w14:paraId="11311E7F">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eastAsia="zh-CN"/>
                    </w:rPr>
                    <w:t>苯并</w:t>
                  </w:r>
                  <w:r>
                    <w:rPr>
                      <w:rFonts w:hint="eastAsia"/>
                      <w:color w:val="auto"/>
                      <w:lang w:eastAsia="zh-CN"/>
                    </w:rPr>
                    <w:t>（</w:t>
                  </w:r>
                  <w:r>
                    <w:rPr>
                      <w:rFonts w:hint="default"/>
                      <w:color w:val="auto"/>
                      <w:lang w:eastAsia="zh-CN"/>
                    </w:rPr>
                    <w:t>a</w:t>
                  </w:r>
                  <w:r>
                    <w:rPr>
                      <w:rFonts w:hint="eastAsia"/>
                      <w:color w:val="auto"/>
                      <w:lang w:eastAsia="zh-CN"/>
                    </w:rPr>
                    <w:t>）</w:t>
                  </w:r>
                  <w:r>
                    <w:rPr>
                      <w:rFonts w:hint="default"/>
                      <w:color w:val="auto"/>
                      <w:lang w:eastAsia="zh-CN"/>
                    </w:rPr>
                    <w:t>芘</w:t>
                  </w:r>
                </w:p>
              </w:tc>
              <w:tc>
                <w:tcPr>
                  <w:tcW w:w="1108" w:type="pct"/>
                  <w:tcBorders>
                    <w:tl2br w:val="nil"/>
                    <w:tr2bl w:val="nil"/>
                  </w:tcBorders>
                  <w:noWrap w:val="0"/>
                  <w:vAlign w:val="center"/>
                </w:tcPr>
                <w:p w14:paraId="29E90222">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ND</w:t>
                  </w:r>
                </w:p>
              </w:tc>
              <w:tc>
                <w:tcPr>
                  <w:tcW w:w="1108" w:type="pct"/>
                  <w:tcBorders>
                    <w:tl2br w:val="nil"/>
                    <w:tr2bl w:val="nil"/>
                  </w:tcBorders>
                  <w:noWrap w:val="0"/>
                  <w:vAlign w:val="center"/>
                </w:tcPr>
                <w:p w14:paraId="600D097C">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r>
                    <w:rPr>
                      <w:rFonts w:hint="default"/>
                    </w:rPr>
                    <w:t>mg/kg</w:t>
                  </w:r>
                </w:p>
              </w:tc>
              <w:tc>
                <w:tcPr>
                  <w:tcW w:w="752" w:type="pct"/>
                  <w:tcBorders>
                    <w:tl2br w:val="nil"/>
                    <w:tr2bl w:val="nil"/>
                  </w:tcBorders>
                  <w:noWrap w:val="0"/>
                  <w:vAlign w:val="center"/>
                </w:tcPr>
                <w:p w14:paraId="1C905A65">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1.5</w:t>
                  </w:r>
                </w:p>
              </w:tc>
              <w:tc>
                <w:tcPr>
                  <w:tcW w:w="639" w:type="pct"/>
                  <w:tcBorders>
                    <w:tl2br w:val="nil"/>
                    <w:tr2bl w:val="nil"/>
                  </w:tcBorders>
                  <w:noWrap w:val="0"/>
                  <w:vAlign w:val="center"/>
                </w:tcPr>
                <w:p w14:paraId="21617DD9">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eastAsia="zh-CN"/>
                    </w:rPr>
                  </w:pPr>
                  <w:r>
                    <w:rPr>
                      <w:rFonts w:hint="eastAsia"/>
                      <w:color w:val="auto"/>
                      <w:lang w:val="en-US" w:eastAsia="zh-CN"/>
                    </w:rPr>
                    <w:t>否</w:t>
                  </w:r>
                </w:p>
              </w:tc>
            </w:tr>
            <w:tr w14:paraId="659790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1" w:type="pct"/>
                  <w:tcBorders>
                    <w:tl2br w:val="nil"/>
                    <w:tr2bl w:val="nil"/>
                  </w:tcBorders>
                  <w:noWrap w:val="0"/>
                  <w:vAlign w:val="center"/>
                </w:tcPr>
                <w:p w14:paraId="78110052">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45</w:t>
                  </w:r>
                </w:p>
              </w:tc>
              <w:tc>
                <w:tcPr>
                  <w:tcW w:w="1021" w:type="pct"/>
                  <w:tcBorders>
                    <w:tl2br w:val="nil"/>
                    <w:tr2bl w:val="nil"/>
                  </w:tcBorders>
                  <w:noWrap w:val="0"/>
                  <w:vAlign w:val="center"/>
                </w:tcPr>
                <w:p w14:paraId="4006BF47">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eastAsia="zh-CN"/>
                    </w:rPr>
                    <w:t>茚并</w:t>
                  </w:r>
                  <w:r>
                    <w:rPr>
                      <w:rFonts w:hint="eastAsia"/>
                      <w:color w:val="auto"/>
                      <w:lang w:eastAsia="zh-CN"/>
                    </w:rPr>
                    <w:t>（</w:t>
                  </w:r>
                  <w:r>
                    <w:rPr>
                      <w:rFonts w:hint="default"/>
                      <w:color w:val="auto"/>
                      <w:lang w:eastAsia="zh-CN"/>
                    </w:rPr>
                    <w:t>1,2,3-cd</w:t>
                  </w:r>
                  <w:r>
                    <w:rPr>
                      <w:rFonts w:hint="eastAsia"/>
                      <w:color w:val="auto"/>
                      <w:lang w:eastAsia="zh-CN"/>
                    </w:rPr>
                    <w:t>）</w:t>
                  </w:r>
                  <w:r>
                    <w:rPr>
                      <w:rFonts w:hint="default"/>
                      <w:color w:val="auto"/>
                      <w:lang w:eastAsia="zh-CN"/>
                    </w:rPr>
                    <w:t>芘</w:t>
                  </w:r>
                </w:p>
              </w:tc>
              <w:tc>
                <w:tcPr>
                  <w:tcW w:w="1108" w:type="pct"/>
                  <w:tcBorders>
                    <w:tl2br w:val="nil"/>
                    <w:tr2bl w:val="nil"/>
                  </w:tcBorders>
                  <w:noWrap w:val="0"/>
                  <w:vAlign w:val="center"/>
                </w:tcPr>
                <w:p w14:paraId="3C3E14A8">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ND</w:t>
                  </w:r>
                </w:p>
              </w:tc>
              <w:tc>
                <w:tcPr>
                  <w:tcW w:w="1108" w:type="pct"/>
                  <w:tcBorders>
                    <w:tl2br w:val="nil"/>
                    <w:tr2bl w:val="nil"/>
                  </w:tcBorders>
                  <w:noWrap w:val="0"/>
                  <w:vAlign w:val="center"/>
                </w:tcPr>
                <w:p w14:paraId="40823191">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r>
                    <w:rPr>
                      <w:rFonts w:hint="default"/>
                    </w:rPr>
                    <w:t>mg/kg</w:t>
                  </w:r>
                </w:p>
              </w:tc>
              <w:tc>
                <w:tcPr>
                  <w:tcW w:w="752" w:type="pct"/>
                  <w:tcBorders>
                    <w:tl2br w:val="nil"/>
                    <w:tr2bl w:val="nil"/>
                  </w:tcBorders>
                  <w:noWrap w:val="0"/>
                  <w:vAlign w:val="center"/>
                </w:tcPr>
                <w:p w14:paraId="1151DE83">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15</w:t>
                  </w:r>
                </w:p>
              </w:tc>
              <w:tc>
                <w:tcPr>
                  <w:tcW w:w="639" w:type="pct"/>
                  <w:tcBorders>
                    <w:tl2br w:val="nil"/>
                    <w:tr2bl w:val="nil"/>
                  </w:tcBorders>
                  <w:noWrap w:val="0"/>
                  <w:vAlign w:val="center"/>
                </w:tcPr>
                <w:p w14:paraId="6EAE325B">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eastAsia="zh-CN"/>
                    </w:rPr>
                  </w:pPr>
                  <w:r>
                    <w:rPr>
                      <w:rFonts w:hint="eastAsia"/>
                      <w:color w:val="auto"/>
                      <w:lang w:val="en-US" w:eastAsia="zh-CN"/>
                    </w:rPr>
                    <w:t>否</w:t>
                  </w:r>
                </w:p>
              </w:tc>
            </w:tr>
            <w:tr w14:paraId="6E80D4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1" w:type="pct"/>
                  <w:tcBorders>
                    <w:tl2br w:val="nil"/>
                    <w:tr2bl w:val="nil"/>
                  </w:tcBorders>
                  <w:noWrap w:val="0"/>
                  <w:vAlign w:val="center"/>
                </w:tcPr>
                <w:p w14:paraId="0E45E27E">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46</w:t>
                  </w:r>
                </w:p>
              </w:tc>
              <w:tc>
                <w:tcPr>
                  <w:tcW w:w="1021" w:type="pct"/>
                  <w:tcBorders>
                    <w:tl2br w:val="nil"/>
                    <w:tr2bl w:val="nil"/>
                  </w:tcBorders>
                  <w:noWrap w:val="0"/>
                  <w:vAlign w:val="center"/>
                </w:tcPr>
                <w:p w14:paraId="1547251A">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eastAsia="zh-CN"/>
                    </w:rPr>
                    <w:t>二苯并</w:t>
                  </w:r>
                  <w:r>
                    <w:rPr>
                      <w:rFonts w:hint="eastAsia"/>
                      <w:color w:val="auto"/>
                      <w:lang w:eastAsia="zh-CN"/>
                    </w:rPr>
                    <w:t>（</w:t>
                  </w:r>
                  <w:r>
                    <w:rPr>
                      <w:rFonts w:hint="default"/>
                      <w:color w:val="auto"/>
                      <w:lang w:eastAsia="zh-CN"/>
                    </w:rPr>
                    <w:t>a,h</w:t>
                  </w:r>
                  <w:r>
                    <w:rPr>
                      <w:rFonts w:hint="eastAsia"/>
                      <w:color w:val="auto"/>
                      <w:lang w:eastAsia="zh-CN"/>
                    </w:rPr>
                    <w:t>）</w:t>
                  </w:r>
                  <w:r>
                    <w:rPr>
                      <w:rFonts w:hint="default"/>
                      <w:color w:val="auto"/>
                      <w:lang w:eastAsia="zh-CN"/>
                    </w:rPr>
                    <w:t>蒽</w:t>
                  </w:r>
                </w:p>
              </w:tc>
              <w:tc>
                <w:tcPr>
                  <w:tcW w:w="1108" w:type="pct"/>
                  <w:tcBorders>
                    <w:tl2br w:val="nil"/>
                    <w:tr2bl w:val="nil"/>
                  </w:tcBorders>
                  <w:noWrap w:val="0"/>
                  <w:vAlign w:val="center"/>
                </w:tcPr>
                <w:p w14:paraId="7ADFBCDA">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ND</w:t>
                  </w:r>
                </w:p>
              </w:tc>
              <w:tc>
                <w:tcPr>
                  <w:tcW w:w="1108" w:type="pct"/>
                  <w:tcBorders>
                    <w:tl2br w:val="nil"/>
                    <w:tr2bl w:val="nil"/>
                  </w:tcBorders>
                  <w:noWrap w:val="0"/>
                  <w:vAlign w:val="center"/>
                </w:tcPr>
                <w:p w14:paraId="60E22E1B">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r>
                    <w:rPr>
                      <w:rFonts w:hint="default"/>
                    </w:rPr>
                    <w:t>mg/kg</w:t>
                  </w:r>
                </w:p>
              </w:tc>
              <w:tc>
                <w:tcPr>
                  <w:tcW w:w="752" w:type="pct"/>
                  <w:tcBorders>
                    <w:tl2br w:val="nil"/>
                    <w:tr2bl w:val="nil"/>
                  </w:tcBorders>
                  <w:noWrap w:val="0"/>
                  <w:vAlign w:val="center"/>
                </w:tcPr>
                <w:p w14:paraId="45ABFF47">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1.5</w:t>
                  </w:r>
                </w:p>
              </w:tc>
              <w:tc>
                <w:tcPr>
                  <w:tcW w:w="639" w:type="pct"/>
                  <w:tcBorders>
                    <w:tl2br w:val="nil"/>
                    <w:tr2bl w:val="nil"/>
                  </w:tcBorders>
                  <w:noWrap w:val="0"/>
                  <w:vAlign w:val="center"/>
                </w:tcPr>
                <w:p w14:paraId="3A88479F">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eastAsia="zh-CN"/>
                    </w:rPr>
                  </w:pPr>
                  <w:r>
                    <w:rPr>
                      <w:rFonts w:hint="eastAsia"/>
                      <w:color w:val="auto"/>
                      <w:lang w:val="en-US" w:eastAsia="zh-CN"/>
                    </w:rPr>
                    <w:t>否</w:t>
                  </w:r>
                </w:p>
              </w:tc>
            </w:tr>
            <w:tr w14:paraId="41879F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1" w:type="pct"/>
                  <w:tcBorders>
                    <w:tl2br w:val="nil"/>
                    <w:tr2bl w:val="nil"/>
                  </w:tcBorders>
                  <w:noWrap w:val="0"/>
                  <w:vAlign w:val="center"/>
                </w:tcPr>
                <w:p w14:paraId="06140FC6">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47</w:t>
                  </w:r>
                </w:p>
              </w:tc>
              <w:tc>
                <w:tcPr>
                  <w:tcW w:w="1021" w:type="pct"/>
                  <w:tcBorders>
                    <w:tl2br w:val="nil"/>
                    <w:tr2bl w:val="nil"/>
                  </w:tcBorders>
                  <w:noWrap w:val="0"/>
                  <w:vAlign w:val="center"/>
                </w:tcPr>
                <w:p w14:paraId="19D5C073">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硝基苯</w:t>
                  </w:r>
                </w:p>
              </w:tc>
              <w:tc>
                <w:tcPr>
                  <w:tcW w:w="1108" w:type="pct"/>
                  <w:tcBorders>
                    <w:tl2br w:val="nil"/>
                    <w:tr2bl w:val="nil"/>
                  </w:tcBorders>
                  <w:noWrap w:val="0"/>
                  <w:vAlign w:val="center"/>
                </w:tcPr>
                <w:p w14:paraId="4E9E3F14">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ND</w:t>
                  </w:r>
                </w:p>
              </w:tc>
              <w:tc>
                <w:tcPr>
                  <w:tcW w:w="1108" w:type="pct"/>
                  <w:tcBorders>
                    <w:tl2br w:val="nil"/>
                    <w:tr2bl w:val="nil"/>
                  </w:tcBorders>
                  <w:noWrap w:val="0"/>
                  <w:vAlign w:val="center"/>
                </w:tcPr>
                <w:p w14:paraId="047E0C83">
                  <w:pPr>
                    <w:pStyle w:val="135"/>
                    <w:keepNext w:val="0"/>
                    <w:keepLines w:val="0"/>
                    <w:pageBreakBefore w:val="0"/>
                    <w:widowControl/>
                    <w:kinsoku/>
                    <w:wordWrap/>
                    <w:overflowPunct/>
                    <w:topLinePunct w:val="0"/>
                    <w:autoSpaceDE/>
                    <w:autoSpaceDN/>
                    <w:bidi w:val="0"/>
                    <w:adjustRightInd w:val="0"/>
                    <w:snapToGrid w:val="0"/>
                    <w:textAlignment w:val="auto"/>
                    <w:rPr>
                      <w:rFonts w:hint="eastAsia"/>
                      <w:color w:val="auto"/>
                      <w:lang w:val="en-US" w:eastAsia="zh-CN"/>
                    </w:rPr>
                  </w:pPr>
                  <w:r>
                    <w:rPr>
                      <w:rFonts w:hint="default"/>
                    </w:rPr>
                    <w:t>mg/kg</w:t>
                  </w:r>
                </w:p>
              </w:tc>
              <w:tc>
                <w:tcPr>
                  <w:tcW w:w="752" w:type="pct"/>
                  <w:tcBorders>
                    <w:tl2br w:val="nil"/>
                    <w:tr2bl w:val="nil"/>
                  </w:tcBorders>
                  <w:noWrap w:val="0"/>
                  <w:vAlign w:val="center"/>
                </w:tcPr>
                <w:p w14:paraId="6B391D0A">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76</w:t>
                  </w:r>
                </w:p>
              </w:tc>
              <w:tc>
                <w:tcPr>
                  <w:tcW w:w="639" w:type="pct"/>
                  <w:tcBorders>
                    <w:tl2br w:val="nil"/>
                    <w:tr2bl w:val="nil"/>
                  </w:tcBorders>
                  <w:noWrap w:val="0"/>
                  <w:vAlign w:val="center"/>
                </w:tcPr>
                <w:p w14:paraId="5117EC8A">
                  <w:pPr>
                    <w:pStyle w:val="135"/>
                    <w:keepNext w:val="0"/>
                    <w:keepLines w:val="0"/>
                    <w:pageBreakBefore w:val="0"/>
                    <w:widowControl/>
                    <w:kinsoku/>
                    <w:wordWrap/>
                    <w:overflowPunct/>
                    <w:topLinePunct w:val="0"/>
                    <w:autoSpaceDE/>
                    <w:autoSpaceDN/>
                    <w:bidi w:val="0"/>
                    <w:adjustRightInd w:val="0"/>
                    <w:snapToGrid w:val="0"/>
                    <w:textAlignment w:val="auto"/>
                    <w:rPr>
                      <w:rFonts w:hint="default"/>
                      <w:color w:val="auto"/>
                      <w:lang w:eastAsia="zh-CN"/>
                    </w:rPr>
                  </w:pPr>
                  <w:r>
                    <w:rPr>
                      <w:rFonts w:hint="eastAsia"/>
                      <w:color w:val="auto"/>
                      <w:lang w:val="en-US" w:eastAsia="zh-CN"/>
                    </w:rPr>
                    <w:t>否</w:t>
                  </w:r>
                </w:p>
              </w:tc>
            </w:tr>
            <w:tr w14:paraId="4BC2A2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92" w:type="pct"/>
                  <w:gridSpan w:val="2"/>
                  <w:tcBorders>
                    <w:tl2br w:val="nil"/>
                    <w:tr2bl w:val="nil"/>
                  </w:tcBorders>
                  <w:noWrap w:val="0"/>
                  <w:vAlign w:val="center"/>
                </w:tcPr>
                <w:p w14:paraId="158CBBA7">
                  <w:pPr>
                    <w:pStyle w:val="135"/>
                    <w:keepNext w:val="0"/>
                    <w:keepLines w:val="0"/>
                    <w:pageBreakBefore w:val="0"/>
                    <w:widowControl/>
                    <w:kinsoku/>
                    <w:wordWrap/>
                    <w:overflowPunct/>
                    <w:topLinePunct w:val="0"/>
                    <w:autoSpaceDE/>
                    <w:autoSpaceDN/>
                    <w:bidi w:val="0"/>
                    <w:adjustRightInd w:val="0"/>
                    <w:snapToGrid w:val="0"/>
                    <w:textAlignment w:val="auto"/>
                    <w:rPr>
                      <w:rFonts w:hint="default"/>
                      <w:b/>
                      <w:bCs/>
                      <w:color w:val="auto"/>
                      <w:lang w:val="en-US" w:eastAsia="zh-CN"/>
                    </w:rPr>
                  </w:pPr>
                  <w:r>
                    <w:rPr>
                      <w:rFonts w:hint="eastAsia"/>
                      <w:b/>
                      <w:bCs/>
                      <w:color w:val="auto"/>
                      <w:lang w:val="en-US" w:eastAsia="zh-CN"/>
                    </w:rPr>
                    <w:t>备注</w:t>
                  </w:r>
                </w:p>
              </w:tc>
              <w:tc>
                <w:tcPr>
                  <w:tcW w:w="2968" w:type="pct"/>
                  <w:gridSpan w:val="3"/>
                  <w:tcBorders>
                    <w:tl2br w:val="nil"/>
                    <w:tr2bl w:val="nil"/>
                  </w:tcBorders>
                  <w:noWrap w:val="0"/>
                  <w:vAlign w:val="center"/>
                </w:tcPr>
                <w:p w14:paraId="09B29173">
                  <w:pPr>
                    <w:pStyle w:val="135"/>
                    <w:keepNext w:val="0"/>
                    <w:keepLines w:val="0"/>
                    <w:pageBreakBefore w:val="0"/>
                    <w:widowControl/>
                    <w:kinsoku/>
                    <w:wordWrap/>
                    <w:overflowPunct/>
                    <w:topLinePunct w:val="0"/>
                    <w:autoSpaceDE/>
                    <w:autoSpaceDN/>
                    <w:bidi w:val="0"/>
                    <w:adjustRightInd w:val="0"/>
                    <w:snapToGrid w:val="0"/>
                    <w:jc w:val="both"/>
                    <w:textAlignment w:val="auto"/>
                    <w:rPr>
                      <w:rFonts w:hint="default"/>
                      <w:b/>
                      <w:bCs/>
                      <w:color w:val="auto"/>
                      <w:lang w:val="en-US" w:eastAsia="zh-CN"/>
                    </w:rPr>
                  </w:pPr>
                  <w:r>
                    <w:rPr>
                      <w:rFonts w:hint="default" w:ascii="Times New Roman" w:hAnsi="Times New Roman" w:cs="Times New Roman"/>
                      <w:b/>
                      <w:bCs/>
                      <w:color w:val="auto"/>
                      <w:lang w:val="en-US" w:eastAsia="zh-CN"/>
                    </w:rPr>
                    <w:t>“ND”表示检测结果低于检出限。</w:t>
                  </w:r>
                </w:p>
              </w:tc>
              <w:tc>
                <w:tcPr>
                  <w:tcW w:w="639" w:type="pct"/>
                  <w:tcBorders>
                    <w:tl2br w:val="nil"/>
                    <w:tr2bl w:val="nil"/>
                  </w:tcBorders>
                  <w:noWrap w:val="0"/>
                  <w:vAlign w:val="center"/>
                </w:tcPr>
                <w:p w14:paraId="46D3B1E3">
                  <w:pPr>
                    <w:pStyle w:val="135"/>
                    <w:keepNext w:val="0"/>
                    <w:keepLines w:val="0"/>
                    <w:pageBreakBefore w:val="0"/>
                    <w:widowControl/>
                    <w:kinsoku/>
                    <w:wordWrap/>
                    <w:overflowPunct/>
                    <w:topLinePunct w:val="0"/>
                    <w:autoSpaceDE/>
                    <w:autoSpaceDN/>
                    <w:bidi w:val="0"/>
                    <w:adjustRightInd w:val="0"/>
                    <w:snapToGrid w:val="0"/>
                    <w:jc w:val="both"/>
                    <w:textAlignment w:val="auto"/>
                    <w:rPr>
                      <w:rFonts w:hint="default" w:ascii="Times New Roman" w:hAnsi="Times New Roman" w:cs="Times New Roman"/>
                      <w:b/>
                      <w:bCs/>
                      <w:color w:val="auto"/>
                      <w:lang w:val="en-US" w:eastAsia="zh-CN"/>
                    </w:rPr>
                  </w:pPr>
                </w:p>
              </w:tc>
            </w:tr>
          </w:tbl>
          <w:p w14:paraId="0ED7A6A7">
            <w:pPr>
              <w:pStyle w:val="69"/>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color w:val="auto"/>
                <w:sz w:val="24"/>
                <w:lang w:val="en-US" w:eastAsia="zh-CN"/>
              </w:rPr>
            </w:pPr>
            <w:r>
              <w:rPr>
                <w:rFonts w:hint="eastAsia"/>
                <w:color w:val="auto"/>
                <w:sz w:val="24"/>
                <w:szCs w:val="24"/>
                <w:lang w:val="en-US" w:eastAsia="zh-CN"/>
              </w:rPr>
              <w:t>由上表可知，本项目所在区域土壤环境质量满足《建设用地土壤污染风险管控标准（试行）》（DB36/1282-2020）</w:t>
            </w:r>
            <w:r>
              <w:rPr>
                <w:rFonts w:hint="default" w:ascii="Times New Roman" w:hAnsi="Times New Roman" w:cs="Times New Roman"/>
                <w:color w:val="000000"/>
                <w:sz w:val="24"/>
                <w:lang w:eastAsia="zh-CN"/>
              </w:rPr>
              <w:t>第二类用地筛选值标准</w:t>
            </w:r>
            <w:r>
              <w:rPr>
                <w:rFonts w:hint="eastAsia"/>
                <w:color w:val="auto"/>
                <w:sz w:val="24"/>
                <w:szCs w:val="24"/>
                <w:lang w:val="en-US" w:eastAsia="zh-CN"/>
              </w:rPr>
              <w:t>要求。</w:t>
            </w:r>
          </w:p>
        </w:tc>
      </w:tr>
      <w:tr w14:paraId="6E5C7E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11" w:hRule="atLeast"/>
          <w:jc w:val="center"/>
        </w:trPr>
        <w:tc>
          <w:tcPr>
            <w:tcW w:w="454" w:type="dxa"/>
            <w:vAlign w:val="center"/>
          </w:tcPr>
          <w:p w14:paraId="1EA04294">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pPr>
            <w:r>
              <w:rPr>
                <w:rFonts w:hint="eastAsia"/>
              </w:rPr>
              <w:t>环境保护目标</w:t>
            </w:r>
          </w:p>
        </w:tc>
        <w:tc>
          <w:tcPr>
            <w:tcW w:w="9076" w:type="dxa"/>
            <w:vAlign w:val="center"/>
          </w:tcPr>
          <w:p w14:paraId="76C72EAA">
            <w:pPr>
              <w:pStyle w:val="54"/>
              <w:keepNext w:val="0"/>
              <w:keepLines w:val="0"/>
              <w:pageBreakBefore w:val="0"/>
              <w:widowControl w:val="0"/>
              <w:numPr>
                <w:ilvl w:val="0"/>
                <w:numId w:val="0"/>
              </w:numPr>
              <w:kinsoku/>
              <w:wordWrap/>
              <w:overflowPunct/>
              <w:topLinePunct w:val="0"/>
              <w:autoSpaceDE/>
              <w:autoSpaceDN/>
              <w:bidi w:val="0"/>
              <w:adjustRightInd/>
              <w:snapToGrid/>
              <w:ind w:left="0" w:leftChars="0" w:firstLine="482" w:firstLineChars="200"/>
              <w:textAlignment w:val="auto"/>
              <w:rPr>
                <w:b/>
              </w:rPr>
            </w:pPr>
            <w:r>
              <w:rPr>
                <w:rFonts w:hint="eastAsia"/>
                <w:b/>
                <w:lang w:val="en-US" w:eastAsia="zh-CN"/>
              </w:rPr>
              <w:t>1、</w:t>
            </w:r>
            <w:r>
              <w:rPr>
                <w:b/>
              </w:rPr>
              <w:t>大气环境</w:t>
            </w:r>
          </w:p>
          <w:p w14:paraId="3B6AF375">
            <w:pPr>
              <w:pStyle w:val="109"/>
              <w:snapToGrid/>
              <w:jc w:val="both"/>
              <w:rPr>
                <w:color w:val="000000"/>
                <w:kern w:val="18"/>
                <w:szCs w:val="20"/>
              </w:rPr>
            </w:pPr>
            <w:r>
              <w:rPr>
                <w:rFonts w:hint="eastAsia"/>
                <w:kern w:val="2"/>
                <w:szCs w:val="24"/>
                <w:lang w:eastAsia="zh-CN"/>
              </w:rPr>
              <w:t>本项目</w:t>
            </w:r>
            <w:r>
              <w:rPr>
                <w:rFonts w:hint="eastAsia"/>
                <w:kern w:val="2"/>
                <w:szCs w:val="24"/>
              </w:rPr>
              <w:t>大气环境保护目标详见表3-</w:t>
            </w:r>
            <w:r>
              <w:rPr>
                <w:rFonts w:hint="eastAsia"/>
                <w:kern w:val="2"/>
                <w:szCs w:val="24"/>
                <w:lang w:val="en-US" w:eastAsia="zh-CN"/>
              </w:rPr>
              <w:t>5</w:t>
            </w:r>
            <w:r>
              <w:rPr>
                <w:rFonts w:hint="eastAsia"/>
                <w:kern w:val="2"/>
                <w:szCs w:val="24"/>
              </w:rPr>
              <w:t>。</w:t>
            </w:r>
          </w:p>
          <w:p w14:paraId="319687A4">
            <w:pPr>
              <w:pStyle w:val="49"/>
              <w:rPr>
                <w:b/>
              </w:rPr>
            </w:pPr>
            <w:r>
              <w:rPr>
                <w:b/>
              </w:rPr>
              <w:t>表3-</w:t>
            </w:r>
            <w:r>
              <w:rPr>
                <w:rFonts w:hint="eastAsia"/>
                <w:b/>
                <w:lang w:val="en-US" w:eastAsia="zh-CN"/>
              </w:rPr>
              <w:t xml:space="preserve">5   </w:t>
            </w:r>
            <w:r>
              <w:rPr>
                <w:b/>
              </w:rPr>
              <w:t>项目大气环境保护目标一览表</w:t>
            </w:r>
          </w:p>
          <w:tbl>
            <w:tblPr>
              <w:tblStyle w:val="3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55"/>
              <w:gridCol w:w="615"/>
              <w:gridCol w:w="618"/>
              <w:gridCol w:w="1219"/>
              <w:gridCol w:w="1119"/>
              <w:gridCol w:w="927"/>
              <w:gridCol w:w="1091"/>
              <w:gridCol w:w="1145"/>
              <w:gridCol w:w="886"/>
              <w:gridCol w:w="1096"/>
            </w:tblGrid>
            <w:tr w14:paraId="09A561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9" w:type="pct"/>
                  <w:vMerge w:val="restart"/>
                  <w:vAlign w:val="center"/>
                </w:tcPr>
                <w:p w14:paraId="4E016399">
                  <w:pPr>
                    <w:pStyle w:val="49"/>
                    <w:keepNext w:val="0"/>
                    <w:keepLines w:val="0"/>
                    <w:pageBreakBefore w:val="0"/>
                    <w:widowControl w:val="0"/>
                    <w:kinsoku/>
                    <w:wordWrap/>
                    <w:overflowPunct/>
                    <w:topLinePunct w:val="0"/>
                    <w:autoSpaceDE/>
                    <w:autoSpaceDN/>
                    <w:bidi w:val="0"/>
                    <w:adjustRightInd/>
                    <w:snapToGrid w:val="0"/>
                    <w:textAlignment w:val="auto"/>
                    <w:rPr>
                      <w:b/>
                      <w:bCs/>
                    </w:rPr>
                  </w:pPr>
                  <w:r>
                    <w:rPr>
                      <w:b/>
                      <w:bCs/>
                    </w:rPr>
                    <w:t>名称</w:t>
                  </w:r>
                </w:p>
              </w:tc>
              <w:tc>
                <w:tcPr>
                  <w:tcW w:w="664" w:type="pct"/>
                  <w:gridSpan w:val="2"/>
                  <w:vAlign w:val="center"/>
                </w:tcPr>
                <w:p w14:paraId="18F35698">
                  <w:pPr>
                    <w:pStyle w:val="49"/>
                    <w:keepNext w:val="0"/>
                    <w:keepLines w:val="0"/>
                    <w:pageBreakBefore w:val="0"/>
                    <w:widowControl w:val="0"/>
                    <w:kinsoku/>
                    <w:wordWrap/>
                    <w:overflowPunct/>
                    <w:topLinePunct w:val="0"/>
                    <w:autoSpaceDE/>
                    <w:autoSpaceDN/>
                    <w:bidi w:val="0"/>
                    <w:adjustRightInd/>
                    <w:snapToGrid w:val="0"/>
                    <w:textAlignment w:val="auto"/>
                    <w:rPr>
                      <w:b/>
                      <w:bCs/>
                    </w:rPr>
                  </w:pPr>
                  <w:r>
                    <w:rPr>
                      <w:b/>
                      <w:bCs/>
                    </w:rPr>
                    <w:t>坐标/m</w:t>
                  </w:r>
                </w:p>
              </w:tc>
              <w:tc>
                <w:tcPr>
                  <w:tcW w:w="657" w:type="pct"/>
                  <w:vMerge w:val="restart"/>
                  <w:vAlign w:val="center"/>
                </w:tcPr>
                <w:p w14:paraId="26710BA4">
                  <w:pPr>
                    <w:pStyle w:val="49"/>
                    <w:keepNext w:val="0"/>
                    <w:keepLines w:val="0"/>
                    <w:pageBreakBefore w:val="0"/>
                    <w:widowControl w:val="0"/>
                    <w:kinsoku/>
                    <w:wordWrap/>
                    <w:overflowPunct/>
                    <w:topLinePunct w:val="0"/>
                    <w:autoSpaceDE/>
                    <w:autoSpaceDN/>
                    <w:bidi w:val="0"/>
                    <w:adjustRightInd/>
                    <w:snapToGrid w:val="0"/>
                    <w:textAlignment w:val="auto"/>
                    <w:rPr>
                      <w:b/>
                      <w:bCs/>
                    </w:rPr>
                  </w:pPr>
                  <w:r>
                    <w:rPr>
                      <w:b/>
                      <w:bCs/>
                    </w:rPr>
                    <w:t>保护对象</w:t>
                  </w:r>
                </w:p>
              </w:tc>
              <w:tc>
                <w:tcPr>
                  <w:tcW w:w="603" w:type="pct"/>
                  <w:vMerge w:val="restart"/>
                  <w:vAlign w:val="center"/>
                </w:tcPr>
                <w:p w14:paraId="5D01FA50">
                  <w:pPr>
                    <w:pStyle w:val="49"/>
                    <w:keepNext w:val="0"/>
                    <w:keepLines w:val="0"/>
                    <w:pageBreakBefore w:val="0"/>
                    <w:widowControl w:val="0"/>
                    <w:kinsoku/>
                    <w:wordWrap/>
                    <w:overflowPunct/>
                    <w:topLinePunct w:val="0"/>
                    <w:autoSpaceDE/>
                    <w:autoSpaceDN/>
                    <w:bidi w:val="0"/>
                    <w:adjustRightInd/>
                    <w:snapToGrid w:val="0"/>
                    <w:textAlignment w:val="auto"/>
                    <w:rPr>
                      <w:b/>
                      <w:bCs/>
                    </w:rPr>
                  </w:pPr>
                  <w:r>
                    <w:rPr>
                      <w:b/>
                      <w:bCs/>
                    </w:rPr>
                    <w:t>保护内容</w:t>
                  </w:r>
                </w:p>
              </w:tc>
              <w:tc>
                <w:tcPr>
                  <w:tcW w:w="499" w:type="pct"/>
                  <w:vMerge w:val="restart"/>
                  <w:vAlign w:val="center"/>
                </w:tcPr>
                <w:p w14:paraId="06A19C44">
                  <w:pPr>
                    <w:pStyle w:val="49"/>
                    <w:keepNext w:val="0"/>
                    <w:keepLines w:val="0"/>
                    <w:pageBreakBefore w:val="0"/>
                    <w:widowControl w:val="0"/>
                    <w:kinsoku/>
                    <w:wordWrap/>
                    <w:overflowPunct/>
                    <w:topLinePunct w:val="0"/>
                    <w:autoSpaceDE/>
                    <w:autoSpaceDN/>
                    <w:bidi w:val="0"/>
                    <w:adjustRightInd/>
                    <w:snapToGrid w:val="0"/>
                    <w:textAlignment w:val="auto"/>
                    <w:rPr>
                      <w:b/>
                      <w:bCs/>
                    </w:rPr>
                  </w:pPr>
                  <w:r>
                    <w:rPr>
                      <w:b/>
                      <w:bCs/>
                    </w:rPr>
                    <w:t>环境功能区</w:t>
                  </w:r>
                </w:p>
              </w:tc>
              <w:tc>
                <w:tcPr>
                  <w:tcW w:w="588" w:type="pct"/>
                  <w:vMerge w:val="restart"/>
                  <w:vAlign w:val="center"/>
                </w:tcPr>
                <w:p w14:paraId="430F2BA4">
                  <w:pPr>
                    <w:pStyle w:val="49"/>
                    <w:keepNext w:val="0"/>
                    <w:keepLines w:val="0"/>
                    <w:pageBreakBefore w:val="0"/>
                    <w:widowControl w:val="0"/>
                    <w:kinsoku/>
                    <w:wordWrap/>
                    <w:overflowPunct/>
                    <w:topLinePunct w:val="0"/>
                    <w:autoSpaceDE/>
                    <w:autoSpaceDN/>
                    <w:bidi w:val="0"/>
                    <w:adjustRightInd/>
                    <w:snapToGrid w:val="0"/>
                    <w:textAlignment w:val="auto"/>
                    <w:rPr>
                      <w:rFonts w:hint="default" w:eastAsia="宋体"/>
                      <w:b/>
                      <w:bCs/>
                      <w:color w:val="FF0000"/>
                      <w:lang w:val="en-US" w:eastAsia="zh-CN"/>
                    </w:rPr>
                  </w:pPr>
                  <w:r>
                    <w:rPr>
                      <w:rFonts w:hint="eastAsia"/>
                      <w:b/>
                      <w:bCs/>
                      <w:color w:val="FF0000"/>
                      <w:lang w:val="en-US" w:eastAsia="zh-CN"/>
                    </w:rPr>
                    <w:t>相对储罐区距离</w:t>
                  </w:r>
                  <w:r>
                    <w:rPr>
                      <w:b/>
                      <w:bCs/>
                      <w:color w:val="FF0000"/>
                    </w:rPr>
                    <w:t>/m</w:t>
                  </w:r>
                </w:p>
              </w:tc>
              <w:tc>
                <w:tcPr>
                  <w:tcW w:w="617" w:type="pct"/>
                  <w:vMerge w:val="restart"/>
                  <w:vAlign w:val="center"/>
                </w:tcPr>
                <w:p w14:paraId="34DBFF1B">
                  <w:pPr>
                    <w:pStyle w:val="49"/>
                    <w:keepNext w:val="0"/>
                    <w:keepLines w:val="0"/>
                    <w:pageBreakBefore w:val="0"/>
                    <w:widowControl w:val="0"/>
                    <w:kinsoku/>
                    <w:wordWrap/>
                    <w:overflowPunct/>
                    <w:topLinePunct w:val="0"/>
                    <w:autoSpaceDE/>
                    <w:autoSpaceDN/>
                    <w:bidi w:val="0"/>
                    <w:adjustRightInd/>
                    <w:snapToGrid w:val="0"/>
                    <w:textAlignment w:val="auto"/>
                    <w:rPr>
                      <w:b/>
                      <w:bCs/>
                      <w:color w:val="FF0000"/>
                    </w:rPr>
                  </w:pPr>
                  <w:r>
                    <w:rPr>
                      <w:rFonts w:hint="eastAsia"/>
                      <w:b/>
                      <w:bCs/>
                      <w:color w:val="FF0000"/>
                      <w:lang w:val="en-US" w:eastAsia="zh-CN"/>
                    </w:rPr>
                    <w:t>相对加油区距离</w:t>
                  </w:r>
                  <w:r>
                    <w:rPr>
                      <w:b/>
                      <w:bCs/>
                      <w:color w:val="FF0000"/>
                    </w:rPr>
                    <w:t>/m</w:t>
                  </w:r>
                </w:p>
              </w:tc>
              <w:tc>
                <w:tcPr>
                  <w:tcW w:w="477" w:type="pct"/>
                  <w:vMerge w:val="restart"/>
                  <w:vAlign w:val="center"/>
                </w:tcPr>
                <w:p w14:paraId="3756BD6B">
                  <w:pPr>
                    <w:pStyle w:val="49"/>
                    <w:keepNext w:val="0"/>
                    <w:keepLines w:val="0"/>
                    <w:pageBreakBefore w:val="0"/>
                    <w:widowControl w:val="0"/>
                    <w:kinsoku/>
                    <w:wordWrap/>
                    <w:overflowPunct/>
                    <w:topLinePunct w:val="0"/>
                    <w:autoSpaceDE/>
                    <w:autoSpaceDN/>
                    <w:bidi w:val="0"/>
                    <w:adjustRightInd/>
                    <w:snapToGrid w:val="0"/>
                    <w:textAlignment w:val="auto"/>
                    <w:rPr>
                      <w:b/>
                      <w:bCs/>
                    </w:rPr>
                  </w:pPr>
                  <w:r>
                    <w:rPr>
                      <w:b/>
                      <w:bCs/>
                    </w:rPr>
                    <w:t>相对厂址方位</w:t>
                  </w:r>
                </w:p>
              </w:tc>
              <w:tc>
                <w:tcPr>
                  <w:tcW w:w="591" w:type="pct"/>
                  <w:vMerge w:val="restart"/>
                  <w:vAlign w:val="center"/>
                </w:tcPr>
                <w:p w14:paraId="3389C79E">
                  <w:pPr>
                    <w:pStyle w:val="49"/>
                    <w:keepNext w:val="0"/>
                    <w:keepLines w:val="0"/>
                    <w:pageBreakBefore w:val="0"/>
                    <w:widowControl w:val="0"/>
                    <w:kinsoku/>
                    <w:wordWrap/>
                    <w:overflowPunct/>
                    <w:topLinePunct w:val="0"/>
                    <w:autoSpaceDE/>
                    <w:autoSpaceDN/>
                    <w:bidi w:val="0"/>
                    <w:adjustRightInd/>
                    <w:snapToGrid w:val="0"/>
                    <w:textAlignment w:val="auto"/>
                    <w:rPr>
                      <w:b/>
                      <w:bCs/>
                    </w:rPr>
                  </w:pPr>
                  <w:r>
                    <w:rPr>
                      <w:b/>
                      <w:bCs/>
                    </w:rPr>
                    <w:t>相对厂界距离/m</w:t>
                  </w:r>
                </w:p>
              </w:tc>
            </w:tr>
            <w:tr w14:paraId="2EBEC9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9" w:type="pct"/>
                  <w:vMerge w:val="continue"/>
                  <w:vAlign w:val="center"/>
                </w:tcPr>
                <w:p w14:paraId="4A6BDFD0">
                  <w:pPr>
                    <w:pStyle w:val="49"/>
                    <w:keepNext w:val="0"/>
                    <w:keepLines w:val="0"/>
                    <w:pageBreakBefore w:val="0"/>
                    <w:widowControl w:val="0"/>
                    <w:kinsoku/>
                    <w:wordWrap/>
                    <w:overflowPunct/>
                    <w:topLinePunct w:val="0"/>
                    <w:autoSpaceDE/>
                    <w:autoSpaceDN/>
                    <w:bidi w:val="0"/>
                    <w:adjustRightInd/>
                    <w:snapToGrid w:val="0"/>
                    <w:textAlignment w:val="auto"/>
                  </w:pPr>
                </w:p>
              </w:tc>
              <w:tc>
                <w:tcPr>
                  <w:tcW w:w="331" w:type="pct"/>
                  <w:vAlign w:val="center"/>
                </w:tcPr>
                <w:p w14:paraId="439F9C33">
                  <w:pPr>
                    <w:pStyle w:val="49"/>
                    <w:keepNext w:val="0"/>
                    <w:keepLines w:val="0"/>
                    <w:pageBreakBefore w:val="0"/>
                    <w:widowControl w:val="0"/>
                    <w:kinsoku/>
                    <w:wordWrap/>
                    <w:overflowPunct/>
                    <w:topLinePunct w:val="0"/>
                    <w:autoSpaceDE/>
                    <w:autoSpaceDN/>
                    <w:bidi w:val="0"/>
                    <w:adjustRightInd/>
                    <w:snapToGrid w:val="0"/>
                    <w:textAlignment w:val="auto"/>
                    <w:rPr>
                      <w:rFonts w:hint="eastAsia" w:eastAsia="宋体"/>
                      <w:b/>
                      <w:bCs/>
                      <w:lang w:val="en-US" w:eastAsia="zh-CN"/>
                    </w:rPr>
                  </w:pPr>
                  <w:r>
                    <w:rPr>
                      <w:rFonts w:hint="eastAsia"/>
                      <w:b/>
                      <w:bCs/>
                      <w:lang w:val="en-US" w:eastAsia="zh-CN"/>
                    </w:rPr>
                    <w:t>X</w:t>
                  </w:r>
                </w:p>
              </w:tc>
              <w:tc>
                <w:tcPr>
                  <w:tcW w:w="333" w:type="pct"/>
                  <w:vAlign w:val="center"/>
                </w:tcPr>
                <w:p w14:paraId="31A2C2B8">
                  <w:pPr>
                    <w:pStyle w:val="49"/>
                    <w:keepNext w:val="0"/>
                    <w:keepLines w:val="0"/>
                    <w:pageBreakBefore w:val="0"/>
                    <w:widowControl w:val="0"/>
                    <w:kinsoku/>
                    <w:wordWrap/>
                    <w:overflowPunct/>
                    <w:topLinePunct w:val="0"/>
                    <w:autoSpaceDE/>
                    <w:autoSpaceDN/>
                    <w:bidi w:val="0"/>
                    <w:adjustRightInd/>
                    <w:snapToGrid w:val="0"/>
                    <w:textAlignment w:val="auto"/>
                    <w:rPr>
                      <w:rFonts w:hint="eastAsia" w:eastAsia="宋体"/>
                      <w:b/>
                      <w:bCs/>
                      <w:lang w:eastAsia="zh-CN"/>
                    </w:rPr>
                  </w:pPr>
                  <w:r>
                    <w:rPr>
                      <w:rFonts w:hint="eastAsia"/>
                      <w:b/>
                      <w:bCs/>
                      <w:lang w:val="en-US" w:eastAsia="zh-CN"/>
                    </w:rPr>
                    <w:t>Y</w:t>
                  </w:r>
                </w:p>
              </w:tc>
              <w:tc>
                <w:tcPr>
                  <w:tcW w:w="657" w:type="pct"/>
                  <w:vMerge w:val="continue"/>
                  <w:vAlign w:val="center"/>
                </w:tcPr>
                <w:p w14:paraId="6B1B97AE">
                  <w:pPr>
                    <w:pStyle w:val="49"/>
                    <w:keepNext w:val="0"/>
                    <w:keepLines w:val="0"/>
                    <w:pageBreakBefore w:val="0"/>
                    <w:widowControl w:val="0"/>
                    <w:kinsoku/>
                    <w:wordWrap/>
                    <w:overflowPunct/>
                    <w:topLinePunct w:val="0"/>
                    <w:autoSpaceDE/>
                    <w:autoSpaceDN/>
                    <w:bidi w:val="0"/>
                    <w:adjustRightInd/>
                    <w:snapToGrid w:val="0"/>
                    <w:textAlignment w:val="auto"/>
                  </w:pPr>
                </w:p>
              </w:tc>
              <w:tc>
                <w:tcPr>
                  <w:tcW w:w="603" w:type="pct"/>
                  <w:vMerge w:val="continue"/>
                  <w:vAlign w:val="center"/>
                </w:tcPr>
                <w:p w14:paraId="32C11DA3">
                  <w:pPr>
                    <w:pStyle w:val="49"/>
                    <w:keepNext w:val="0"/>
                    <w:keepLines w:val="0"/>
                    <w:pageBreakBefore w:val="0"/>
                    <w:widowControl w:val="0"/>
                    <w:kinsoku/>
                    <w:wordWrap/>
                    <w:overflowPunct/>
                    <w:topLinePunct w:val="0"/>
                    <w:autoSpaceDE/>
                    <w:autoSpaceDN/>
                    <w:bidi w:val="0"/>
                    <w:adjustRightInd/>
                    <w:snapToGrid w:val="0"/>
                    <w:textAlignment w:val="auto"/>
                  </w:pPr>
                </w:p>
              </w:tc>
              <w:tc>
                <w:tcPr>
                  <w:tcW w:w="499" w:type="pct"/>
                  <w:vMerge w:val="continue"/>
                  <w:vAlign w:val="center"/>
                </w:tcPr>
                <w:p w14:paraId="01927C27">
                  <w:pPr>
                    <w:pStyle w:val="49"/>
                    <w:keepNext w:val="0"/>
                    <w:keepLines w:val="0"/>
                    <w:pageBreakBefore w:val="0"/>
                    <w:widowControl w:val="0"/>
                    <w:kinsoku/>
                    <w:wordWrap/>
                    <w:overflowPunct/>
                    <w:topLinePunct w:val="0"/>
                    <w:autoSpaceDE/>
                    <w:autoSpaceDN/>
                    <w:bidi w:val="0"/>
                    <w:adjustRightInd/>
                    <w:snapToGrid w:val="0"/>
                    <w:textAlignment w:val="auto"/>
                  </w:pPr>
                </w:p>
              </w:tc>
              <w:tc>
                <w:tcPr>
                  <w:tcW w:w="588" w:type="pct"/>
                  <w:vMerge w:val="continue"/>
                  <w:vAlign w:val="center"/>
                </w:tcPr>
                <w:p w14:paraId="2575F81A">
                  <w:pPr>
                    <w:pStyle w:val="49"/>
                    <w:keepNext w:val="0"/>
                    <w:keepLines w:val="0"/>
                    <w:pageBreakBefore w:val="0"/>
                    <w:widowControl w:val="0"/>
                    <w:kinsoku/>
                    <w:wordWrap/>
                    <w:overflowPunct/>
                    <w:topLinePunct w:val="0"/>
                    <w:autoSpaceDE/>
                    <w:autoSpaceDN/>
                    <w:bidi w:val="0"/>
                    <w:adjustRightInd/>
                    <w:snapToGrid w:val="0"/>
                    <w:textAlignment w:val="auto"/>
                    <w:rPr>
                      <w:color w:val="FF0000"/>
                    </w:rPr>
                  </w:pPr>
                </w:p>
              </w:tc>
              <w:tc>
                <w:tcPr>
                  <w:tcW w:w="617" w:type="pct"/>
                  <w:vMerge w:val="continue"/>
                  <w:vAlign w:val="center"/>
                </w:tcPr>
                <w:p w14:paraId="0540C469">
                  <w:pPr>
                    <w:pStyle w:val="49"/>
                    <w:keepNext w:val="0"/>
                    <w:keepLines w:val="0"/>
                    <w:pageBreakBefore w:val="0"/>
                    <w:widowControl w:val="0"/>
                    <w:kinsoku/>
                    <w:wordWrap/>
                    <w:overflowPunct/>
                    <w:topLinePunct w:val="0"/>
                    <w:autoSpaceDE/>
                    <w:autoSpaceDN/>
                    <w:bidi w:val="0"/>
                    <w:adjustRightInd/>
                    <w:snapToGrid w:val="0"/>
                    <w:textAlignment w:val="auto"/>
                    <w:rPr>
                      <w:color w:val="FF0000"/>
                    </w:rPr>
                  </w:pPr>
                </w:p>
              </w:tc>
              <w:tc>
                <w:tcPr>
                  <w:tcW w:w="477" w:type="pct"/>
                  <w:vMerge w:val="continue"/>
                  <w:vAlign w:val="center"/>
                </w:tcPr>
                <w:p w14:paraId="363E0B7E">
                  <w:pPr>
                    <w:pStyle w:val="49"/>
                    <w:keepNext w:val="0"/>
                    <w:keepLines w:val="0"/>
                    <w:pageBreakBefore w:val="0"/>
                    <w:widowControl w:val="0"/>
                    <w:kinsoku/>
                    <w:wordWrap/>
                    <w:overflowPunct/>
                    <w:topLinePunct w:val="0"/>
                    <w:autoSpaceDE/>
                    <w:autoSpaceDN/>
                    <w:bidi w:val="0"/>
                    <w:adjustRightInd/>
                    <w:snapToGrid w:val="0"/>
                    <w:textAlignment w:val="auto"/>
                  </w:pPr>
                </w:p>
              </w:tc>
              <w:tc>
                <w:tcPr>
                  <w:tcW w:w="591" w:type="pct"/>
                  <w:vMerge w:val="continue"/>
                  <w:vAlign w:val="center"/>
                </w:tcPr>
                <w:p w14:paraId="7D35E2E5">
                  <w:pPr>
                    <w:pStyle w:val="49"/>
                    <w:keepNext w:val="0"/>
                    <w:keepLines w:val="0"/>
                    <w:pageBreakBefore w:val="0"/>
                    <w:widowControl w:val="0"/>
                    <w:kinsoku/>
                    <w:wordWrap/>
                    <w:overflowPunct/>
                    <w:topLinePunct w:val="0"/>
                    <w:autoSpaceDE/>
                    <w:autoSpaceDN/>
                    <w:bidi w:val="0"/>
                    <w:adjustRightInd/>
                    <w:snapToGrid w:val="0"/>
                    <w:textAlignment w:val="auto"/>
                  </w:pPr>
                </w:p>
              </w:tc>
            </w:tr>
            <w:tr w14:paraId="7CF2C6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9" w:type="pct"/>
                  <w:vMerge w:val="restart"/>
                  <w:vAlign w:val="center"/>
                </w:tcPr>
                <w:p w14:paraId="23268764">
                  <w:pPr>
                    <w:pStyle w:val="49"/>
                    <w:keepNext w:val="0"/>
                    <w:keepLines w:val="0"/>
                    <w:pageBreakBefore w:val="0"/>
                    <w:widowControl w:val="0"/>
                    <w:kinsoku/>
                    <w:wordWrap/>
                    <w:overflowPunct/>
                    <w:topLinePunct w:val="0"/>
                    <w:autoSpaceDE/>
                    <w:autoSpaceDN/>
                    <w:bidi w:val="0"/>
                    <w:adjustRightInd/>
                    <w:snapToGrid w:val="0"/>
                    <w:textAlignment w:val="auto"/>
                  </w:pPr>
                  <w:r>
                    <w:t>环境空气</w:t>
                  </w:r>
                </w:p>
              </w:tc>
              <w:tc>
                <w:tcPr>
                  <w:tcW w:w="331" w:type="pct"/>
                  <w:vAlign w:val="center"/>
                </w:tcPr>
                <w:p w14:paraId="5326CAAE">
                  <w:pPr>
                    <w:pStyle w:val="49"/>
                    <w:keepNext w:val="0"/>
                    <w:keepLines w:val="0"/>
                    <w:pageBreakBefore w:val="0"/>
                    <w:widowControl w:val="0"/>
                    <w:kinsoku/>
                    <w:wordWrap/>
                    <w:overflowPunct/>
                    <w:topLinePunct w:val="0"/>
                    <w:autoSpaceDE/>
                    <w:autoSpaceDN/>
                    <w:bidi w:val="0"/>
                    <w:adjustRightInd/>
                    <w:snapToGrid w:val="0"/>
                    <w:textAlignment w:val="auto"/>
                    <w:rPr>
                      <w:rFonts w:hint="default" w:eastAsia="宋体"/>
                      <w:lang w:val="en-US" w:eastAsia="zh-CN"/>
                    </w:rPr>
                  </w:pPr>
                  <w:r>
                    <w:rPr>
                      <w:rFonts w:hint="eastAsia"/>
                      <w:lang w:val="en-US" w:eastAsia="zh-CN"/>
                    </w:rPr>
                    <w:t>-91</w:t>
                  </w:r>
                </w:p>
              </w:tc>
              <w:tc>
                <w:tcPr>
                  <w:tcW w:w="333" w:type="pct"/>
                  <w:vAlign w:val="center"/>
                </w:tcPr>
                <w:p w14:paraId="24FB0050">
                  <w:pPr>
                    <w:pStyle w:val="49"/>
                    <w:keepNext w:val="0"/>
                    <w:keepLines w:val="0"/>
                    <w:pageBreakBefore w:val="0"/>
                    <w:widowControl w:val="0"/>
                    <w:kinsoku/>
                    <w:wordWrap/>
                    <w:overflowPunct/>
                    <w:topLinePunct w:val="0"/>
                    <w:autoSpaceDE/>
                    <w:autoSpaceDN/>
                    <w:bidi w:val="0"/>
                    <w:adjustRightInd/>
                    <w:snapToGrid w:val="0"/>
                    <w:textAlignment w:val="auto"/>
                    <w:rPr>
                      <w:rFonts w:hint="default" w:eastAsia="宋体"/>
                      <w:lang w:val="en-US" w:eastAsia="zh-CN"/>
                    </w:rPr>
                  </w:pPr>
                  <w:r>
                    <w:rPr>
                      <w:rFonts w:hint="eastAsia"/>
                      <w:lang w:val="en-US" w:eastAsia="zh-CN"/>
                    </w:rPr>
                    <w:t>0</w:t>
                  </w:r>
                </w:p>
              </w:tc>
              <w:tc>
                <w:tcPr>
                  <w:tcW w:w="657" w:type="pct"/>
                  <w:vAlign w:val="center"/>
                </w:tcPr>
                <w:p w14:paraId="7112ABC8">
                  <w:pPr>
                    <w:pStyle w:val="49"/>
                    <w:keepNext w:val="0"/>
                    <w:keepLines w:val="0"/>
                    <w:pageBreakBefore w:val="0"/>
                    <w:widowControl w:val="0"/>
                    <w:kinsoku/>
                    <w:wordWrap/>
                    <w:overflowPunct/>
                    <w:topLinePunct w:val="0"/>
                    <w:autoSpaceDE/>
                    <w:autoSpaceDN/>
                    <w:bidi w:val="0"/>
                    <w:adjustRightInd/>
                    <w:snapToGrid w:val="0"/>
                    <w:textAlignment w:val="auto"/>
                    <w:rPr>
                      <w:rFonts w:hint="default" w:eastAsia="宋体"/>
                      <w:lang w:val="en-US" w:eastAsia="zh-CN"/>
                    </w:rPr>
                  </w:pPr>
                  <w:r>
                    <w:rPr>
                      <w:rFonts w:hint="default" w:eastAsia="宋体"/>
                      <w:lang w:val="en-US" w:eastAsia="zh-CN"/>
                    </w:rPr>
                    <w:t>红心村</w:t>
                  </w:r>
                </w:p>
              </w:tc>
              <w:tc>
                <w:tcPr>
                  <w:tcW w:w="603" w:type="pct"/>
                  <w:vAlign w:val="center"/>
                </w:tcPr>
                <w:p w14:paraId="3A659333">
                  <w:pPr>
                    <w:pStyle w:val="49"/>
                    <w:keepNext w:val="0"/>
                    <w:keepLines w:val="0"/>
                    <w:pageBreakBefore w:val="0"/>
                    <w:widowControl w:val="0"/>
                    <w:kinsoku/>
                    <w:wordWrap/>
                    <w:overflowPunct/>
                    <w:topLinePunct w:val="0"/>
                    <w:autoSpaceDE/>
                    <w:autoSpaceDN/>
                    <w:bidi w:val="0"/>
                    <w:adjustRightInd/>
                    <w:snapToGrid w:val="0"/>
                    <w:textAlignment w:val="auto"/>
                  </w:pPr>
                  <w:r>
                    <w:t>居住区</w:t>
                  </w:r>
                </w:p>
              </w:tc>
              <w:tc>
                <w:tcPr>
                  <w:tcW w:w="499" w:type="pct"/>
                  <w:vAlign w:val="center"/>
                </w:tcPr>
                <w:p w14:paraId="62DC9244">
                  <w:pPr>
                    <w:pStyle w:val="49"/>
                    <w:keepNext w:val="0"/>
                    <w:keepLines w:val="0"/>
                    <w:pageBreakBefore w:val="0"/>
                    <w:widowControl w:val="0"/>
                    <w:kinsoku/>
                    <w:wordWrap/>
                    <w:overflowPunct/>
                    <w:topLinePunct w:val="0"/>
                    <w:autoSpaceDE/>
                    <w:autoSpaceDN/>
                    <w:bidi w:val="0"/>
                    <w:adjustRightInd/>
                    <w:snapToGrid w:val="0"/>
                    <w:textAlignment w:val="auto"/>
                  </w:pPr>
                  <w:r>
                    <w:t>二类区</w:t>
                  </w:r>
                </w:p>
              </w:tc>
              <w:tc>
                <w:tcPr>
                  <w:tcW w:w="588" w:type="pct"/>
                  <w:vAlign w:val="center"/>
                </w:tcPr>
                <w:p w14:paraId="40C8199C">
                  <w:pPr>
                    <w:pStyle w:val="49"/>
                    <w:keepNext w:val="0"/>
                    <w:keepLines w:val="0"/>
                    <w:pageBreakBefore w:val="0"/>
                    <w:widowControl w:val="0"/>
                    <w:kinsoku/>
                    <w:wordWrap/>
                    <w:overflowPunct/>
                    <w:topLinePunct w:val="0"/>
                    <w:autoSpaceDE/>
                    <w:autoSpaceDN/>
                    <w:bidi w:val="0"/>
                    <w:adjustRightInd/>
                    <w:snapToGrid w:val="0"/>
                    <w:textAlignment w:val="auto"/>
                    <w:rPr>
                      <w:rFonts w:hint="default"/>
                      <w:color w:val="FF0000"/>
                      <w:lang w:val="en-US" w:eastAsia="zh-CN"/>
                    </w:rPr>
                  </w:pPr>
                  <w:r>
                    <w:rPr>
                      <w:rFonts w:hint="eastAsia"/>
                      <w:color w:val="FF0000"/>
                      <w:lang w:val="en-US" w:eastAsia="zh-CN"/>
                    </w:rPr>
                    <w:t>118</w:t>
                  </w:r>
                </w:p>
              </w:tc>
              <w:tc>
                <w:tcPr>
                  <w:tcW w:w="617" w:type="pct"/>
                  <w:vAlign w:val="center"/>
                </w:tcPr>
                <w:p w14:paraId="75DBFC36">
                  <w:pPr>
                    <w:pStyle w:val="49"/>
                    <w:keepNext w:val="0"/>
                    <w:keepLines w:val="0"/>
                    <w:pageBreakBefore w:val="0"/>
                    <w:widowControl w:val="0"/>
                    <w:kinsoku/>
                    <w:wordWrap/>
                    <w:overflowPunct/>
                    <w:topLinePunct w:val="0"/>
                    <w:autoSpaceDE/>
                    <w:autoSpaceDN/>
                    <w:bidi w:val="0"/>
                    <w:adjustRightInd/>
                    <w:snapToGrid w:val="0"/>
                    <w:textAlignment w:val="auto"/>
                    <w:rPr>
                      <w:rFonts w:hint="default"/>
                      <w:color w:val="FF0000"/>
                      <w:lang w:val="en-US" w:eastAsia="zh-CN"/>
                    </w:rPr>
                  </w:pPr>
                  <w:r>
                    <w:rPr>
                      <w:rFonts w:hint="eastAsia"/>
                      <w:color w:val="FF0000"/>
                      <w:lang w:val="en-US" w:eastAsia="zh-CN"/>
                    </w:rPr>
                    <w:t>85</w:t>
                  </w:r>
                </w:p>
              </w:tc>
              <w:tc>
                <w:tcPr>
                  <w:tcW w:w="477" w:type="pct"/>
                  <w:vAlign w:val="center"/>
                </w:tcPr>
                <w:p w14:paraId="3CC0B72F">
                  <w:pPr>
                    <w:pStyle w:val="49"/>
                    <w:keepNext w:val="0"/>
                    <w:keepLines w:val="0"/>
                    <w:pageBreakBefore w:val="0"/>
                    <w:widowControl w:val="0"/>
                    <w:kinsoku/>
                    <w:wordWrap/>
                    <w:overflowPunct/>
                    <w:topLinePunct w:val="0"/>
                    <w:autoSpaceDE/>
                    <w:autoSpaceDN/>
                    <w:bidi w:val="0"/>
                    <w:adjustRightInd/>
                    <w:snapToGrid w:val="0"/>
                    <w:textAlignment w:val="auto"/>
                    <w:rPr>
                      <w:rFonts w:hint="default" w:eastAsia="宋体"/>
                      <w:lang w:val="en-US" w:eastAsia="zh-CN"/>
                    </w:rPr>
                  </w:pPr>
                  <w:r>
                    <w:rPr>
                      <w:rFonts w:hint="eastAsia"/>
                      <w:lang w:val="en-US" w:eastAsia="zh-CN"/>
                    </w:rPr>
                    <w:t>西面</w:t>
                  </w:r>
                </w:p>
              </w:tc>
              <w:tc>
                <w:tcPr>
                  <w:tcW w:w="591" w:type="pct"/>
                  <w:vAlign w:val="center"/>
                </w:tcPr>
                <w:p w14:paraId="729A1FAC">
                  <w:pPr>
                    <w:pStyle w:val="49"/>
                    <w:keepNext w:val="0"/>
                    <w:keepLines w:val="0"/>
                    <w:pageBreakBefore w:val="0"/>
                    <w:widowControl w:val="0"/>
                    <w:kinsoku/>
                    <w:wordWrap/>
                    <w:overflowPunct/>
                    <w:topLinePunct w:val="0"/>
                    <w:autoSpaceDE/>
                    <w:autoSpaceDN/>
                    <w:bidi w:val="0"/>
                    <w:adjustRightInd/>
                    <w:snapToGrid w:val="0"/>
                    <w:textAlignment w:val="auto"/>
                    <w:rPr>
                      <w:rFonts w:hint="default" w:eastAsia="宋体"/>
                      <w:lang w:val="en-US" w:eastAsia="zh-CN"/>
                    </w:rPr>
                  </w:pPr>
                  <w:r>
                    <w:rPr>
                      <w:rFonts w:hint="eastAsia"/>
                      <w:lang w:val="en-US" w:eastAsia="zh-CN"/>
                    </w:rPr>
                    <w:t>25</w:t>
                  </w:r>
                </w:p>
              </w:tc>
            </w:tr>
            <w:tr w14:paraId="6E15E6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9" w:type="pct"/>
                  <w:vMerge w:val="continue"/>
                  <w:vAlign w:val="center"/>
                </w:tcPr>
                <w:p w14:paraId="75C84B4D">
                  <w:pPr>
                    <w:pStyle w:val="49"/>
                    <w:keepNext w:val="0"/>
                    <w:keepLines w:val="0"/>
                    <w:pageBreakBefore w:val="0"/>
                    <w:widowControl w:val="0"/>
                    <w:kinsoku/>
                    <w:wordWrap/>
                    <w:overflowPunct/>
                    <w:topLinePunct w:val="0"/>
                    <w:autoSpaceDE/>
                    <w:autoSpaceDN/>
                    <w:bidi w:val="0"/>
                    <w:adjustRightInd/>
                    <w:snapToGrid w:val="0"/>
                    <w:textAlignment w:val="auto"/>
                  </w:pPr>
                </w:p>
              </w:tc>
              <w:tc>
                <w:tcPr>
                  <w:tcW w:w="331" w:type="pct"/>
                  <w:vAlign w:val="center"/>
                </w:tcPr>
                <w:p w14:paraId="7D8B9BD8">
                  <w:pPr>
                    <w:pStyle w:val="49"/>
                    <w:keepNext w:val="0"/>
                    <w:keepLines w:val="0"/>
                    <w:pageBreakBefore w:val="0"/>
                    <w:widowControl w:val="0"/>
                    <w:kinsoku/>
                    <w:wordWrap/>
                    <w:overflowPunct/>
                    <w:topLinePunct w:val="0"/>
                    <w:autoSpaceDE/>
                    <w:autoSpaceDN/>
                    <w:bidi w:val="0"/>
                    <w:adjustRightInd/>
                    <w:snapToGrid w:val="0"/>
                    <w:textAlignment w:val="auto"/>
                    <w:rPr>
                      <w:rFonts w:hint="default" w:eastAsia="宋体"/>
                      <w:lang w:val="en-US" w:eastAsia="zh-CN"/>
                    </w:rPr>
                  </w:pPr>
                  <w:r>
                    <w:rPr>
                      <w:rFonts w:hint="eastAsia"/>
                      <w:lang w:val="en-US" w:eastAsia="zh-CN"/>
                    </w:rPr>
                    <w:t>-420</w:t>
                  </w:r>
                </w:p>
              </w:tc>
              <w:tc>
                <w:tcPr>
                  <w:tcW w:w="333" w:type="pct"/>
                  <w:vAlign w:val="center"/>
                </w:tcPr>
                <w:p w14:paraId="119E46FA">
                  <w:pPr>
                    <w:pStyle w:val="49"/>
                    <w:keepNext w:val="0"/>
                    <w:keepLines w:val="0"/>
                    <w:pageBreakBefore w:val="0"/>
                    <w:widowControl w:val="0"/>
                    <w:kinsoku/>
                    <w:wordWrap/>
                    <w:overflowPunct/>
                    <w:topLinePunct w:val="0"/>
                    <w:autoSpaceDE/>
                    <w:autoSpaceDN/>
                    <w:bidi w:val="0"/>
                    <w:adjustRightInd/>
                    <w:snapToGrid w:val="0"/>
                    <w:textAlignment w:val="auto"/>
                    <w:rPr>
                      <w:rFonts w:hint="default" w:eastAsia="宋体"/>
                      <w:lang w:val="en-US" w:eastAsia="zh-CN"/>
                    </w:rPr>
                  </w:pPr>
                  <w:r>
                    <w:rPr>
                      <w:rFonts w:hint="eastAsia"/>
                      <w:lang w:val="en-US" w:eastAsia="zh-CN"/>
                    </w:rPr>
                    <w:t>-145</w:t>
                  </w:r>
                </w:p>
              </w:tc>
              <w:tc>
                <w:tcPr>
                  <w:tcW w:w="657" w:type="pct"/>
                  <w:vAlign w:val="center"/>
                </w:tcPr>
                <w:p w14:paraId="34520DD3">
                  <w:pPr>
                    <w:pStyle w:val="49"/>
                    <w:keepNext w:val="0"/>
                    <w:keepLines w:val="0"/>
                    <w:pageBreakBefore w:val="0"/>
                    <w:widowControl w:val="0"/>
                    <w:kinsoku/>
                    <w:wordWrap/>
                    <w:overflowPunct/>
                    <w:topLinePunct w:val="0"/>
                    <w:autoSpaceDE/>
                    <w:autoSpaceDN/>
                    <w:bidi w:val="0"/>
                    <w:adjustRightInd/>
                    <w:snapToGrid w:val="0"/>
                    <w:textAlignment w:val="auto"/>
                    <w:rPr>
                      <w:rFonts w:hint="default" w:eastAsia="宋体"/>
                      <w:lang w:val="en-US" w:eastAsia="zh-CN"/>
                    </w:rPr>
                  </w:pPr>
                  <w:r>
                    <w:rPr>
                      <w:rFonts w:hint="eastAsia"/>
                      <w:highlight w:val="none"/>
                      <w:lang w:val="en-US" w:eastAsia="zh-CN"/>
                    </w:rPr>
                    <w:t>于担丘</w:t>
                  </w:r>
                </w:p>
              </w:tc>
              <w:tc>
                <w:tcPr>
                  <w:tcW w:w="603" w:type="pct"/>
                  <w:vAlign w:val="center"/>
                </w:tcPr>
                <w:p w14:paraId="3AE690A1">
                  <w:pPr>
                    <w:pStyle w:val="49"/>
                    <w:keepNext w:val="0"/>
                    <w:keepLines w:val="0"/>
                    <w:pageBreakBefore w:val="0"/>
                    <w:widowControl w:val="0"/>
                    <w:kinsoku/>
                    <w:wordWrap/>
                    <w:overflowPunct/>
                    <w:topLinePunct w:val="0"/>
                    <w:autoSpaceDE/>
                    <w:autoSpaceDN/>
                    <w:bidi w:val="0"/>
                    <w:adjustRightInd/>
                    <w:snapToGrid w:val="0"/>
                    <w:textAlignment w:val="auto"/>
                  </w:pPr>
                  <w:r>
                    <w:t>居住区</w:t>
                  </w:r>
                </w:p>
              </w:tc>
              <w:tc>
                <w:tcPr>
                  <w:tcW w:w="499" w:type="pct"/>
                  <w:vAlign w:val="center"/>
                </w:tcPr>
                <w:p w14:paraId="589D1B4E">
                  <w:pPr>
                    <w:pStyle w:val="49"/>
                    <w:keepNext w:val="0"/>
                    <w:keepLines w:val="0"/>
                    <w:pageBreakBefore w:val="0"/>
                    <w:widowControl w:val="0"/>
                    <w:kinsoku/>
                    <w:wordWrap/>
                    <w:overflowPunct/>
                    <w:topLinePunct w:val="0"/>
                    <w:autoSpaceDE/>
                    <w:autoSpaceDN/>
                    <w:bidi w:val="0"/>
                    <w:adjustRightInd/>
                    <w:snapToGrid w:val="0"/>
                    <w:textAlignment w:val="auto"/>
                  </w:pPr>
                  <w:r>
                    <w:t>二类区</w:t>
                  </w:r>
                </w:p>
              </w:tc>
              <w:tc>
                <w:tcPr>
                  <w:tcW w:w="588" w:type="pct"/>
                  <w:vAlign w:val="center"/>
                </w:tcPr>
                <w:p w14:paraId="7ECCDB1B">
                  <w:pPr>
                    <w:pStyle w:val="49"/>
                    <w:keepNext w:val="0"/>
                    <w:keepLines w:val="0"/>
                    <w:pageBreakBefore w:val="0"/>
                    <w:widowControl w:val="0"/>
                    <w:kinsoku/>
                    <w:wordWrap/>
                    <w:overflowPunct/>
                    <w:topLinePunct w:val="0"/>
                    <w:autoSpaceDE/>
                    <w:autoSpaceDN/>
                    <w:bidi w:val="0"/>
                    <w:adjustRightInd/>
                    <w:snapToGrid w:val="0"/>
                    <w:jc w:val="center"/>
                    <w:textAlignment w:val="auto"/>
                    <w:rPr>
                      <w:rFonts w:hint="default"/>
                      <w:color w:val="FF0000"/>
                      <w:lang w:val="en-US" w:eastAsia="zh-CN"/>
                    </w:rPr>
                  </w:pPr>
                  <w:r>
                    <w:rPr>
                      <w:rFonts w:hint="eastAsia"/>
                      <w:color w:val="FF0000"/>
                      <w:lang w:val="en-US" w:eastAsia="zh-CN"/>
                    </w:rPr>
                    <w:t>458</w:t>
                  </w:r>
                </w:p>
              </w:tc>
              <w:tc>
                <w:tcPr>
                  <w:tcW w:w="617" w:type="pct"/>
                  <w:vAlign w:val="center"/>
                </w:tcPr>
                <w:p w14:paraId="172B6EC4">
                  <w:pPr>
                    <w:pStyle w:val="49"/>
                    <w:keepNext w:val="0"/>
                    <w:keepLines w:val="0"/>
                    <w:pageBreakBefore w:val="0"/>
                    <w:widowControl w:val="0"/>
                    <w:kinsoku/>
                    <w:wordWrap/>
                    <w:overflowPunct/>
                    <w:topLinePunct w:val="0"/>
                    <w:autoSpaceDE/>
                    <w:autoSpaceDN/>
                    <w:bidi w:val="0"/>
                    <w:adjustRightInd/>
                    <w:snapToGrid w:val="0"/>
                    <w:jc w:val="center"/>
                    <w:textAlignment w:val="auto"/>
                    <w:rPr>
                      <w:rFonts w:hint="eastAsia"/>
                      <w:color w:val="FF0000"/>
                      <w:lang w:val="en-US" w:eastAsia="zh-CN"/>
                    </w:rPr>
                  </w:pPr>
                  <w:r>
                    <w:rPr>
                      <w:rFonts w:hint="eastAsia"/>
                      <w:color w:val="FF0000"/>
                      <w:lang w:val="en-US" w:eastAsia="zh-CN"/>
                    </w:rPr>
                    <w:t>378</w:t>
                  </w:r>
                </w:p>
              </w:tc>
              <w:tc>
                <w:tcPr>
                  <w:tcW w:w="477" w:type="pct"/>
                  <w:vAlign w:val="center"/>
                </w:tcPr>
                <w:p w14:paraId="3F853A95">
                  <w:pPr>
                    <w:pStyle w:val="49"/>
                    <w:keepNext w:val="0"/>
                    <w:keepLines w:val="0"/>
                    <w:pageBreakBefore w:val="0"/>
                    <w:widowControl w:val="0"/>
                    <w:kinsoku/>
                    <w:wordWrap/>
                    <w:overflowPunct/>
                    <w:topLinePunct w:val="0"/>
                    <w:autoSpaceDE/>
                    <w:autoSpaceDN/>
                    <w:bidi w:val="0"/>
                    <w:adjustRightInd/>
                    <w:snapToGrid w:val="0"/>
                    <w:jc w:val="center"/>
                    <w:textAlignment w:val="auto"/>
                    <w:rPr>
                      <w:rFonts w:hint="eastAsia" w:eastAsia="宋体"/>
                      <w:lang w:val="en-US" w:eastAsia="zh-CN"/>
                    </w:rPr>
                  </w:pPr>
                  <w:r>
                    <w:rPr>
                      <w:rFonts w:hint="eastAsia"/>
                      <w:lang w:val="en-US" w:eastAsia="zh-CN"/>
                    </w:rPr>
                    <w:t>西南面</w:t>
                  </w:r>
                </w:p>
              </w:tc>
              <w:tc>
                <w:tcPr>
                  <w:tcW w:w="591" w:type="pct"/>
                  <w:vAlign w:val="center"/>
                </w:tcPr>
                <w:p w14:paraId="0ABC7E98">
                  <w:pPr>
                    <w:pStyle w:val="49"/>
                    <w:keepNext w:val="0"/>
                    <w:keepLines w:val="0"/>
                    <w:pageBreakBefore w:val="0"/>
                    <w:widowControl w:val="0"/>
                    <w:kinsoku/>
                    <w:wordWrap/>
                    <w:overflowPunct/>
                    <w:topLinePunct w:val="0"/>
                    <w:autoSpaceDE/>
                    <w:autoSpaceDN/>
                    <w:bidi w:val="0"/>
                    <w:adjustRightInd/>
                    <w:snapToGrid w:val="0"/>
                    <w:textAlignment w:val="auto"/>
                    <w:rPr>
                      <w:rFonts w:hint="default" w:eastAsia="宋体"/>
                      <w:lang w:val="en-US" w:eastAsia="zh-CN"/>
                    </w:rPr>
                  </w:pPr>
                  <w:r>
                    <w:rPr>
                      <w:rFonts w:hint="eastAsia"/>
                      <w:lang w:val="en-US" w:eastAsia="zh-CN"/>
                    </w:rPr>
                    <w:t>378</w:t>
                  </w:r>
                </w:p>
              </w:tc>
            </w:tr>
            <w:tr w14:paraId="220E25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9" w:type="pct"/>
                  <w:vMerge w:val="continue"/>
                  <w:vAlign w:val="center"/>
                </w:tcPr>
                <w:p w14:paraId="507B2670">
                  <w:pPr>
                    <w:pStyle w:val="49"/>
                    <w:keepNext w:val="0"/>
                    <w:keepLines w:val="0"/>
                    <w:pageBreakBefore w:val="0"/>
                    <w:widowControl w:val="0"/>
                    <w:kinsoku/>
                    <w:wordWrap/>
                    <w:overflowPunct/>
                    <w:topLinePunct w:val="0"/>
                    <w:autoSpaceDE/>
                    <w:autoSpaceDN/>
                    <w:bidi w:val="0"/>
                    <w:adjustRightInd/>
                    <w:snapToGrid w:val="0"/>
                    <w:textAlignment w:val="auto"/>
                  </w:pPr>
                </w:p>
              </w:tc>
              <w:tc>
                <w:tcPr>
                  <w:tcW w:w="331" w:type="pct"/>
                  <w:vAlign w:val="center"/>
                </w:tcPr>
                <w:p w14:paraId="7FFD0C33">
                  <w:pPr>
                    <w:pStyle w:val="49"/>
                    <w:keepNext w:val="0"/>
                    <w:keepLines w:val="0"/>
                    <w:pageBreakBefore w:val="0"/>
                    <w:widowControl w:val="0"/>
                    <w:kinsoku/>
                    <w:wordWrap/>
                    <w:overflowPunct/>
                    <w:topLinePunct w:val="0"/>
                    <w:autoSpaceDE/>
                    <w:autoSpaceDN/>
                    <w:bidi w:val="0"/>
                    <w:adjustRightInd/>
                    <w:snapToGrid w:val="0"/>
                    <w:textAlignment w:val="auto"/>
                    <w:rPr>
                      <w:rFonts w:hint="default" w:eastAsia="宋体"/>
                      <w:lang w:val="en-US" w:eastAsia="zh-CN"/>
                    </w:rPr>
                  </w:pPr>
                  <w:r>
                    <w:rPr>
                      <w:rFonts w:hint="eastAsia"/>
                      <w:lang w:val="en-US" w:eastAsia="zh-CN"/>
                    </w:rPr>
                    <w:t>0</w:t>
                  </w:r>
                </w:p>
              </w:tc>
              <w:tc>
                <w:tcPr>
                  <w:tcW w:w="333" w:type="pct"/>
                  <w:vAlign w:val="center"/>
                </w:tcPr>
                <w:p w14:paraId="45E3D918">
                  <w:pPr>
                    <w:pStyle w:val="49"/>
                    <w:keepNext w:val="0"/>
                    <w:keepLines w:val="0"/>
                    <w:pageBreakBefore w:val="0"/>
                    <w:widowControl w:val="0"/>
                    <w:kinsoku/>
                    <w:wordWrap/>
                    <w:overflowPunct/>
                    <w:topLinePunct w:val="0"/>
                    <w:autoSpaceDE/>
                    <w:autoSpaceDN/>
                    <w:bidi w:val="0"/>
                    <w:adjustRightInd/>
                    <w:snapToGrid w:val="0"/>
                    <w:textAlignment w:val="auto"/>
                    <w:rPr>
                      <w:rFonts w:hint="default" w:eastAsia="宋体"/>
                      <w:lang w:val="en-US" w:eastAsia="zh-CN"/>
                    </w:rPr>
                  </w:pPr>
                  <w:r>
                    <w:rPr>
                      <w:rFonts w:hint="eastAsia"/>
                      <w:lang w:val="en-US" w:eastAsia="zh-CN"/>
                    </w:rPr>
                    <w:t>-360</w:t>
                  </w:r>
                </w:p>
              </w:tc>
              <w:tc>
                <w:tcPr>
                  <w:tcW w:w="657" w:type="pct"/>
                  <w:vAlign w:val="center"/>
                </w:tcPr>
                <w:p w14:paraId="4A142E5B">
                  <w:pPr>
                    <w:pStyle w:val="49"/>
                    <w:keepNext w:val="0"/>
                    <w:keepLines w:val="0"/>
                    <w:pageBreakBefore w:val="0"/>
                    <w:widowControl w:val="0"/>
                    <w:kinsoku/>
                    <w:wordWrap/>
                    <w:overflowPunct/>
                    <w:topLinePunct w:val="0"/>
                    <w:autoSpaceDE/>
                    <w:autoSpaceDN/>
                    <w:bidi w:val="0"/>
                    <w:adjustRightInd/>
                    <w:snapToGrid w:val="0"/>
                    <w:textAlignment w:val="auto"/>
                    <w:rPr>
                      <w:rFonts w:hint="default" w:eastAsia="宋体"/>
                      <w:lang w:val="en-US" w:eastAsia="zh-CN"/>
                    </w:rPr>
                  </w:pPr>
                  <w:r>
                    <w:rPr>
                      <w:rFonts w:hint="eastAsia"/>
                      <w:highlight w:val="none"/>
                      <w:lang w:val="en-US" w:eastAsia="zh-CN"/>
                    </w:rPr>
                    <w:t>瓦窑垄</w:t>
                  </w:r>
                </w:p>
              </w:tc>
              <w:tc>
                <w:tcPr>
                  <w:tcW w:w="603" w:type="pct"/>
                  <w:vAlign w:val="center"/>
                </w:tcPr>
                <w:p w14:paraId="5784C995">
                  <w:pPr>
                    <w:pStyle w:val="49"/>
                    <w:keepNext w:val="0"/>
                    <w:keepLines w:val="0"/>
                    <w:pageBreakBefore w:val="0"/>
                    <w:widowControl w:val="0"/>
                    <w:kinsoku/>
                    <w:wordWrap/>
                    <w:overflowPunct/>
                    <w:topLinePunct w:val="0"/>
                    <w:autoSpaceDE/>
                    <w:autoSpaceDN/>
                    <w:bidi w:val="0"/>
                    <w:adjustRightInd/>
                    <w:snapToGrid w:val="0"/>
                    <w:textAlignment w:val="auto"/>
                  </w:pPr>
                  <w:r>
                    <w:t>居住区</w:t>
                  </w:r>
                </w:p>
              </w:tc>
              <w:tc>
                <w:tcPr>
                  <w:tcW w:w="499" w:type="pct"/>
                  <w:vAlign w:val="center"/>
                </w:tcPr>
                <w:p w14:paraId="2F1674F8">
                  <w:pPr>
                    <w:pStyle w:val="49"/>
                    <w:keepNext w:val="0"/>
                    <w:keepLines w:val="0"/>
                    <w:pageBreakBefore w:val="0"/>
                    <w:widowControl w:val="0"/>
                    <w:kinsoku/>
                    <w:wordWrap/>
                    <w:overflowPunct/>
                    <w:topLinePunct w:val="0"/>
                    <w:autoSpaceDE/>
                    <w:autoSpaceDN/>
                    <w:bidi w:val="0"/>
                    <w:adjustRightInd/>
                    <w:snapToGrid w:val="0"/>
                    <w:textAlignment w:val="auto"/>
                  </w:pPr>
                  <w:r>
                    <w:t>二类区</w:t>
                  </w:r>
                </w:p>
              </w:tc>
              <w:tc>
                <w:tcPr>
                  <w:tcW w:w="588" w:type="pct"/>
                  <w:vAlign w:val="center"/>
                </w:tcPr>
                <w:p w14:paraId="507CA8C6">
                  <w:pPr>
                    <w:pStyle w:val="49"/>
                    <w:keepNext w:val="0"/>
                    <w:keepLines w:val="0"/>
                    <w:pageBreakBefore w:val="0"/>
                    <w:widowControl w:val="0"/>
                    <w:kinsoku/>
                    <w:wordWrap/>
                    <w:overflowPunct/>
                    <w:topLinePunct w:val="0"/>
                    <w:autoSpaceDE/>
                    <w:autoSpaceDN/>
                    <w:bidi w:val="0"/>
                    <w:adjustRightInd/>
                    <w:snapToGrid w:val="0"/>
                    <w:textAlignment w:val="auto"/>
                    <w:rPr>
                      <w:rFonts w:hint="default"/>
                      <w:color w:val="FF0000"/>
                      <w:lang w:val="en-US" w:eastAsia="zh-CN"/>
                    </w:rPr>
                  </w:pPr>
                  <w:r>
                    <w:rPr>
                      <w:rFonts w:hint="eastAsia"/>
                      <w:color w:val="FF0000"/>
                      <w:lang w:val="en-US" w:eastAsia="zh-CN"/>
                    </w:rPr>
                    <w:t>340</w:t>
                  </w:r>
                </w:p>
              </w:tc>
              <w:tc>
                <w:tcPr>
                  <w:tcW w:w="617" w:type="pct"/>
                  <w:vAlign w:val="center"/>
                </w:tcPr>
                <w:p w14:paraId="12DCE784">
                  <w:pPr>
                    <w:pStyle w:val="49"/>
                    <w:keepNext w:val="0"/>
                    <w:keepLines w:val="0"/>
                    <w:pageBreakBefore w:val="0"/>
                    <w:widowControl w:val="0"/>
                    <w:kinsoku/>
                    <w:wordWrap/>
                    <w:overflowPunct/>
                    <w:topLinePunct w:val="0"/>
                    <w:autoSpaceDE/>
                    <w:autoSpaceDN/>
                    <w:bidi w:val="0"/>
                    <w:adjustRightInd/>
                    <w:snapToGrid w:val="0"/>
                    <w:textAlignment w:val="auto"/>
                    <w:rPr>
                      <w:rFonts w:hint="default"/>
                      <w:color w:val="FF0000"/>
                      <w:lang w:val="en-US" w:eastAsia="zh-CN"/>
                    </w:rPr>
                  </w:pPr>
                  <w:r>
                    <w:rPr>
                      <w:rFonts w:hint="eastAsia"/>
                      <w:color w:val="FF0000"/>
                      <w:lang w:val="en-US" w:eastAsia="zh-CN"/>
                    </w:rPr>
                    <w:t>342</w:t>
                  </w:r>
                </w:p>
              </w:tc>
              <w:tc>
                <w:tcPr>
                  <w:tcW w:w="477" w:type="pct"/>
                  <w:vAlign w:val="center"/>
                </w:tcPr>
                <w:p w14:paraId="3C51BBE6">
                  <w:pPr>
                    <w:pStyle w:val="49"/>
                    <w:keepNext w:val="0"/>
                    <w:keepLines w:val="0"/>
                    <w:pageBreakBefore w:val="0"/>
                    <w:widowControl w:val="0"/>
                    <w:kinsoku/>
                    <w:wordWrap/>
                    <w:overflowPunct/>
                    <w:topLinePunct w:val="0"/>
                    <w:autoSpaceDE/>
                    <w:autoSpaceDN/>
                    <w:bidi w:val="0"/>
                    <w:adjustRightInd/>
                    <w:snapToGrid w:val="0"/>
                    <w:textAlignment w:val="auto"/>
                    <w:rPr>
                      <w:rFonts w:hint="default"/>
                      <w:lang w:val="en-US"/>
                    </w:rPr>
                  </w:pPr>
                  <w:r>
                    <w:rPr>
                      <w:rFonts w:hint="eastAsia"/>
                      <w:lang w:val="en-US" w:eastAsia="zh-CN"/>
                    </w:rPr>
                    <w:t>南面</w:t>
                  </w:r>
                </w:p>
              </w:tc>
              <w:tc>
                <w:tcPr>
                  <w:tcW w:w="591" w:type="pct"/>
                  <w:vAlign w:val="center"/>
                </w:tcPr>
                <w:p w14:paraId="3DADAE6A">
                  <w:pPr>
                    <w:pStyle w:val="49"/>
                    <w:keepNext w:val="0"/>
                    <w:keepLines w:val="0"/>
                    <w:pageBreakBefore w:val="0"/>
                    <w:widowControl w:val="0"/>
                    <w:kinsoku/>
                    <w:wordWrap/>
                    <w:overflowPunct/>
                    <w:topLinePunct w:val="0"/>
                    <w:autoSpaceDE/>
                    <w:autoSpaceDN/>
                    <w:bidi w:val="0"/>
                    <w:adjustRightInd/>
                    <w:snapToGrid w:val="0"/>
                    <w:textAlignment w:val="auto"/>
                    <w:rPr>
                      <w:rFonts w:hint="default" w:eastAsia="宋体"/>
                      <w:lang w:val="en-US" w:eastAsia="zh-CN"/>
                    </w:rPr>
                  </w:pPr>
                  <w:r>
                    <w:rPr>
                      <w:rFonts w:hint="eastAsia"/>
                      <w:lang w:val="en-US" w:eastAsia="zh-CN"/>
                    </w:rPr>
                    <w:t>319</w:t>
                  </w:r>
                </w:p>
              </w:tc>
            </w:tr>
            <w:tr w14:paraId="03024A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9" w:type="pct"/>
                  <w:vMerge w:val="continue"/>
                  <w:vAlign w:val="center"/>
                </w:tcPr>
                <w:p w14:paraId="4FC4E17F">
                  <w:pPr>
                    <w:pStyle w:val="49"/>
                    <w:keepNext w:val="0"/>
                    <w:keepLines w:val="0"/>
                    <w:pageBreakBefore w:val="0"/>
                    <w:widowControl w:val="0"/>
                    <w:kinsoku/>
                    <w:wordWrap/>
                    <w:overflowPunct/>
                    <w:topLinePunct w:val="0"/>
                    <w:autoSpaceDE/>
                    <w:autoSpaceDN/>
                    <w:bidi w:val="0"/>
                    <w:adjustRightInd/>
                    <w:snapToGrid w:val="0"/>
                    <w:textAlignment w:val="auto"/>
                  </w:pPr>
                </w:p>
              </w:tc>
              <w:tc>
                <w:tcPr>
                  <w:tcW w:w="331" w:type="pct"/>
                  <w:vAlign w:val="center"/>
                </w:tcPr>
                <w:p w14:paraId="0AD22DE1">
                  <w:pPr>
                    <w:pStyle w:val="49"/>
                    <w:keepNext w:val="0"/>
                    <w:keepLines w:val="0"/>
                    <w:pageBreakBefore w:val="0"/>
                    <w:widowControl w:val="0"/>
                    <w:kinsoku/>
                    <w:wordWrap/>
                    <w:overflowPunct/>
                    <w:topLinePunct w:val="0"/>
                    <w:autoSpaceDE/>
                    <w:autoSpaceDN/>
                    <w:bidi w:val="0"/>
                    <w:adjustRightInd/>
                    <w:snapToGrid w:val="0"/>
                    <w:textAlignment w:val="auto"/>
                    <w:rPr>
                      <w:rFonts w:hint="default"/>
                      <w:lang w:val="en-US" w:eastAsia="zh-CN"/>
                    </w:rPr>
                  </w:pPr>
                  <w:r>
                    <w:rPr>
                      <w:rFonts w:hint="eastAsia"/>
                      <w:lang w:val="en-US" w:eastAsia="zh-CN"/>
                    </w:rPr>
                    <w:t>270</w:t>
                  </w:r>
                </w:p>
              </w:tc>
              <w:tc>
                <w:tcPr>
                  <w:tcW w:w="333" w:type="pct"/>
                  <w:vAlign w:val="center"/>
                </w:tcPr>
                <w:p w14:paraId="4A0C32BA">
                  <w:pPr>
                    <w:pStyle w:val="49"/>
                    <w:keepNext w:val="0"/>
                    <w:keepLines w:val="0"/>
                    <w:pageBreakBefore w:val="0"/>
                    <w:widowControl w:val="0"/>
                    <w:kinsoku/>
                    <w:wordWrap/>
                    <w:overflowPunct/>
                    <w:topLinePunct w:val="0"/>
                    <w:autoSpaceDE/>
                    <w:autoSpaceDN/>
                    <w:bidi w:val="0"/>
                    <w:adjustRightInd/>
                    <w:snapToGrid w:val="0"/>
                    <w:textAlignment w:val="auto"/>
                    <w:rPr>
                      <w:rFonts w:hint="default"/>
                      <w:lang w:val="en-US" w:eastAsia="zh-CN"/>
                    </w:rPr>
                  </w:pPr>
                  <w:r>
                    <w:rPr>
                      <w:rFonts w:hint="eastAsia"/>
                      <w:lang w:val="en-US" w:eastAsia="zh-CN"/>
                    </w:rPr>
                    <w:t>-250</w:t>
                  </w:r>
                </w:p>
              </w:tc>
              <w:tc>
                <w:tcPr>
                  <w:tcW w:w="657" w:type="pct"/>
                  <w:vAlign w:val="center"/>
                </w:tcPr>
                <w:p w14:paraId="0616B3F5">
                  <w:pPr>
                    <w:pStyle w:val="49"/>
                    <w:keepNext w:val="0"/>
                    <w:keepLines w:val="0"/>
                    <w:pageBreakBefore w:val="0"/>
                    <w:widowControl w:val="0"/>
                    <w:kinsoku/>
                    <w:wordWrap/>
                    <w:overflowPunct/>
                    <w:topLinePunct w:val="0"/>
                    <w:autoSpaceDE/>
                    <w:autoSpaceDN/>
                    <w:bidi w:val="0"/>
                    <w:adjustRightInd/>
                    <w:snapToGrid w:val="0"/>
                    <w:textAlignment w:val="auto"/>
                    <w:rPr>
                      <w:rFonts w:hint="default"/>
                      <w:lang w:val="en-US" w:eastAsia="zh-CN"/>
                    </w:rPr>
                  </w:pPr>
                  <w:r>
                    <w:rPr>
                      <w:rFonts w:hint="eastAsia"/>
                      <w:lang w:val="en-US" w:eastAsia="zh-CN"/>
                    </w:rPr>
                    <w:t>吴家凹</w:t>
                  </w:r>
                </w:p>
              </w:tc>
              <w:tc>
                <w:tcPr>
                  <w:tcW w:w="603" w:type="pct"/>
                  <w:vAlign w:val="center"/>
                </w:tcPr>
                <w:p w14:paraId="583E926D">
                  <w:pPr>
                    <w:pStyle w:val="49"/>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r>
                    <w:t>居住区</w:t>
                  </w:r>
                </w:p>
              </w:tc>
              <w:tc>
                <w:tcPr>
                  <w:tcW w:w="499" w:type="pct"/>
                  <w:vAlign w:val="center"/>
                </w:tcPr>
                <w:p w14:paraId="7D7EC383">
                  <w:pPr>
                    <w:pStyle w:val="49"/>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r>
                    <w:t>二类区</w:t>
                  </w:r>
                </w:p>
              </w:tc>
              <w:tc>
                <w:tcPr>
                  <w:tcW w:w="588" w:type="pct"/>
                  <w:vAlign w:val="center"/>
                </w:tcPr>
                <w:p w14:paraId="060B359A">
                  <w:pPr>
                    <w:pStyle w:val="49"/>
                    <w:keepNext w:val="0"/>
                    <w:keepLines w:val="0"/>
                    <w:pageBreakBefore w:val="0"/>
                    <w:widowControl w:val="0"/>
                    <w:kinsoku/>
                    <w:wordWrap/>
                    <w:overflowPunct/>
                    <w:topLinePunct w:val="0"/>
                    <w:autoSpaceDE/>
                    <w:autoSpaceDN/>
                    <w:bidi w:val="0"/>
                    <w:adjustRightInd/>
                    <w:snapToGrid w:val="0"/>
                    <w:textAlignment w:val="auto"/>
                    <w:rPr>
                      <w:rFonts w:hint="default"/>
                      <w:color w:val="FF0000"/>
                      <w:lang w:val="en-US" w:eastAsia="zh-CN"/>
                    </w:rPr>
                  </w:pPr>
                  <w:r>
                    <w:rPr>
                      <w:rFonts w:hint="eastAsia"/>
                      <w:color w:val="FF0000"/>
                      <w:lang w:val="en-US" w:eastAsia="zh-CN"/>
                    </w:rPr>
                    <w:t>329</w:t>
                  </w:r>
                </w:p>
              </w:tc>
              <w:tc>
                <w:tcPr>
                  <w:tcW w:w="617" w:type="pct"/>
                  <w:vAlign w:val="center"/>
                </w:tcPr>
                <w:p w14:paraId="46330A9F">
                  <w:pPr>
                    <w:pStyle w:val="49"/>
                    <w:keepNext w:val="0"/>
                    <w:keepLines w:val="0"/>
                    <w:pageBreakBefore w:val="0"/>
                    <w:widowControl w:val="0"/>
                    <w:kinsoku/>
                    <w:wordWrap/>
                    <w:overflowPunct/>
                    <w:topLinePunct w:val="0"/>
                    <w:autoSpaceDE/>
                    <w:autoSpaceDN/>
                    <w:bidi w:val="0"/>
                    <w:adjustRightInd/>
                    <w:snapToGrid w:val="0"/>
                    <w:textAlignment w:val="auto"/>
                    <w:rPr>
                      <w:rFonts w:hint="default"/>
                      <w:color w:val="FF0000"/>
                      <w:lang w:val="en-US" w:eastAsia="zh-CN"/>
                    </w:rPr>
                  </w:pPr>
                  <w:r>
                    <w:rPr>
                      <w:rFonts w:hint="eastAsia"/>
                      <w:color w:val="FF0000"/>
                      <w:lang w:val="en-US" w:eastAsia="zh-CN"/>
                    </w:rPr>
                    <w:t>324</w:t>
                  </w:r>
                </w:p>
              </w:tc>
              <w:tc>
                <w:tcPr>
                  <w:tcW w:w="477" w:type="pct"/>
                  <w:vAlign w:val="center"/>
                </w:tcPr>
                <w:p w14:paraId="03477F63">
                  <w:pPr>
                    <w:pStyle w:val="49"/>
                    <w:keepNext w:val="0"/>
                    <w:keepLines w:val="0"/>
                    <w:pageBreakBefore w:val="0"/>
                    <w:widowControl w:val="0"/>
                    <w:kinsoku/>
                    <w:wordWrap/>
                    <w:overflowPunct/>
                    <w:topLinePunct w:val="0"/>
                    <w:autoSpaceDE/>
                    <w:autoSpaceDN/>
                    <w:bidi w:val="0"/>
                    <w:adjustRightInd/>
                    <w:snapToGrid w:val="0"/>
                    <w:textAlignment w:val="auto"/>
                    <w:rPr>
                      <w:rFonts w:hint="default"/>
                      <w:lang w:val="en-US" w:eastAsia="zh-CN"/>
                    </w:rPr>
                  </w:pPr>
                  <w:r>
                    <w:rPr>
                      <w:rFonts w:hint="eastAsia"/>
                      <w:lang w:val="en-US" w:eastAsia="zh-CN"/>
                    </w:rPr>
                    <w:t>东南面</w:t>
                  </w:r>
                </w:p>
              </w:tc>
              <w:tc>
                <w:tcPr>
                  <w:tcW w:w="591" w:type="pct"/>
                  <w:vAlign w:val="center"/>
                </w:tcPr>
                <w:p w14:paraId="68F675F0">
                  <w:pPr>
                    <w:pStyle w:val="49"/>
                    <w:keepNext w:val="0"/>
                    <w:keepLines w:val="0"/>
                    <w:pageBreakBefore w:val="0"/>
                    <w:widowControl w:val="0"/>
                    <w:kinsoku/>
                    <w:wordWrap/>
                    <w:overflowPunct/>
                    <w:topLinePunct w:val="0"/>
                    <w:autoSpaceDE/>
                    <w:autoSpaceDN/>
                    <w:bidi w:val="0"/>
                    <w:adjustRightInd/>
                    <w:snapToGrid w:val="0"/>
                    <w:textAlignment w:val="auto"/>
                    <w:rPr>
                      <w:rFonts w:hint="default"/>
                      <w:lang w:val="en-US" w:eastAsia="zh-CN"/>
                    </w:rPr>
                  </w:pPr>
                  <w:r>
                    <w:rPr>
                      <w:rFonts w:hint="eastAsia"/>
                      <w:lang w:val="en-US" w:eastAsia="zh-CN"/>
                    </w:rPr>
                    <w:t>302</w:t>
                  </w:r>
                </w:p>
              </w:tc>
            </w:tr>
            <w:tr w14:paraId="542564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9" w:type="pct"/>
                  <w:vMerge w:val="continue"/>
                  <w:vAlign w:val="center"/>
                </w:tcPr>
                <w:p w14:paraId="72DF8BD3">
                  <w:pPr>
                    <w:pStyle w:val="49"/>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p>
              </w:tc>
              <w:tc>
                <w:tcPr>
                  <w:tcW w:w="331" w:type="pct"/>
                  <w:vAlign w:val="center"/>
                </w:tcPr>
                <w:p w14:paraId="3020F9D6">
                  <w:pPr>
                    <w:pStyle w:val="49"/>
                    <w:keepNext w:val="0"/>
                    <w:keepLines w:val="0"/>
                    <w:pageBreakBefore w:val="0"/>
                    <w:widowControl w:val="0"/>
                    <w:kinsoku/>
                    <w:wordWrap/>
                    <w:overflowPunct/>
                    <w:topLinePunct w:val="0"/>
                    <w:autoSpaceDE/>
                    <w:autoSpaceDN/>
                    <w:bidi w:val="0"/>
                    <w:adjustRightInd/>
                    <w:snapToGrid w:val="0"/>
                    <w:textAlignment w:val="auto"/>
                    <w:rPr>
                      <w:rFonts w:hint="default"/>
                      <w:lang w:val="en-US" w:eastAsia="zh-CN"/>
                    </w:rPr>
                  </w:pPr>
                  <w:r>
                    <w:rPr>
                      <w:rFonts w:hint="eastAsia"/>
                      <w:lang w:val="en-US" w:eastAsia="zh-CN"/>
                    </w:rPr>
                    <w:t>397</w:t>
                  </w:r>
                </w:p>
              </w:tc>
              <w:tc>
                <w:tcPr>
                  <w:tcW w:w="333" w:type="pct"/>
                  <w:vAlign w:val="center"/>
                </w:tcPr>
                <w:p w14:paraId="2EAFE765">
                  <w:pPr>
                    <w:pStyle w:val="49"/>
                    <w:keepNext w:val="0"/>
                    <w:keepLines w:val="0"/>
                    <w:pageBreakBefore w:val="0"/>
                    <w:widowControl w:val="0"/>
                    <w:kinsoku/>
                    <w:wordWrap/>
                    <w:overflowPunct/>
                    <w:topLinePunct w:val="0"/>
                    <w:autoSpaceDE/>
                    <w:autoSpaceDN/>
                    <w:bidi w:val="0"/>
                    <w:adjustRightInd/>
                    <w:snapToGrid w:val="0"/>
                    <w:textAlignment w:val="auto"/>
                    <w:rPr>
                      <w:rFonts w:hint="default"/>
                      <w:lang w:val="en-US" w:eastAsia="zh-CN"/>
                    </w:rPr>
                  </w:pPr>
                  <w:r>
                    <w:rPr>
                      <w:rFonts w:hint="eastAsia"/>
                      <w:lang w:val="en-US" w:eastAsia="zh-CN"/>
                    </w:rPr>
                    <w:t>-154</w:t>
                  </w:r>
                </w:p>
              </w:tc>
              <w:tc>
                <w:tcPr>
                  <w:tcW w:w="657" w:type="pct"/>
                  <w:vAlign w:val="center"/>
                </w:tcPr>
                <w:p w14:paraId="4D4C97F1">
                  <w:pPr>
                    <w:pStyle w:val="49"/>
                    <w:keepNext w:val="0"/>
                    <w:keepLines w:val="0"/>
                    <w:pageBreakBefore w:val="0"/>
                    <w:widowControl w:val="0"/>
                    <w:kinsoku/>
                    <w:wordWrap/>
                    <w:overflowPunct/>
                    <w:topLinePunct w:val="0"/>
                    <w:autoSpaceDE/>
                    <w:autoSpaceDN/>
                    <w:bidi w:val="0"/>
                    <w:adjustRightInd/>
                    <w:snapToGrid w:val="0"/>
                    <w:textAlignment w:val="auto"/>
                    <w:rPr>
                      <w:rFonts w:hint="default"/>
                      <w:lang w:val="en-US" w:eastAsia="zh-CN"/>
                    </w:rPr>
                  </w:pPr>
                  <w:r>
                    <w:rPr>
                      <w:rFonts w:hint="eastAsia"/>
                      <w:lang w:val="en-US" w:eastAsia="zh-CN"/>
                    </w:rPr>
                    <w:t>姚家</w:t>
                  </w:r>
                </w:p>
              </w:tc>
              <w:tc>
                <w:tcPr>
                  <w:tcW w:w="603" w:type="pct"/>
                  <w:vAlign w:val="center"/>
                </w:tcPr>
                <w:p w14:paraId="65CF3B43">
                  <w:pPr>
                    <w:pStyle w:val="49"/>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r>
                    <w:t>居住区</w:t>
                  </w:r>
                </w:p>
              </w:tc>
              <w:tc>
                <w:tcPr>
                  <w:tcW w:w="499" w:type="pct"/>
                  <w:vAlign w:val="center"/>
                </w:tcPr>
                <w:p w14:paraId="34F196D2">
                  <w:pPr>
                    <w:pStyle w:val="49"/>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r>
                    <w:t>二类区</w:t>
                  </w:r>
                </w:p>
              </w:tc>
              <w:tc>
                <w:tcPr>
                  <w:tcW w:w="588" w:type="pct"/>
                  <w:vAlign w:val="center"/>
                </w:tcPr>
                <w:p w14:paraId="0316474B">
                  <w:pPr>
                    <w:pStyle w:val="49"/>
                    <w:keepNext w:val="0"/>
                    <w:keepLines w:val="0"/>
                    <w:pageBreakBefore w:val="0"/>
                    <w:widowControl w:val="0"/>
                    <w:kinsoku/>
                    <w:wordWrap/>
                    <w:overflowPunct/>
                    <w:topLinePunct w:val="0"/>
                    <w:autoSpaceDE/>
                    <w:autoSpaceDN/>
                    <w:bidi w:val="0"/>
                    <w:adjustRightInd/>
                    <w:snapToGrid w:val="0"/>
                    <w:textAlignment w:val="auto"/>
                    <w:rPr>
                      <w:rFonts w:hint="default"/>
                      <w:color w:val="FF0000"/>
                      <w:lang w:val="en-US" w:eastAsia="zh-CN"/>
                    </w:rPr>
                  </w:pPr>
                  <w:r>
                    <w:rPr>
                      <w:rFonts w:hint="eastAsia"/>
                      <w:color w:val="FF0000"/>
                      <w:lang w:val="en-US" w:eastAsia="zh-CN"/>
                    </w:rPr>
                    <w:t>385</w:t>
                  </w:r>
                </w:p>
              </w:tc>
              <w:tc>
                <w:tcPr>
                  <w:tcW w:w="617" w:type="pct"/>
                  <w:vAlign w:val="center"/>
                </w:tcPr>
                <w:p w14:paraId="77AC3E52">
                  <w:pPr>
                    <w:pStyle w:val="49"/>
                    <w:keepNext w:val="0"/>
                    <w:keepLines w:val="0"/>
                    <w:pageBreakBefore w:val="0"/>
                    <w:widowControl w:val="0"/>
                    <w:kinsoku/>
                    <w:wordWrap/>
                    <w:overflowPunct/>
                    <w:topLinePunct w:val="0"/>
                    <w:autoSpaceDE/>
                    <w:autoSpaceDN/>
                    <w:bidi w:val="0"/>
                    <w:adjustRightInd/>
                    <w:snapToGrid w:val="0"/>
                    <w:textAlignment w:val="auto"/>
                    <w:rPr>
                      <w:rFonts w:hint="default"/>
                      <w:color w:val="FF0000"/>
                      <w:lang w:val="en-US" w:eastAsia="zh-CN"/>
                    </w:rPr>
                  </w:pPr>
                  <w:r>
                    <w:rPr>
                      <w:rFonts w:hint="eastAsia"/>
                      <w:color w:val="FF0000"/>
                      <w:lang w:val="en-US" w:eastAsia="zh-CN"/>
                    </w:rPr>
                    <w:t>378</w:t>
                  </w:r>
                </w:p>
              </w:tc>
              <w:tc>
                <w:tcPr>
                  <w:tcW w:w="477" w:type="pct"/>
                  <w:vAlign w:val="center"/>
                </w:tcPr>
                <w:p w14:paraId="76F00953">
                  <w:pPr>
                    <w:pStyle w:val="49"/>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r>
                    <w:rPr>
                      <w:rFonts w:hint="eastAsia"/>
                      <w:lang w:val="en-US" w:eastAsia="zh-CN"/>
                    </w:rPr>
                    <w:t>东南面</w:t>
                  </w:r>
                </w:p>
              </w:tc>
              <w:tc>
                <w:tcPr>
                  <w:tcW w:w="591" w:type="pct"/>
                  <w:vAlign w:val="center"/>
                </w:tcPr>
                <w:p w14:paraId="7531A899">
                  <w:pPr>
                    <w:pStyle w:val="49"/>
                    <w:keepNext w:val="0"/>
                    <w:keepLines w:val="0"/>
                    <w:pageBreakBefore w:val="0"/>
                    <w:widowControl w:val="0"/>
                    <w:kinsoku/>
                    <w:wordWrap/>
                    <w:overflowPunct/>
                    <w:topLinePunct w:val="0"/>
                    <w:autoSpaceDE/>
                    <w:autoSpaceDN/>
                    <w:bidi w:val="0"/>
                    <w:adjustRightInd/>
                    <w:snapToGrid w:val="0"/>
                    <w:textAlignment w:val="auto"/>
                    <w:rPr>
                      <w:rFonts w:hint="default"/>
                      <w:lang w:val="en-US" w:eastAsia="zh-CN"/>
                    </w:rPr>
                  </w:pPr>
                  <w:r>
                    <w:rPr>
                      <w:rFonts w:hint="eastAsia"/>
                      <w:lang w:val="en-US" w:eastAsia="zh-CN"/>
                    </w:rPr>
                    <w:t>362</w:t>
                  </w:r>
                </w:p>
              </w:tc>
            </w:tr>
            <w:tr w14:paraId="4903CE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9" w:type="pct"/>
                  <w:vMerge w:val="continue"/>
                  <w:vAlign w:val="center"/>
                </w:tcPr>
                <w:p w14:paraId="73B1E3FA">
                  <w:pPr>
                    <w:pStyle w:val="49"/>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p>
              </w:tc>
              <w:tc>
                <w:tcPr>
                  <w:tcW w:w="331" w:type="pct"/>
                  <w:vAlign w:val="center"/>
                </w:tcPr>
                <w:p w14:paraId="128DE49F">
                  <w:pPr>
                    <w:pStyle w:val="49"/>
                    <w:keepNext w:val="0"/>
                    <w:keepLines w:val="0"/>
                    <w:pageBreakBefore w:val="0"/>
                    <w:widowControl w:val="0"/>
                    <w:kinsoku/>
                    <w:wordWrap/>
                    <w:overflowPunct/>
                    <w:topLinePunct w:val="0"/>
                    <w:autoSpaceDE/>
                    <w:autoSpaceDN/>
                    <w:bidi w:val="0"/>
                    <w:adjustRightInd/>
                    <w:snapToGrid w:val="0"/>
                    <w:textAlignment w:val="auto"/>
                    <w:rPr>
                      <w:rFonts w:hint="default"/>
                      <w:lang w:val="en-US" w:eastAsia="zh-CN"/>
                    </w:rPr>
                  </w:pPr>
                  <w:r>
                    <w:rPr>
                      <w:rFonts w:hint="eastAsia"/>
                      <w:lang w:val="en-US" w:eastAsia="zh-CN"/>
                    </w:rPr>
                    <w:t>554</w:t>
                  </w:r>
                </w:p>
              </w:tc>
              <w:tc>
                <w:tcPr>
                  <w:tcW w:w="333" w:type="pct"/>
                  <w:vAlign w:val="center"/>
                </w:tcPr>
                <w:p w14:paraId="431EBD94">
                  <w:pPr>
                    <w:pStyle w:val="49"/>
                    <w:keepNext w:val="0"/>
                    <w:keepLines w:val="0"/>
                    <w:pageBreakBefore w:val="0"/>
                    <w:widowControl w:val="0"/>
                    <w:kinsoku/>
                    <w:wordWrap/>
                    <w:overflowPunct/>
                    <w:topLinePunct w:val="0"/>
                    <w:autoSpaceDE/>
                    <w:autoSpaceDN/>
                    <w:bidi w:val="0"/>
                    <w:adjustRightInd/>
                    <w:snapToGrid w:val="0"/>
                    <w:textAlignment w:val="auto"/>
                    <w:rPr>
                      <w:rFonts w:hint="default"/>
                      <w:lang w:val="en-US" w:eastAsia="zh-CN"/>
                    </w:rPr>
                  </w:pPr>
                  <w:r>
                    <w:rPr>
                      <w:rFonts w:hint="eastAsia"/>
                      <w:lang w:val="en-US" w:eastAsia="zh-CN"/>
                    </w:rPr>
                    <w:t>-42</w:t>
                  </w:r>
                </w:p>
              </w:tc>
              <w:tc>
                <w:tcPr>
                  <w:tcW w:w="657" w:type="pct"/>
                  <w:vAlign w:val="center"/>
                </w:tcPr>
                <w:p w14:paraId="2DC1C98D">
                  <w:pPr>
                    <w:pStyle w:val="49"/>
                    <w:keepNext w:val="0"/>
                    <w:keepLines w:val="0"/>
                    <w:pageBreakBefore w:val="0"/>
                    <w:widowControl w:val="0"/>
                    <w:kinsoku/>
                    <w:wordWrap/>
                    <w:overflowPunct/>
                    <w:topLinePunct w:val="0"/>
                    <w:autoSpaceDE/>
                    <w:autoSpaceDN/>
                    <w:bidi w:val="0"/>
                    <w:adjustRightInd/>
                    <w:snapToGrid w:val="0"/>
                    <w:textAlignment w:val="auto"/>
                    <w:rPr>
                      <w:rFonts w:hint="default"/>
                      <w:lang w:val="en-US" w:eastAsia="zh-CN"/>
                    </w:rPr>
                  </w:pPr>
                  <w:r>
                    <w:rPr>
                      <w:rFonts w:hint="eastAsia"/>
                      <w:lang w:val="en-US" w:eastAsia="zh-CN"/>
                    </w:rPr>
                    <w:t>管家大屋</w:t>
                  </w:r>
                </w:p>
              </w:tc>
              <w:tc>
                <w:tcPr>
                  <w:tcW w:w="603" w:type="pct"/>
                  <w:vAlign w:val="center"/>
                </w:tcPr>
                <w:p w14:paraId="2448CE84">
                  <w:pPr>
                    <w:pStyle w:val="49"/>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r>
                    <w:t>居住区</w:t>
                  </w:r>
                </w:p>
              </w:tc>
              <w:tc>
                <w:tcPr>
                  <w:tcW w:w="499" w:type="pct"/>
                  <w:vAlign w:val="center"/>
                </w:tcPr>
                <w:p w14:paraId="1FA091C6">
                  <w:pPr>
                    <w:pStyle w:val="49"/>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r>
                    <w:t>二类区</w:t>
                  </w:r>
                </w:p>
              </w:tc>
              <w:tc>
                <w:tcPr>
                  <w:tcW w:w="588" w:type="pct"/>
                  <w:vAlign w:val="center"/>
                </w:tcPr>
                <w:p w14:paraId="2A5EA03C">
                  <w:pPr>
                    <w:pStyle w:val="49"/>
                    <w:keepNext w:val="0"/>
                    <w:keepLines w:val="0"/>
                    <w:pageBreakBefore w:val="0"/>
                    <w:widowControl w:val="0"/>
                    <w:kinsoku/>
                    <w:wordWrap/>
                    <w:overflowPunct/>
                    <w:topLinePunct w:val="0"/>
                    <w:autoSpaceDE/>
                    <w:autoSpaceDN/>
                    <w:bidi w:val="0"/>
                    <w:adjustRightInd/>
                    <w:snapToGrid w:val="0"/>
                    <w:textAlignment w:val="auto"/>
                    <w:rPr>
                      <w:rFonts w:hint="default"/>
                      <w:color w:val="FF0000"/>
                      <w:lang w:val="en-US" w:eastAsia="zh-CN"/>
                    </w:rPr>
                  </w:pPr>
                  <w:r>
                    <w:rPr>
                      <w:rFonts w:hint="eastAsia"/>
                      <w:color w:val="FF0000"/>
                      <w:lang w:val="en-US" w:eastAsia="zh-CN"/>
                    </w:rPr>
                    <w:t>521</w:t>
                  </w:r>
                </w:p>
              </w:tc>
              <w:tc>
                <w:tcPr>
                  <w:tcW w:w="617" w:type="pct"/>
                  <w:vAlign w:val="center"/>
                </w:tcPr>
                <w:p w14:paraId="7C95848E">
                  <w:pPr>
                    <w:pStyle w:val="49"/>
                    <w:keepNext w:val="0"/>
                    <w:keepLines w:val="0"/>
                    <w:pageBreakBefore w:val="0"/>
                    <w:widowControl w:val="0"/>
                    <w:kinsoku/>
                    <w:wordWrap/>
                    <w:overflowPunct/>
                    <w:topLinePunct w:val="0"/>
                    <w:autoSpaceDE/>
                    <w:autoSpaceDN/>
                    <w:bidi w:val="0"/>
                    <w:adjustRightInd/>
                    <w:snapToGrid w:val="0"/>
                    <w:textAlignment w:val="auto"/>
                    <w:rPr>
                      <w:rFonts w:hint="default"/>
                      <w:color w:val="FF0000"/>
                      <w:lang w:val="en-US" w:eastAsia="zh-CN"/>
                    </w:rPr>
                  </w:pPr>
                  <w:r>
                    <w:rPr>
                      <w:rFonts w:hint="eastAsia"/>
                      <w:color w:val="FF0000"/>
                      <w:lang w:val="en-US" w:eastAsia="zh-CN"/>
                    </w:rPr>
                    <w:t>515</w:t>
                  </w:r>
                </w:p>
              </w:tc>
              <w:tc>
                <w:tcPr>
                  <w:tcW w:w="477" w:type="pct"/>
                  <w:vAlign w:val="center"/>
                </w:tcPr>
                <w:p w14:paraId="3ACA33AD">
                  <w:pPr>
                    <w:pStyle w:val="49"/>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r>
                    <w:rPr>
                      <w:rFonts w:hint="eastAsia"/>
                      <w:lang w:val="en-US" w:eastAsia="zh-CN"/>
                    </w:rPr>
                    <w:t>东南面</w:t>
                  </w:r>
                </w:p>
              </w:tc>
              <w:tc>
                <w:tcPr>
                  <w:tcW w:w="591" w:type="pct"/>
                  <w:vAlign w:val="center"/>
                </w:tcPr>
                <w:p w14:paraId="15BB82CA">
                  <w:pPr>
                    <w:pStyle w:val="49"/>
                    <w:keepNext w:val="0"/>
                    <w:keepLines w:val="0"/>
                    <w:pageBreakBefore w:val="0"/>
                    <w:widowControl w:val="0"/>
                    <w:kinsoku/>
                    <w:wordWrap/>
                    <w:overflowPunct/>
                    <w:topLinePunct w:val="0"/>
                    <w:autoSpaceDE/>
                    <w:autoSpaceDN/>
                    <w:bidi w:val="0"/>
                    <w:adjustRightInd/>
                    <w:snapToGrid w:val="0"/>
                    <w:textAlignment w:val="auto"/>
                    <w:rPr>
                      <w:rFonts w:hint="default"/>
                      <w:lang w:val="en-US" w:eastAsia="zh-CN"/>
                    </w:rPr>
                  </w:pPr>
                  <w:r>
                    <w:rPr>
                      <w:rFonts w:hint="eastAsia"/>
                      <w:lang w:val="en-US" w:eastAsia="zh-CN"/>
                    </w:rPr>
                    <w:t>494</w:t>
                  </w:r>
                </w:p>
              </w:tc>
            </w:tr>
            <w:tr w14:paraId="0B885C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9" w:type="pct"/>
                  <w:vMerge w:val="continue"/>
                  <w:vAlign w:val="center"/>
                </w:tcPr>
                <w:p w14:paraId="68DA9244">
                  <w:pPr>
                    <w:pStyle w:val="49"/>
                    <w:keepNext w:val="0"/>
                    <w:keepLines w:val="0"/>
                    <w:pageBreakBefore w:val="0"/>
                    <w:widowControl w:val="0"/>
                    <w:kinsoku/>
                    <w:wordWrap/>
                    <w:overflowPunct/>
                    <w:topLinePunct w:val="0"/>
                    <w:autoSpaceDE/>
                    <w:autoSpaceDN/>
                    <w:bidi w:val="0"/>
                    <w:adjustRightInd/>
                    <w:snapToGrid w:val="0"/>
                    <w:textAlignment w:val="auto"/>
                  </w:pPr>
                </w:p>
              </w:tc>
              <w:tc>
                <w:tcPr>
                  <w:tcW w:w="331" w:type="pct"/>
                  <w:vAlign w:val="center"/>
                </w:tcPr>
                <w:p w14:paraId="7839C07F">
                  <w:pPr>
                    <w:pStyle w:val="49"/>
                    <w:keepNext w:val="0"/>
                    <w:keepLines w:val="0"/>
                    <w:pageBreakBefore w:val="0"/>
                    <w:widowControl w:val="0"/>
                    <w:kinsoku/>
                    <w:wordWrap/>
                    <w:overflowPunct/>
                    <w:topLinePunct w:val="0"/>
                    <w:autoSpaceDE/>
                    <w:autoSpaceDN/>
                    <w:bidi w:val="0"/>
                    <w:adjustRightInd/>
                    <w:snapToGrid w:val="0"/>
                    <w:textAlignment w:val="auto"/>
                    <w:rPr>
                      <w:rFonts w:hint="default"/>
                      <w:lang w:val="en-US" w:eastAsia="zh-CN"/>
                    </w:rPr>
                  </w:pPr>
                  <w:r>
                    <w:rPr>
                      <w:rFonts w:hint="eastAsia"/>
                      <w:lang w:val="en-US" w:eastAsia="zh-CN"/>
                    </w:rPr>
                    <w:t>250</w:t>
                  </w:r>
                </w:p>
              </w:tc>
              <w:tc>
                <w:tcPr>
                  <w:tcW w:w="333" w:type="pct"/>
                  <w:vAlign w:val="center"/>
                </w:tcPr>
                <w:p w14:paraId="5988E14F">
                  <w:pPr>
                    <w:pStyle w:val="49"/>
                    <w:keepNext w:val="0"/>
                    <w:keepLines w:val="0"/>
                    <w:pageBreakBefore w:val="0"/>
                    <w:widowControl w:val="0"/>
                    <w:kinsoku/>
                    <w:wordWrap/>
                    <w:overflowPunct/>
                    <w:topLinePunct w:val="0"/>
                    <w:autoSpaceDE/>
                    <w:autoSpaceDN/>
                    <w:bidi w:val="0"/>
                    <w:adjustRightInd/>
                    <w:snapToGrid w:val="0"/>
                    <w:textAlignment w:val="auto"/>
                    <w:rPr>
                      <w:rFonts w:hint="default"/>
                      <w:lang w:val="en-US" w:eastAsia="zh-CN"/>
                    </w:rPr>
                  </w:pPr>
                  <w:r>
                    <w:rPr>
                      <w:rFonts w:hint="eastAsia"/>
                      <w:lang w:val="en-US" w:eastAsia="zh-CN"/>
                    </w:rPr>
                    <w:t>146</w:t>
                  </w:r>
                </w:p>
              </w:tc>
              <w:tc>
                <w:tcPr>
                  <w:tcW w:w="657" w:type="pct"/>
                  <w:vAlign w:val="center"/>
                </w:tcPr>
                <w:p w14:paraId="3D830C6E">
                  <w:pPr>
                    <w:pStyle w:val="49"/>
                    <w:keepNext w:val="0"/>
                    <w:keepLines w:val="0"/>
                    <w:pageBreakBefore w:val="0"/>
                    <w:widowControl w:val="0"/>
                    <w:kinsoku/>
                    <w:wordWrap/>
                    <w:overflowPunct/>
                    <w:topLinePunct w:val="0"/>
                    <w:autoSpaceDE/>
                    <w:autoSpaceDN/>
                    <w:bidi w:val="0"/>
                    <w:adjustRightInd/>
                    <w:snapToGrid w:val="0"/>
                    <w:textAlignment w:val="auto"/>
                    <w:rPr>
                      <w:rFonts w:hint="default"/>
                      <w:lang w:val="en-US" w:eastAsia="zh-CN"/>
                    </w:rPr>
                  </w:pPr>
                  <w:r>
                    <w:rPr>
                      <w:rFonts w:hint="eastAsia"/>
                      <w:lang w:val="en-US" w:eastAsia="zh-CN"/>
                    </w:rPr>
                    <w:t>管细屋</w:t>
                  </w:r>
                </w:p>
              </w:tc>
              <w:tc>
                <w:tcPr>
                  <w:tcW w:w="603" w:type="pct"/>
                  <w:vAlign w:val="center"/>
                </w:tcPr>
                <w:p w14:paraId="6C1E1F0A">
                  <w:pPr>
                    <w:pStyle w:val="49"/>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r>
                    <w:t>居住区</w:t>
                  </w:r>
                </w:p>
              </w:tc>
              <w:tc>
                <w:tcPr>
                  <w:tcW w:w="499" w:type="pct"/>
                  <w:vAlign w:val="center"/>
                </w:tcPr>
                <w:p w14:paraId="16068EE5">
                  <w:pPr>
                    <w:pStyle w:val="49"/>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r>
                    <w:t>二类区</w:t>
                  </w:r>
                </w:p>
              </w:tc>
              <w:tc>
                <w:tcPr>
                  <w:tcW w:w="588" w:type="pct"/>
                  <w:vAlign w:val="center"/>
                </w:tcPr>
                <w:p w14:paraId="462E32A3">
                  <w:pPr>
                    <w:pStyle w:val="49"/>
                    <w:keepNext w:val="0"/>
                    <w:keepLines w:val="0"/>
                    <w:pageBreakBefore w:val="0"/>
                    <w:widowControl w:val="0"/>
                    <w:kinsoku/>
                    <w:wordWrap/>
                    <w:overflowPunct/>
                    <w:topLinePunct w:val="0"/>
                    <w:autoSpaceDE/>
                    <w:autoSpaceDN/>
                    <w:bidi w:val="0"/>
                    <w:adjustRightInd/>
                    <w:snapToGrid w:val="0"/>
                    <w:textAlignment w:val="auto"/>
                    <w:rPr>
                      <w:rFonts w:hint="default"/>
                      <w:color w:val="FF0000"/>
                      <w:lang w:val="en-US" w:eastAsia="zh-CN"/>
                    </w:rPr>
                  </w:pPr>
                  <w:r>
                    <w:rPr>
                      <w:rFonts w:hint="eastAsia"/>
                      <w:color w:val="FF0000"/>
                      <w:lang w:val="en-US" w:eastAsia="zh-CN"/>
                    </w:rPr>
                    <w:t>265</w:t>
                  </w:r>
                </w:p>
              </w:tc>
              <w:tc>
                <w:tcPr>
                  <w:tcW w:w="617" w:type="pct"/>
                  <w:vAlign w:val="center"/>
                </w:tcPr>
                <w:p w14:paraId="20402C9E">
                  <w:pPr>
                    <w:pStyle w:val="49"/>
                    <w:keepNext w:val="0"/>
                    <w:keepLines w:val="0"/>
                    <w:pageBreakBefore w:val="0"/>
                    <w:widowControl w:val="0"/>
                    <w:kinsoku/>
                    <w:wordWrap/>
                    <w:overflowPunct/>
                    <w:topLinePunct w:val="0"/>
                    <w:autoSpaceDE/>
                    <w:autoSpaceDN/>
                    <w:bidi w:val="0"/>
                    <w:adjustRightInd/>
                    <w:snapToGrid w:val="0"/>
                    <w:textAlignment w:val="auto"/>
                    <w:rPr>
                      <w:rFonts w:hint="default"/>
                      <w:color w:val="FF0000"/>
                      <w:lang w:val="en-US" w:eastAsia="zh-CN"/>
                    </w:rPr>
                  </w:pPr>
                  <w:r>
                    <w:rPr>
                      <w:rFonts w:hint="eastAsia"/>
                      <w:color w:val="FF0000"/>
                      <w:lang w:val="en-US" w:eastAsia="zh-CN"/>
                    </w:rPr>
                    <w:t>264</w:t>
                  </w:r>
                </w:p>
              </w:tc>
              <w:tc>
                <w:tcPr>
                  <w:tcW w:w="477" w:type="pct"/>
                  <w:vAlign w:val="center"/>
                </w:tcPr>
                <w:p w14:paraId="09DF4486">
                  <w:pPr>
                    <w:pStyle w:val="49"/>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r>
                    <w:rPr>
                      <w:rFonts w:hint="eastAsia"/>
                      <w:lang w:val="en-US" w:eastAsia="zh-CN"/>
                    </w:rPr>
                    <w:t>东北面</w:t>
                  </w:r>
                </w:p>
              </w:tc>
              <w:tc>
                <w:tcPr>
                  <w:tcW w:w="591" w:type="pct"/>
                  <w:vAlign w:val="center"/>
                </w:tcPr>
                <w:p w14:paraId="0FC2B81C">
                  <w:pPr>
                    <w:pStyle w:val="49"/>
                    <w:keepNext w:val="0"/>
                    <w:keepLines w:val="0"/>
                    <w:pageBreakBefore w:val="0"/>
                    <w:widowControl w:val="0"/>
                    <w:kinsoku/>
                    <w:wordWrap/>
                    <w:overflowPunct/>
                    <w:topLinePunct w:val="0"/>
                    <w:autoSpaceDE/>
                    <w:autoSpaceDN/>
                    <w:bidi w:val="0"/>
                    <w:adjustRightInd/>
                    <w:snapToGrid w:val="0"/>
                    <w:textAlignment w:val="auto"/>
                    <w:rPr>
                      <w:rFonts w:hint="default"/>
                      <w:lang w:val="en-US" w:eastAsia="zh-CN"/>
                    </w:rPr>
                  </w:pPr>
                  <w:r>
                    <w:rPr>
                      <w:rFonts w:hint="eastAsia"/>
                      <w:lang w:val="en-US" w:eastAsia="zh-CN"/>
                    </w:rPr>
                    <w:t>237</w:t>
                  </w:r>
                </w:p>
              </w:tc>
            </w:tr>
            <w:tr w14:paraId="3C90B4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9" w:type="pct"/>
                  <w:vMerge w:val="continue"/>
                  <w:vAlign w:val="center"/>
                </w:tcPr>
                <w:p w14:paraId="0CEC9407">
                  <w:pPr>
                    <w:pStyle w:val="49"/>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p>
              </w:tc>
              <w:tc>
                <w:tcPr>
                  <w:tcW w:w="331" w:type="pct"/>
                  <w:vAlign w:val="center"/>
                </w:tcPr>
                <w:p w14:paraId="7ACF68A5">
                  <w:pPr>
                    <w:pStyle w:val="49"/>
                    <w:keepNext w:val="0"/>
                    <w:keepLines w:val="0"/>
                    <w:pageBreakBefore w:val="0"/>
                    <w:widowControl w:val="0"/>
                    <w:kinsoku/>
                    <w:wordWrap/>
                    <w:overflowPunct/>
                    <w:topLinePunct w:val="0"/>
                    <w:autoSpaceDE/>
                    <w:autoSpaceDN/>
                    <w:bidi w:val="0"/>
                    <w:adjustRightInd/>
                    <w:snapToGrid w:val="0"/>
                    <w:textAlignment w:val="auto"/>
                    <w:rPr>
                      <w:rFonts w:hint="default"/>
                      <w:lang w:val="en-US" w:eastAsia="zh-CN"/>
                    </w:rPr>
                  </w:pPr>
                  <w:r>
                    <w:rPr>
                      <w:rFonts w:hint="eastAsia"/>
                      <w:lang w:val="en-US" w:eastAsia="zh-CN"/>
                    </w:rPr>
                    <w:t>181</w:t>
                  </w:r>
                </w:p>
              </w:tc>
              <w:tc>
                <w:tcPr>
                  <w:tcW w:w="333" w:type="pct"/>
                  <w:vAlign w:val="center"/>
                </w:tcPr>
                <w:p w14:paraId="35D86FCD">
                  <w:pPr>
                    <w:pStyle w:val="49"/>
                    <w:keepNext w:val="0"/>
                    <w:keepLines w:val="0"/>
                    <w:pageBreakBefore w:val="0"/>
                    <w:widowControl w:val="0"/>
                    <w:kinsoku/>
                    <w:wordWrap/>
                    <w:overflowPunct/>
                    <w:topLinePunct w:val="0"/>
                    <w:autoSpaceDE/>
                    <w:autoSpaceDN/>
                    <w:bidi w:val="0"/>
                    <w:adjustRightInd/>
                    <w:snapToGrid w:val="0"/>
                    <w:textAlignment w:val="auto"/>
                    <w:rPr>
                      <w:rFonts w:hint="default"/>
                      <w:lang w:val="en-US" w:eastAsia="zh-CN"/>
                    </w:rPr>
                  </w:pPr>
                  <w:r>
                    <w:rPr>
                      <w:rFonts w:hint="eastAsia"/>
                      <w:lang w:val="en-US" w:eastAsia="zh-CN"/>
                    </w:rPr>
                    <w:t>297</w:t>
                  </w:r>
                </w:p>
              </w:tc>
              <w:tc>
                <w:tcPr>
                  <w:tcW w:w="657" w:type="pct"/>
                  <w:vAlign w:val="center"/>
                </w:tcPr>
                <w:p w14:paraId="128F915E">
                  <w:pPr>
                    <w:pStyle w:val="49"/>
                    <w:keepNext w:val="0"/>
                    <w:keepLines w:val="0"/>
                    <w:pageBreakBefore w:val="0"/>
                    <w:widowControl w:val="0"/>
                    <w:kinsoku/>
                    <w:wordWrap/>
                    <w:overflowPunct/>
                    <w:topLinePunct w:val="0"/>
                    <w:autoSpaceDE/>
                    <w:autoSpaceDN/>
                    <w:bidi w:val="0"/>
                    <w:adjustRightInd/>
                    <w:snapToGrid w:val="0"/>
                    <w:textAlignment w:val="auto"/>
                    <w:rPr>
                      <w:rFonts w:hint="default"/>
                      <w:lang w:val="en-US" w:eastAsia="zh-CN"/>
                    </w:rPr>
                  </w:pPr>
                  <w:r>
                    <w:rPr>
                      <w:rFonts w:hint="eastAsia"/>
                      <w:lang w:val="en-US" w:eastAsia="zh-CN"/>
                    </w:rPr>
                    <w:t>魏二房</w:t>
                  </w:r>
                </w:p>
              </w:tc>
              <w:tc>
                <w:tcPr>
                  <w:tcW w:w="603" w:type="pct"/>
                  <w:vAlign w:val="center"/>
                </w:tcPr>
                <w:p w14:paraId="349B81B8">
                  <w:pPr>
                    <w:pStyle w:val="49"/>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r>
                    <w:t>居住区</w:t>
                  </w:r>
                </w:p>
              </w:tc>
              <w:tc>
                <w:tcPr>
                  <w:tcW w:w="499" w:type="pct"/>
                  <w:vAlign w:val="center"/>
                </w:tcPr>
                <w:p w14:paraId="79E156BE">
                  <w:pPr>
                    <w:pStyle w:val="49"/>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r>
                    <w:t>二类区</w:t>
                  </w:r>
                </w:p>
              </w:tc>
              <w:tc>
                <w:tcPr>
                  <w:tcW w:w="588" w:type="pct"/>
                  <w:vAlign w:val="center"/>
                </w:tcPr>
                <w:p w14:paraId="5277012C">
                  <w:pPr>
                    <w:pStyle w:val="49"/>
                    <w:keepNext w:val="0"/>
                    <w:keepLines w:val="0"/>
                    <w:pageBreakBefore w:val="0"/>
                    <w:widowControl w:val="0"/>
                    <w:kinsoku/>
                    <w:wordWrap/>
                    <w:overflowPunct/>
                    <w:topLinePunct w:val="0"/>
                    <w:autoSpaceDE/>
                    <w:autoSpaceDN/>
                    <w:bidi w:val="0"/>
                    <w:adjustRightInd/>
                    <w:snapToGrid w:val="0"/>
                    <w:textAlignment w:val="auto"/>
                    <w:rPr>
                      <w:rFonts w:hint="default"/>
                      <w:color w:val="FF0000"/>
                      <w:lang w:val="en-US" w:eastAsia="zh-CN"/>
                    </w:rPr>
                  </w:pPr>
                  <w:r>
                    <w:rPr>
                      <w:rFonts w:hint="eastAsia"/>
                      <w:color w:val="FF0000"/>
                      <w:lang w:val="en-US" w:eastAsia="zh-CN"/>
                    </w:rPr>
                    <w:t>334</w:t>
                  </w:r>
                </w:p>
              </w:tc>
              <w:tc>
                <w:tcPr>
                  <w:tcW w:w="617" w:type="pct"/>
                  <w:vAlign w:val="center"/>
                </w:tcPr>
                <w:p w14:paraId="59F51377">
                  <w:pPr>
                    <w:pStyle w:val="49"/>
                    <w:keepNext w:val="0"/>
                    <w:keepLines w:val="0"/>
                    <w:pageBreakBefore w:val="0"/>
                    <w:widowControl w:val="0"/>
                    <w:kinsoku/>
                    <w:wordWrap/>
                    <w:overflowPunct/>
                    <w:topLinePunct w:val="0"/>
                    <w:autoSpaceDE/>
                    <w:autoSpaceDN/>
                    <w:bidi w:val="0"/>
                    <w:adjustRightInd/>
                    <w:snapToGrid w:val="0"/>
                    <w:textAlignment w:val="auto"/>
                    <w:rPr>
                      <w:rFonts w:hint="default"/>
                      <w:color w:val="FF0000"/>
                      <w:lang w:val="en-US" w:eastAsia="zh-CN"/>
                    </w:rPr>
                  </w:pPr>
                  <w:r>
                    <w:rPr>
                      <w:rFonts w:hint="eastAsia"/>
                      <w:color w:val="FF0000"/>
                      <w:lang w:val="en-US" w:eastAsia="zh-CN"/>
                    </w:rPr>
                    <w:t>337</w:t>
                  </w:r>
                </w:p>
              </w:tc>
              <w:tc>
                <w:tcPr>
                  <w:tcW w:w="477" w:type="pct"/>
                  <w:vAlign w:val="center"/>
                </w:tcPr>
                <w:p w14:paraId="75E0CC91">
                  <w:pPr>
                    <w:pStyle w:val="49"/>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r>
                    <w:rPr>
                      <w:rFonts w:hint="eastAsia"/>
                      <w:lang w:val="en-US" w:eastAsia="zh-CN"/>
                    </w:rPr>
                    <w:t>东北面</w:t>
                  </w:r>
                </w:p>
              </w:tc>
              <w:tc>
                <w:tcPr>
                  <w:tcW w:w="591" w:type="pct"/>
                  <w:vAlign w:val="center"/>
                </w:tcPr>
                <w:p w14:paraId="7664A32C">
                  <w:pPr>
                    <w:pStyle w:val="49"/>
                    <w:keepNext w:val="0"/>
                    <w:keepLines w:val="0"/>
                    <w:pageBreakBefore w:val="0"/>
                    <w:widowControl w:val="0"/>
                    <w:kinsoku/>
                    <w:wordWrap/>
                    <w:overflowPunct/>
                    <w:topLinePunct w:val="0"/>
                    <w:autoSpaceDE/>
                    <w:autoSpaceDN/>
                    <w:bidi w:val="0"/>
                    <w:adjustRightInd/>
                    <w:snapToGrid w:val="0"/>
                    <w:textAlignment w:val="auto"/>
                    <w:rPr>
                      <w:rFonts w:hint="default"/>
                      <w:lang w:val="en-US" w:eastAsia="zh-CN"/>
                    </w:rPr>
                  </w:pPr>
                  <w:r>
                    <w:rPr>
                      <w:rFonts w:hint="eastAsia"/>
                      <w:lang w:val="en-US" w:eastAsia="zh-CN"/>
                    </w:rPr>
                    <w:t>315</w:t>
                  </w:r>
                </w:p>
              </w:tc>
            </w:tr>
            <w:tr w14:paraId="39361C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9" w:type="pct"/>
                  <w:vMerge w:val="continue"/>
                  <w:vAlign w:val="center"/>
                </w:tcPr>
                <w:p w14:paraId="49B6213F">
                  <w:pPr>
                    <w:pStyle w:val="49"/>
                    <w:keepNext w:val="0"/>
                    <w:keepLines w:val="0"/>
                    <w:pageBreakBefore w:val="0"/>
                    <w:widowControl w:val="0"/>
                    <w:kinsoku/>
                    <w:wordWrap/>
                    <w:overflowPunct/>
                    <w:topLinePunct w:val="0"/>
                    <w:autoSpaceDE/>
                    <w:autoSpaceDN/>
                    <w:bidi w:val="0"/>
                    <w:adjustRightInd/>
                    <w:snapToGrid w:val="0"/>
                    <w:textAlignment w:val="auto"/>
                  </w:pPr>
                </w:p>
              </w:tc>
              <w:tc>
                <w:tcPr>
                  <w:tcW w:w="331" w:type="pct"/>
                  <w:vAlign w:val="center"/>
                </w:tcPr>
                <w:p w14:paraId="7DA91F0B">
                  <w:pPr>
                    <w:pStyle w:val="49"/>
                    <w:keepNext w:val="0"/>
                    <w:keepLines w:val="0"/>
                    <w:pageBreakBefore w:val="0"/>
                    <w:widowControl w:val="0"/>
                    <w:kinsoku/>
                    <w:wordWrap/>
                    <w:overflowPunct/>
                    <w:topLinePunct w:val="0"/>
                    <w:autoSpaceDE/>
                    <w:autoSpaceDN/>
                    <w:bidi w:val="0"/>
                    <w:adjustRightInd/>
                    <w:snapToGrid w:val="0"/>
                    <w:textAlignment w:val="auto"/>
                    <w:rPr>
                      <w:rFonts w:hint="default"/>
                      <w:lang w:val="en-US" w:eastAsia="zh-CN"/>
                    </w:rPr>
                  </w:pPr>
                  <w:r>
                    <w:rPr>
                      <w:rFonts w:hint="eastAsia"/>
                      <w:lang w:val="en-US" w:eastAsia="zh-CN"/>
                    </w:rPr>
                    <w:t>-243</w:t>
                  </w:r>
                </w:p>
              </w:tc>
              <w:tc>
                <w:tcPr>
                  <w:tcW w:w="333" w:type="pct"/>
                  <w:vAlign w:val="center"/>
                </w:tcPr>
                <w:p w14:paraId="2AA08310">
                  <w:pPr>
                    <w:pStyle w:val="49"/>
                    <w:keepNext w:val="0"/>
                    <w:keepLines w:val="0"/>
                    <w:pageBreakBefore w:val="0"/>
                    <w:widowControl w:val="0"/>
                    <w:kinsoku/>
                    <w:wordWrap/>
                    <w:overflowPunct/>
                    <w:topLinePunct w:val="0"/>
                    <w:autoSpaceDE/>
                    <w:autoSpaceDN/>
                    <w:bidi w:val="0"/>
                    <w:adjustRightInd/>
                    <w:snapToGrid w:val="0"/>
                    <w:textAlignment w:val="auto"/>
                    <w:rPr>
                      <w:rFonts w:hint="default"/>
                      <w:lang w:val="en-US" w:eastAsia="zh-CN"/>
                    </w:rPr>
                  </w:pPr>
                  <w:r>
                    <w:rPr>
                      <w:rFonts w:hint="eastAsia"/>
                      <w:lang w:val="en-US" w:eastAsia="zh-CN"/>
                    </w:rPr>
                    <w:t>452</w:t>
                  </w:r>
                </w:p>
              </w:tc>
              <w:tc>
                <w:tcPr>
                  <w:tcW w:w="657" w:type="pct"/>
                  <w:vAlign w:val="center"/>
                </w:tcPr>
                <w:p w14:paraId="3846F91E">
                  <w:pPr>
                    <w:pStyle w:val="49"/>
                    <w:keepNext w:val="0"/>
                    <w:keepLines w:val="0"/>
                    <w:pageBreakBefore w:val="0"/>
                    <w:widowControl w:val="0"/>
                    <w:kinsoku/>
                    <w:wordWrap/>
                    <w:overflowPunct/>
                    <w:topLinePunct w:val="0"/>
                    <w:autoSpaceDE/>
                    <w:autoSpaceDN/>
                    <w:bidi w:val="0"/>
                    <w:adjustRightInd/>
                    <w:snapToGrid w:val="0"/>
                    <w:textAlignment w:val="auto"/>
                    <w:rPr>
                      <w:rFonts w:hint="default"/>
                      <w:lang w:val="en-US" w:eastAsia="zh-CN"/>
                    </w:rPr>
                  </w:pPr>
                  <w:r>
                    <w:rPr>
                      <w:rFonts w:hint="eastAsia"/>
                      <w:lang w:val="en-US" w:eastAsia="zh-CN"/>
                    </w:rPr>
                    <w:t>魏家凹</w:t>
                  </w:r>
                </w:p>
              </w:tc>
              <w:tc>
                <w:tcPr>
                  <w:tcW w:w="603" w:type="pct"/>
                  <w:vAlign w:val="center"/>
                </w:tcPr>
                <w:p w14:paraId="388EEC1C">
                  <w:pPr>
                    <w:pStyle w:val="49"/>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r>
                    <w:t>居住区</w:t>
                  </w:r>
                </w:p>
              </w:tc>
              <w:tc>
                <w:tcPr>
                  <w:tcW w:w="499" w:type="pct"/>
                  <w:vAlign w:val="center"/>
                </w:tcPr>
                <w:p w14:paraId="53125AF1">
                  <w:pPr>
                    <w:pStyle w:val="49"/>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r>
                    <w:t>二类区</w:t>
                  </w:r>
                </w:p>
              </w:tc>
              <w:tc>
                <w:tcPr>
                  <w:tcW w:w="588" w:type="pct"/>
                  <w:vAlign w:val="center"/>
                </w:tcPr>
                <w:p w14:paraId="00DEEFBC">
                  <w:pPr>
                    <w:pStyle w:val="49"/>
                    <w:keepNext w:val="0"/>
                    <w:keepLines w:val="0"/>
                    <w:pageBreakBefore w:val="0"/>
                    <w:widowControl w:val="0"/>
                    <w:kinsoku/>
                    <w:wordWrap/>
                    <w:overflowPunct/>
                    <w:topLinePunct w:val="0"/>
                    <w:autoSpaceDE/>
                    <w:autoSpaceDN/>
                    <w:bidi w:val="0"/>
                    <w:adjustRightInd/>
                    <w:snapToGrid w:val="0"/>
                    <w:textAlignment w:val="auto"/>
                    <w:rPr>
                      <w:rFonts w:hint="default"/>
                      <w:color w:val="FF0000"/>
                      <w:lang w:val="en-US" w:eastAsia="zh-CN"/>
                    </w:rPr>
                  </w:pPr>
                  <w:r>
                    <w:rPr>
                      <w:rFonts w:hint="eastAsia"/>
                      <w:color w:val="FF0000"/>
                      <w:lang w:val="en-US" w:eastAsia="zh-CN"/>
                    </w:rPr>
                    <w:t>529</w:t>
                  </w:r>
                </w:p>
              </w:tc>
              <w:tc>
                <w:tcPr>
                  <w:tcW w:w="617" w:type="pct"/>
                  <w:vAlign w:val="center"/>
                </w:tcPr>
                <w:p w14:paraId="4E3FC5BA">
                  <w:pPr>
                    <w:pStyle w:val="49"/>
                    <w:keepNext w:val="0"/>
                    <w:keepLines w:val="0"/>
                    <w:pageBreakBefore w:val="0"/>
                    <w:widowControl w:val="0"/>
                    <w:kinsoku/>
                    <w:wordWrap/>
                    <w:overflowPunct/>
                    <w:topLinePunct w:val="0"/>
                    <w:autoSpaceDE/>
                    <w:autoSpaceDN/>
                    <w:bidi w:val="0"/>
                    <w:adjustRightInd/>
                    <w:snapToGrid w:val="0"/>
                    <w:textAlignment w:val="auto"/>
                    <w:rPr>
                      <w:rFonts w:hint="default"/>
                      <w:color w:val="FF0000"/>
                      <w:lang w:val="en-US" w:eastAsia="zh-CN"/>
                    </w:rPr>
                  </w:pPr>
                  <w:r>
                    <w:rPr>
                      <w:rFonts w:hint="eastAsia"/>
                      <w:color w:val="FF0000"/>
                      <w:lang w:val="en-US" w:eastAsia="zh-CN"/>
                    </w:rPr>
                    <w:t>503</w:t>
                  </w:r>
                </w:p>
              </w:tc>
              <w:tc>
                <w:tcPr>
                  <w:tcW w:w="477" w:type="pct"/>
                  <w:vAlign w:val="center"/>
                </w:tcPr>
                <w:p w14:paraId="77AF4781">
                  <w:pPr>
                    <w:pStyle w:val="49"/>
                    <w:keepNext w:val="0"/>
                    <w:keepLines w:val="0"/>
                    <w:pageBreakBefore w:val="0"/>
                    <w:widowControl w:val="0"/>
                    <w:kinsoku/>
                    <w:wordWrap/>
                    <w:overflowPunct/>
                    <w:topLinePunct w:val="0"/>
                    <w:autoSpaceDE/>
                    <w:autoSpaceDN/>
                    <w:bidi w:val="0"/>
                    <w:adjustRightInd/>
                    <w:snapToGrid w:val="0"/>
                    <w:textAlignment w:val="auto"/>
                    <w:rPr>
                      <w:rFonts w:hint="default"/>
                      <w:lang w:val="en-US" w:eastAsia="zh-CN"/>
                    </w:rPr>
                  </w:pPr>
                  <w:r>
                    <w:rPr>
                      <w:rFonts w:hint="eastAsia"/>
                      <w:lang w:val="en-US" w:eastAsia="zh-CN"/>
                    </w:rPr>
                    <w:t>西北面</w:t>
                  </w:r>
                </w:p>
              </w:tc>
              <w:tc>
                <w:tcPr>
                  <w:tcW w:w="591" w:type="pct"/>
                  <w:vAlign w:val="center"/>
                </w:tcPr>
                <w:p w14:paraId="3EA1DD47">
                  <w:pPr>
                    <w:pStyle w:val="49"/>
                    <w:keepNext w:val="0"/>
                    <w:keepLines w:val="0"/>
                    <w:pageBreakBefore w:val="0"/>
                    <w:widowControl w:val="0"/>
                    <w:kinsoku/>
                    <w:wordWrap/>
                    <w:overflowPunct/>
                    <w:topLinePunct w:val="0"/>
                    <w:autoSpaceDE/>
                    <w:autoSpaceDN/>
                    <w:bidi w:val="0"/>
                    <w:adjustRightInd/>
                    <w:snapToGrid w:val="0"/>
                    <w:textAlignment w:val="auto"/>
                    <w:rPr>
                      <w:rFonts w:hint="default"/>
                      <w:lang w:val="en-US" w:eastAsia="zh-CN"/>
                    </w:rPr>
                  </w:pPr>
                  <w:r>
                    <w:rPr>
                      <w:rFonts w:hint="eastAsia"/>
                      <w:lang w:val="en-US" w:eastAsia="zh-CN"/>
                    </w:rPr>
                    <w:t>451</w:t>
                  </w:r>
                </w:p>
              </w:tc>
            </w:tr>
          </w:tbl>
          <w:p w14:paraId="0E3095BC">
            <w:pPr>
              <w:pStyle w:val="14"/>
              <w:keepNext w:val="0"/>
              <w:keepLines w:val="0"/>
              <w:pageBreakBefore w:val="0"/>
              <w:widowControl w:val="0"/>
              <w:kinsoku/>
              <w:wordWrap/>
              <w:overflowPunct/>
              <w:topLinePunct w:val="0"/>
              <w:autoSpaceDE/>
              <w:autoSpaceDN/>
              <w:bidi w:val="0"/>
              <w:adjustRightInd/>
              <w:snapToGrid/>
              <w:spacing w:after="0"/>
              <w:ind w:left="0" w:leftChars="0"/>
              <w:textAlignment w:val="auto"/>
              <w:rPr>
                <w:rFonts w:hint="eastAsia"/>
                <w:b/>
                <w:lang w:val="en-US" w:eastAsia="zh-CN"/>
              </w:rPr>
            </w:pPr>
            <w:r>
              <w:rPr>
                <w:b/>
                <w:bCs/>
                <w:color w:val="auto"/>
                <w:sz w:val="21"/>
              </w:rPr>
              <w:t>注：本次评价以厂区中心点</w:t>
            </w:r>
            <w:r>
              <w:rPr>
                <w:rFonts w:hint="eastAsia"/>
                <w:b/>
                <w:bCs/>
                <w:color w:val="auto"/>
                <w:sz w:val="21"/>
              </w:rPr>
              <w:t>（</w:t>
            </w:r>
            <w:r>
              <w:rPr>
                <w:rFonts w:hint="default" w:ascii="Times New Roman" w:hAnsi="Times New Roman" w:cs="Times New Roman"/>
                <w:b/>
                <w:bCs/>
                <w:color w:val="auto"/>
                <w:sz w:val="21"/>
              </w:rPr>
              <w:t>E115°49′22.306″，N29°39′13.383″</w:t>
            </w:r>
            <w:r>
              <w:rPr>
                <w:rFonts w:hint="eastAsia"/>
                <w:b/>
                <w:bCs/>
                <w:color w:val="auto"/>
                <w:sz w:val="21"/>
              </w:rPr>
              <w:t>）</w:t>
            </w:r>
            <w:r>
              <w:rPr>
                <w:b/>
                <w:bCs/>
                <w:color w:val="auto"/>
                <w:sz w:val="21"/>
              </w:rPr>
              <w:t>为原点坐标（0，0），正东X轴为正方向，正北Y轴为正方向建立直角坐标系给出环境现状监测点位、环境保护目标、污染源位置对应坐标，</w:t>
            </w:r>
            <w:r>
              <w:rPr>
                <w:rFonts w:hint="eastAsia"/>
                <w:b/>
                <w:bCs/>
                <w:color w:val="auto"/>
                <w:sz w:val="21"/>
              </w:rPr>
              <w:t>下同。</w:t>
            </w:r>
          </w:p>
          <w:p w14:paraId="7FB34463">
            <w:pPr>
              <w:pStyle w:val="54"/>
              <w:keepNext w:val="0"/>
              <w:keepLines w:val="0"/>
              <w:pageBreakBefore w:val="0"/>
              <w:widowControl w:val="0"/>
              <w:numPr>
                <w:ilvl w:val="0"/>
                <w:numId w:val="0"/>
              </w:numPr>
              <w:kinsoku/>
              <w:wordWrap/>
              <w:overflowPunct/>
              <w:topLinePunct w:val="0"/>
              <w:autoSpaceDE/>
              <w:autoSpaceDN/>
              <w:bidi w:val="0"/>
              <w:adjustRightInd/>
              <w:snapToGrid/>
              <w:ind w:left="0" w:leftChars="0" w:firstLine="482" w:firstLineChars="200"/>
              <w:textAlignment w:val="auto"/>
              <w:rPr>
                <w:b/>
              </w:rPr>
            </w:pPr>
            <w:r>
              <w:rPr>
                <w:rFonts w:hint="eastAsia"/>
                <w:b/>
                <w:lang w:val="en-US" w:eastAsia="zh-CN"/>
              </w:rPr>
              <w:t>2、</w:t>
            </w:r>
            <w:r>
              <w:rPr>
                <w:b/>
              </w:rPr>
              <w:t>声环境</w:t>
            </w:r>
          </w:p>
          <w:p w14:paraId="7EF05041">
            <w:pPr>
              <w:pStyle w:val="14"/>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本项目声环境保护目标详见表3-</w:t>
            </w:r>
            <w:r>
              <w:rPr>
                <w:rFonts w:hint="eastAsia" w:cs="Times New Roman"/>
                <w:color w:val="auto"/>
                <w:sz w:val="24"/>
                <w:szCs w:val="24"/>
                <w:lang w:val="en-US" w:eastAsia="zh-CN"/>
              </w:rPr>
              <w:t>6</w:t>
            </w:r>
            <w:r>
              <w:rPr>
                <w:rFonts w:hint="eastAsia" w:ascii="Times New Roman" w:hAnsi="Times New Roman" w:eastAsia="宋体" w:cs="Times New Roman"/>
                <w:color w:val="auto"/>
                <w:sz w:val="24"/>
                <w:szCs w:val="24"/>
                <w:lang w:val="en-US" w:eastAsia="zh-CN"/>
              </w:rPr>
              <w:t>。</w:t>
            </w:r>
          </w:p>
          <w:p w14:paraId="04D95A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表3-</w:t>
            </w:r>
            <w:r>
              <w:rPr>
                <w:rFonts w:hint="default" w:ascii="Times New Roman" w:hAnsi="Times New Roman" w:eastAsia="宋体" w:cs="Times New Roman"/>
                <w:b/>
                <w:color w:val="auto"/>
                <w:sz w:val="21"/>
                <w:szCs w:val="21"/>
                <w:lang w:val="en-US" w:eastAsia="zh-CN"/>
              </w:rPr>
              <w:t>6</w:t>
            </w:r>
            <w:r>
              <w:rPr>
                <w:rFonts w:hint="default" w:ascii="Times New Roman" w:hAnsi="Times New Roman" w:eastAsia="宋体" w:cs="Times New Roman"/>
                <w:b/>
                <w:color w:val="auto"/>
                <w:sz w:val="21"/>
                <w:szCs w:val="21"/>
              </w:rPr>
              <w:t xml:space="preserve">   项目</w:t>
            </w:r>
            <w:r>
              <w:rPr>
                <w:rFonts w:hint="default" w:ascii="Times New Roman" w:hAnsi="Times New Roman" w:eastAsia="宋体" w:cs="Times New Roman"/>
                <w:b/>
                <w:color w:val="auto"/>
                <w:sz w:val="21"/>
                <w:szCs w:val="21"/>
                <w:lang w:val="en-US" w:eastAsia="zh-CN"/>
              </w:rPr>
              <w:t>声环境</w:t>
            </w:r>
            <w:r>
              <w:rPr>
                <w:rFonts w:hint="default" w:ascii="Times New Roman" w:hAnsi="Times New Roman" w:eastAsia="宋体" w:cs="Times New Roman"/>
                <w:b/>
                <w:color w:val="auto"/>
                <w:sz w:val="21"/>
                <w:szCs w:val="21"/>
                <w:lang w:eastAsia="zh-CN"/>
              </w:rPr>
              <w:t>保护目标</w:t>
            </w:r>
            <w:r>
              <w:rPr>
                <w:rFonts w:hint="default" w:ascii="Times New Roman" w:hAnsi="Times New Roman" w:eastAsia="宋体" w:cs="Times New Roman"/>
                <w:b/>
                <w:color w:val="auto"/>
                <w:sz w:val="21"/>
                <w:szCs w:val="21"/>
              </w:rPr>
              <w:t>一览表</w:t>
            </w:r>
          </w:p>
          <w:tbl>
            <w:tblPr>
              <w:tblStyle w:val="3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07"/>
              <w:gridCol w:w="756"/>
              <w:gridCol w:w="756"/>
              <w:gridCol w:w="1129"/>
              <w:gridCol w:w="1128"/>
              <w:gridCol w:w="1280"/>
              <w:gridCol w:w="1483"/>
              <w:gridCol w:w="1732"/>
            </w:tblGrid>
            <w:tr w14:paraId="0BA31A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9" w:type="dxa"/>
                  <w:vMerge w:val="restart"/>
                  <w:noWrap w:val="0"/>
                  <w:vAlign w:val="center"/>
                </w:tcPr>
                <w:p w14:paraId="63FE0469">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名称</w:t>
                  </w:r>
                </w:p>
              </w:tc>
              <w:tc>
                <w:tcPr>
                  <w:tcW w:w="1514" w:type="dxa"/>
                  <w:gridSpan w:val="2"/>
                  <w:noWrap w:val="0"/>
                  <w:vAlign w:val="center"/>
                </w:tcPr>
                <w:p w14:paraId="6BAC49BB">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坐标/m</w:t>
                  </w:r>
                </w:p>
              </w:tc>
              <w:tc>
                <w:tcPr>
                  <w:tcW w:w="1132" w:type="dxa"/>
                  <w:vMerge w:val="restart"/>
                  <w:noWrap w:val="0"/>
                  <w:vAlign w:val="center"/>
                </w:tcPr>
                <w:p w14:paraId="017FDADC">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保护对象</w:t>
                  </w:r>
                </w:p>
              </w:tc>
              <w:tc>
                <w:tcPr>
                  <w:tcW w:w="1131" w:type="dxa"/>
                  <w:vMerge w:val="restart"/>
                  <w:noWrap w:val="0"/>
                  <w:vAlign w:val="center"/>
                </w:tcPr>
                <w:p w14:paraId="066B0A59">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保护内容</w:t>
                  </w:r>
                </w:p>
              </w:tc>
              <w:tc>
                <w:tcPr>
                  <w:tcW w:w="1283" w:type="dxa"/>
                  <w:vMerge w:val="restart"/>
                  <w:noWrap w:val="0"/>
                  <w:vAlign w:val="center"/>
                </w:tcPr>
                <w:p w14:paraId="7740FA92">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环境功能区</w:t>
                  </w:r>
                </w:p>
              </w:tc>
              <w:tc>
                <w:tcPr>
                  <w:tcW w:w="1487" w:type="dxa"/>
                  <w:vMerge w:val="restart"/>
                  <w:noWrap w:val="0"/>
                  <w:vAlign w:val="center"/>
                </w:tcPr>
                <w:p w14:paraId="5DEFCEBC">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相对厂址方位</w:t>
                  </w:r>
                </w:p>
              </w:tc>
              <w:tc>
                <w:tcPr>
                  <w:tcW w:w="1736" w:type="dxa"/>
                  <w:vMerge w:val="restart"/>
                  <w:noWrap w:val="0"/>
                  <w:vAlign w:val="center"/>
                </w:tcPr>
                <w:p w14:paraId="0ED7C973">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相对厂界距离/m</w:t>
                  </w:r>
                </w:p>
              </w:tc>
            </w:tr>
            <w:tr w14:paraId="49987F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9" w:type="dxa"/>
                  <w:vMerge w:val="continue"/>
                  <w:noWrap w:val="0"/>
                  <w:vAlign w:val="center"/>
                </w:tcPr>
                <w:p w14:paraId="0C0A3B2E">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rPr>
                  </w:pPr>
                </w:p>
              </w:tc>
              <w:tc>
                <w:tcPr>
                  <w:tcW w:w="757" w:type="dxa"/>
                  <w:noWrap w:val="0"/>
                  <w:vAlign w:val="center"/>
                </w:tcPr>
                <w:p w14:paraId="580E703B">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X</w:t>
                  </w:r>
                </w:p>
              </w:tc>
              <w:tc>
                <w:tcPr>
                  <w:tcW w:w="757" w:type="dxa"/>
                  <w:noWrap w:val="0"/>
                  <w:vAlign w:val="center"/>
                </w:tcPr>
                <w:p w14:paraId="7D4CEDE8">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Y</w:t>
                  </w:r>
                </w:p>
              </w:tc>
              <w:tc>
                <w:tcPr>
                  <w:tcW w:w="1132" w:type="dxa"/>
                  <w:vMerge w:val="continue"/>
                  <w:noWrap w:val="0"/>
                  <w:vAlign w:val="center"/>
                </w:tcPr>
                <w:p w14:paraId="0F91775C">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rPr>
                  </w:pPr>
                </w:p>
              </w:tc>
              <w:tc>
                <w:tcPr>
                  <w:tcW w:w="1131" w:type="dxa"/>
                  <w:vMerge w:val="continue"/>
                  <w:noWrap w:val="0"/>
                  <w:vAlign w:val="center"/>
                </w:tcPr>
                <w:p w14:paraId="600C8F04">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rPr>
                  </w:pPr>
                </w:p>
              </w:tc>
              <w:tc>
                <w:tcPr>
                  <w:tcW w:w="1283" w:type="dxa"/>
                  <w:vMerge w:val="continue"/>
                  <w:noWrap w:val="0"/>
                  <w:vAlign w:val="center"/>
                </w:tcPr>
                <w:p w14:paraId="0170D1AD">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rPr>
                  </w:pPr>
                </w:p>
              </w:tc>
              <w:tc>
                <w:tcPr>
                  <w:tcW w:w="1487" w:type="dxa"/>
                  <w:vMerge w:val="continue"/>
                  <w:noWrap w:val="0"/>
                  <w:vAlign w:val="center"/>
                </w:tcPr>
                <w:p w14:paraId="47794C96">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rPr>
                  </w:pPr>
                </w:p>
              </w:tc>
              <w:tc>
                <w:tcPr>
                  <w:tcW w:w="1736" w:type="dxa"/>
                  <w:vMerge w:val="continue"/>
                  <w:noWrap w:val="0"/>
                  <w:vAlign w:val="center"/>
                </w:tcPr>
                <w:p w14:paraId="5C783FB9">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rPr>
                  </w:pPr>
                </w:p>
              </w:tc>
            </w:tr>
            <w:tr w14:paraId="127393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9" w:type="dxa"/>
                  <w:noWrap w:val="0"/>
                  <w:vAlign w:val="center"/>
                </w:tcPr>
                <w:p w14:paraId="603A33BD">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eastAsia="zh-CN"/>
                    </w:rPr>
                    <w:t>声</w:t>
                  </w:r>
                  <w:r>
                    <w:rPr>
                      <w:rFonts w:hint="default" w:ascii="Times New Roman" w:hAnsi="Times New Roman" w:cs="Times New Roman"/>
                      <w:color w:val="auto"/>
                      <w:sz w:val="21"/>
                      <w:szCs w:val="21"/>
                    </w:rPr>
                    <w:t>环境</w:t>
                  </w:r>
                </w:p>
              </w:tc>
              <w:tc>
                <w:tcPr>
                  <w:tcW w:w="757" w:type="dxa"/>
                  <w:noWrap w:val="0"/>
                  <w:vAlign w:val="center"/>
                </w:tcPr>
                <w:p w14:paraId="3D8BE2AA">
                  <w:pPr>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eastAsia"/>
                      <w:color w:val="auto"/>
                      <w:sz w:val="21"/>
                      <w:szCs w:val="21"/>
                      <w:lang w:val="en-US" w:eastAsia="zh-CN"/>
                    </w:rPr>
                    <w:t>-91</w:t>
                  </w:r>
                </w:p>
              </w:tc>
              <w:tc>
                <w:tcPr>
                  <w:tcW w:w="757" w:type="dxa"/>
                  <w:noWrap w:val="0"/>
                  <w:vAlign w:val="center"/>
                </w:tcPr>
                <w:p w14:paraId="1FEA11D0">
                  <w:pPr>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w:t>
                  </w:r>
                </w:p>
              </w:tc>
              <w:tc>
                <w:tcPr>
                  <w:tcW w:w="1132" w:type="dxa"/>
                  <w:noWrap w:val="0"/>
                  <w:vAlign w:val="center"/>
                </w:tcPr>
                <w:p w14:paraId="5B620943">
                  <w:pPr>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红心村</w:t>
                  </w:r>
                </w:p>
              </w:tc>
              <w:tc>
                <w:tcPr>
                  <w:tcW w:w="1131" w:type="dxa"/>
                  <w:noWrap w:val="0"/>
                  <w:vAlign w:val="center"/>
                </w:tcPr>
                <w:p w14:paraId="16212345">
                  <w:pPr>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color w:val="auto"/>
                      <w:sz w:val="21"/>
                      <w:szCs w:val="21"/>
                    </w:rPr>
                    <w:t>居住区</w:t>
                  </w:r>
                </w:p>
              </w:tc>
              <w:tc>
                <w:tcPr>
                  <w:tcW w:w="1283" w:type="dxa"/>
                  <w:noWrap w:val="0"/>
                  <w:vAlign w:val="center"/>
                </w:tcPr>
                <w:p w14:paraId="0E91D5FD">
                  <w:pPr>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2类</w:t>
                  </w:r>
                  <w:r>
                    <w:rPr>
                      <w:rFonts w:hint="default" w:ascii="Times New Roman" w:hAnsi="Times New Roman" w:cs="Times New Roman"/>
                      <w:color w:val="auto"/>
                      <w:sz w:val="21"/>
                      <w:szCs w:val="21"/>
                    </w:rPr>
                    <w:t>区</w:t>
                  </w:r>
                </w:p>
              </w:tc>
              <w:tc>
                <w:tcPr>
                  <w:tcW w:w="1487" w:type="dxa"/>
                  <w:noWrap w:val="0"/>
                  <w:vAlign w:val="center"/>
                </w:tcPr>
                <w:p w14:paraId="0B1CE31C">
                  <w:pPr>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西面</w:t>
                  </w:r>
                </w:p>
              </w:tc>
              <w:tc>
                <w:tcPr>
                  <w:tcW w:w="1736" w:type="dxa"/>
                  <w:noWrap w:val="0"/>
                  <w:vAlign w:val="center"/>
                </w:tcPr>
                <w:p w14:paraId="48CB8E5B">
                  <w:pPr>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25</w:t>
                  </w:r>
                </w:p>
              </w:tc>
            </w:tr>
          </w:tbl>
          <w:p w14:paraId="2778175D">
            <w:pPr>
              <w:pStyle w:val="54"/>
              <w:keepNext w:val="0"/>
              <w:keepLines w:val="0"/>
              <w:pageBreakBefore w:val="0"/>
              <w:widowControl w:val="0"/>
              <w:numPr>
                <w:ilvl w:val="0"/>
                <w:numId w:val="0"/>
              </w:numPr>
              <w:kinsoku/>
              <w:wordWrap/>
              <w:overflowPunct/>
              <w:topLinePunct w:val="0"/>
              <w:autoSpaceDE/>
              <w:autoSpaceDN/>
              <w:bidi w:val="0"/>
              <w:adjustRightInd/>
              <w:snapToGrid/>
              <w:ind w:left="0" w:leftChars="0" w:firstLine="482" w:firstLineChars="200"/>
              <w:textAlignment w:val="auto"/>
              <w:rPr>
                <w:b/>
              </w:rPr>
            </w:pPr>
            <w:r>
              <w:rPr>
                <w:rFonts w:hint="eastAsia"/>
                <w:b/>
                <w:lang w:val="en-US" w:eastAsia="zh-CN"/>
              </w:rPr>
              <w:t>3、</w:t>
            </w:r>
            <w:r>
              <w:rPr>
                <w:b/>
              </w:rPr>
              <w:t>地下水环境</w:t>
            </w:r>
          </w:p>
          <w:p w14:paraId="294FF343">
            <w:pPr>
              <w:ind w:firstLine="480"/>
              <w:rPr>
                <w:color w:val="000000"/>
                <w:kern w:val="0"/>
                <w:szCs w:val="20"/>
              </w:rPr>
            </w:pPr>
            <w:r>
              <w:rPr>
                <w:color w:val="000000"/>
                <w:kern w:val="0"/>
                <w:szCs w:val="20"/>
              </w:rPr>
              <w:t>本项目厂界外500米范围内无地下水集中式饮用水水源和热水、矿泉水、温泉等特殊地下水资源。</w:t>
            </w:r>
          </w:p>
          <w:p w14:paraId="5C8F0207">
            <w:pPr>
              <w:pStyle w:val="54"/>
              <w:keepNext w:val="0"/>
              <w:keepLines w:val="0"/>
              <w:pageBreakBefore w:val="0"/>
              <w:widowControl w:val="0"/>
              <w:numPr>
                <w:ilvl w:val="0"/>
                <w:numId w:val="0"/>
              </w:numPr>
              <w:kinsoku/>
              <w:wordWrap/>
              <w:overflowPunct/>
              <w:topLinePunct w:val="0"/>
              <w:autoSpaceDE/>
              <w:autoSpaceDN/>
              <w:bidi w:val="0"/>
              <w:adjustRightInd/>
              <w:snapToGrid/>
              <w:ind w:left="0" w:leftChars="0" w:firstLine="482" w:firstLineChars="200"/>
              <w:textAlignment w:val="auto"/>
              <w:rPr>
                <w:b/>
              </w:rPr>
            </w:pPr>
            <w:r>
              <w:rPr>
                <w:rFonts w:hint="eastAsia"/>
                <w:b/>
                <w:lang w:val="en-US" w:eastAsia="zh-CN"/>
              </w:rPr>
              <w:t>4、</w:t>
            </w:r>
            <w:r>
              <w:rPr>
                <w:b/>
              </w:rPr>
              <w:t>生态环境</w:t>
            </w:r>
          </w:p>
          <w:p w14:paraId="48065048">
            <w:pPr>
              <w:ind w:firstLine="480"/>
            </w:pPr>
            <w:r>
              <w:rPr>
                <w:rFonts w:hint="eastAsia" w:eastAsia="宋体"/>
                <w:color w:val="000000"/>
                <w:sz w:val="24"/>
                <w:lang w:eastAsia="zh-CN"/>
              </w:rPr>
              <w:t>本项目</w:t>
            </w:r>
            <w:r>
              <w:rPr>
                <w:rFonts w:eastAsia="Times New Roman"/>
                <w:color w:val="000000"/>
                <w:sz w:val="24"/>
              </w:rPr>
              <w:t>评价范围内</w:t>
            </w:r>
            <w:r>
              <w:rPr>
                <w:color w:val="000000"/>
                <w:kern w:val="21"/>
                <w:sz w:val="24"/>
              </w:rPr>
              <w:t>无名胜古迹、风景区、自然保护区、饮用水源保护区等生态保护目标，符合生态保护红线要求。</w:t>
            </w:r>
          </w:p>
        </w:tc>
      </w:tr>
      <w:tr w14:paraId="1AC2BC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454" w:type="dxa"/>
            <w:vAlign w:val="center"/>
          </w:tcPr>
          <w:p w14:paraId="6A4AD549">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pPr>
            <w:r>
              <w:rPr>
                <w:rFonts w:hint="eastAsia"/>
              </w:rPr>
              <w:t>污染物排放控制标准</w:t>
            </w:r>
          </w:p>
        </w:tc>
        <w:tc>
          <w:tcPr>
            <w:tcW w:w="9076" w:type="dxa"/>
            <w:vAlign w:val="center"/>
          </w:tcPr>
          <w:p w14:paraId="0124EBD8">
            <w:pPr>
              <w:pStyle w:val="54"/>
              <w:keepNext w:val="0"/>
              <w:keepLines w:val="0"/>
              <w:pageBreakBefore w:val="0"/>
              <w:widowControl w:val="0"/>
              <w:numPr>
                <w:ilvl w:val="0"/>
                <w:numId w:val="0"/>
              </w:numPr>
              <w:kinsoku/>
              <w:wordWrap/>
              <w:overflowPunct/>
              <w:topLinePunct w:val="0"/>
              <w:autoSpaceDE/>
              <w:autoSpaceDN/>
              <w:bidi w:val="0"/>
              <w:adjustRightInd/>
              <w:snapToGrid/>
              <w:ind w:left="0" w:leftChars="0" w:firstLine="482" w:firstLineChars="200"/>
              <w:textAlignment w:val="auto"/>
              <w:rPr>
                <w:b/>
              </w:rPr>
            </w:pPr>
            <w:r>
              <w:rPr>
                <w:rFonts w:hint="eastAsia"/>
                <w:b/>
                <w:lang w:val="en-US" w:eastAsia="zh-CN"/>
              </w:rPr>
              <w:t>1、</w:t>
            </w:r>
            <w:r>
              <w:rPr>
                <w:b/>
              </w:rPr>
              <w:t>废气</w:t>
            </w:r>
          </w:p>
          <w:p w14:paraId="5DFF4531">
            <w:pPr>
              <w:spacing w:line="360"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本项目厂界</w:t>
            </w:r>
            <w:r>
              <w:rPr>
                <w:rFonts w:ascii="Times New Roman" w:hAnsi="Times New Roman" w:eastAsia="宋体"/>
                <w:color w:val="000000" w:themeColor="text1"/>
                <w:sz w:val="24"/>
                <w14:textFill>
                  <w14:solidFill>
                    <w14:schemeClr w14:val="tx1"/>
                  </w14:solidFill>
                </w14:textFill>
              </w:rPr>
              <w:t>油气浓度排放执行《加油站大气污染物排放标准》（GB20952-2020）表3中油气浓度无组织排放限值</w:t>
            </w:r>
            <w:r>
              <w:rPr>
                <w:rFonts w:hint="eastAsia" w:ascii="Times New Roman" w:hAnsi="Times New Roman" w:eastAsia="宋体"/>
                <w:color w:val="000000" w:themeColor="text1"/>
                <w:sz w:val="24"/>
                <w:lang w:eastAsia="zh-CN"/>
                <w14:textFill>
                  <w14:solidFill>
                    <w14:schemeClr w14:val="tx1"/>
                  </w14:solidFill>
                </w14:textFill>
              </w:rPr>
              <w:t>，</w:t>
            </w:r>
            <w:r>
              <w:rPr>
                <w:rFonts w:ascii="Times New Roman" w:hAnsi="Times New Roman" w:eastAsia="宋体"/>
                <w:color w:val="000000" w:themeColor="text1"/>
                <w:sz w:val="24"/>
                <w14:textFill>
                  <w14:solidFill>
                    <w14:schemeClr w14:val="tx1"/>
                  </w14:solidFill>
                </w14:textFill>
              </w:rPr>
              <w:t>具体标准值</w:t>
            </w:r>
            <w:r>
              <w:rPr>
                <w:rFonts w:hint="eastAsia" w:ascii="Times New Roman" w:hAnsi="Times New Roman" w:eastAsia="宋体"/>
                <w:color w:val="000000" w:themeColor="text1"/>
                <w:sz w:val="24"/>
                <w:lang w:val="en-US" w:eastAsia="zh-CN"/>
                <w14:textFill>
                  <w14:solidFill>
                    <w14:schemeClr w14:val="tx1"/>
                  </w14:solidFill>
                </w14:textFill>
              </w:rPr>
              <w:t>详</w:t>
            </w:r>
            <w:r>
              <w:rPr>
                <w:rFonts w:ascii="Times New Roman" w:hAnsi="Times New Roman" w:eastAsia="宋体"/>
                <w:color w:val="000000" w:themeColor="text1"/>
                <w:sz w:val="24"/>
                <w14:textFill>
                  <w14:solidFill>
                    <w14:schemeClr w14:val="tx1"/>
                  </w14:solidFill>
                </w14:textFill>
              </w:rPr>
              <w:t>见表3-</w:t>
            </w:r>
            <w:r>
              <w:rPr>
                <w:rFonts w:hint="eastAsia"/>
                <w:color w:val="000000" w:themeColor="text1"/>
                <w:sz w:val="24"/>
                <w:lang w:val="en-US" w:eastAsia="zh-CN"/>
                <w14:textFill>
                  <w14:solidFill>
                    <w14:schemeClr w14:val="tx1"/>
                  </w14:solidFill>
                </w14:textFill>
              </w:rPr>
              <w:t>7</w:t>
            </w:r>
            <w:r>
              <w:rPr>
                <w:rFonts w:ascii="Times New Roman" w:hAnsi="Times New Roman" w:eastAsia="宋体"/>
                <w:color w:val="000000" w:themeColor="text1"/>
                <w:sz w:val="24"/>
                <w14:textFill>
                  <w14:solidFill>
                    <w14:schemeClr w14:val="tx1"/>
                  </w14:solidFill>
                </w14:textFill>
              </w:rPr>
              <w:t>。</w:t>
            </w:r>
          </w:p>
          <w:p w14:paraId="175990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b/>
                <w:color w:val="000000" w:themeColor="text1"/>
                <w:sz w:val="21"/>
                <w:szCs w:val="21"/>
                <w14:textFill>
                  <w14:solidFill>
                    <w14:schemeClr w14:val="tx1"/>
                  </w14:solidFill>
                </w14:textFill>
              </w:rPr>
            </w:pPr>
            <w:r>
              <w:rPr>
                <w:rFonts w:hint="eastAsia" w:ascii="Times New Roman" w:hAnsi="Times New Roman" w:eastAsia="宋体"/>
                <w:b/>
                <w:color w:val="000000" w:themeColor="text1"/>
                <w:sz w:val="21"/>
                <w:szCs w:val="21"/>
                <w14:textFill>
                  <w14:solidFill>
                    <w14:schemeClr w14:val="tx1"/>
                  </w14:solidFill>
                </w14:textFill>
              </w:rPr>
              <w:t>表3</w:t>
            </w:r>
            <w:r>
              <w:rPr>
                <w:rFonts w:ascii="Times New Roman" w:hAnsi="Times New Roman" w:eastAsia="宋体"/>
                <w:b/>
                <w:color w:val="000000" w:themeColor="text1"/>
                <w:sz w:val="21"/>
                <w:szCs w:val="21"/>
                <w14:textFill>
                  <w14:solidFill>
                    <w14:schemeClr w14:val="tx1"/>
                  </w14:solidFill>
                </w14:textFill>
              </w:rPr>
              <w:t>-</w:t>
            </w:r>
            <w:r>
              <w:rPr>
                <w:rFonts w:hint="eastAsia"/>
                <w:b/>
                <w:color w:val="000000" w:themeColor="text1"/>
                <w:sz w:val="21"/>
                <w:szCs w:val="21"/>
                <w:lang w:val="en-US" w:eastAsia="zh-CN"/>
                <w14:textFill>
                  <w14:solidFill>
                    <w14:schemeClr w14:val="tx1"/>
                  </w14:solidFill>
                </w14:textFill>
              </w:rPr>
              <w:t>7</w:t>
            </w:r>
            <w:r>
              <w:rPr>
                <w:rFonts w:ascii="Times New Roman" w:hAnsi="Times New Roman" w:eastAsia="宋体"/>
                <w:b/>
                <w:color w:val="000000" w:themeColor="text1"/>
                <w:sz w:val="21"/>
                <w:szCs w:val="21"/>
                <w14:textFill>
                  <w14:solidFill>
                    <w14:schemeClr w14:val="tx1"/>
                  </w14:solidFill>
                </w14:textFill>
              </w:rPr>
              <w:t xml:space="preserve">   </w:t>
            </w:r>
            <w:r>
              <w:rPr>
                <w:rFonts w:hint="eastAsia" w:ascii="Times New Roman" w:hAnsi="Times New Roman" w:eastAsia="宋体"/>
                <w:b/>
                <w:color w:val="000000" w:themeColor="text1"/>
                <w:sz w:val="21"/>
                <w:szCs w:val="21"/>
                <w14:textFill>
                  <w14:solidFill>
                    <w14:schemeClr w14:val="tx1"/>
                  </w14:solidFill>
                </w14:textFill>
              </w:rPr>
              <w:t>油气</w:t>
            </w:r>
            <w:r>
              <w:rPr>
                <w:rFonts w:ascii="Times New Roman" w:hAnsi="Times New Roman" w:eastAsia="宋体"/>
                <w:b/>
                <w:color w:val="000000" w:themeColor="text1"/>
                <w:sz w:val="21"/>
                <w:szCs w:val="21"/>
                <w14:textFill>
                  <w14:solidFill>
                    <w14:schemeClr w14:val="tx1"/>
                  </w14:solidFill>
                </w14:textFill>
              </w:rPr>
              <w:t>浓度无组织排放限值</w:t>
            </w:r>
          </w:p>
          <w:tbl>
            <w:tblPr>
              <w:tblStyle w:val="3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79"/>
              <w:gridCol w:w="2698"/>
              <w:gridCol w:w="4494"/>
            </w:tblGrid>
            <w:tr w14:paraId="6A5E6F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21" w:type="pct"/>
                  <w:vMerge w:val="restart"/>
                  <w:shd w:val="clear" w:color="auto" w:fill="auto"/>
                  <w:vAlign w:val="center"/>
                </w:tcPr>
                <w:p w14:paraId="6200105D">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污染物</w:t>
                  </w:r>
                </w:p>
              </w:tc>
              <w:tc>
                <w:tcPr>
                  <w:tcW w:w="1455" w:type="pct"/>
                  <w:shd w:val="clear" w:color="auto" w:fill="auto"/>
                  <w:vAlign w:val="center"/>
                </w:tcPr>
                <w:p w14:paraId="37809834">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限值</w:t>
                  </w:r>
                </w:p>
              </w:tc>
              <w:tc>
                <w:tcPr>
                  <w:tcW w:w="2423" w:type="pct"/>
                  <w:vMerge w:val="restart"/>
                  <w:shd w:val="clear" w:color="auto" w:fill="auto"/>
                  <w:vAlign w:val="center"/>
                </w:tcPr>
                <w:p w14:paraId="5B5BC341">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限值含义</w:t>
                  </w:r>
                </w:p>
              </w:tc>
            </w:tr>
            <w:tr w14:paraId="41C9C5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21" w:type="pct"/>
                  <w:vMerge w:val="continue"/>
                  <w:vAlign w:val="center"/>
                </w:tcPr>
                <w:p w14:paraId="43EB47DF">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宋体" w:cs="Times New Roman"/>
                      <w:b/>
                      <w:bCs/>
                      <w:color w:val="000000" w:themeColor="text1"/>
                      <w:kern w:val="0"/>
                      <w:sz w:val="21"/>
                      <w:szCs w:val="21"/>
                      <w14:textFill>
                        <w14:solidFill>
                          <w14:schemeClr w14:val="tx1"/>
                        </w14:solidFill>
                      </w14:textFill>
                    </w:rPr>
                  </w:pPr>
                </w:p>
              </w:tc>
              <w:tc>
                <w:tcPr>
                  <w:tcW w:w="1455" w:type="pct"/>
                  <w:shd w:val="clear" w:color="auto" w:fill="auto"/>
                  <w:vAlign w:val="center"/>
                </w:tcPr>
                <w:p w14:paraId="34311E50">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浓度（mg/m</w:t>
                  </w:r>
                  <w:r>
                    <w:rPr>
                      <w:rFonts w:hint="default" w:ascii="Times New Roman" w:hAnsi="Times New Roman" w:eastAsia="宋体" w:cs="Times New Roman"/>
                      <w:b/>
                      <w:bCs/>
                      <w:color w:val="000000" w:themeColor="text1"/>
                      <w:kern w:val="0"/>
                      <w:sz w:val="21"/>
                      <w:szCs w:val="21"/>
                      <w:vertAlign w:val="superscript"/>
                      <w14:textFill>
                        <w14:solidFill>
                          <w14:schemeClr w14:val="tx1"/>
                        </w14:solidFill>
                      </w14:textFill>
                    </w:rPr>
                    <w:t>3</w:t>
                  </w:r>
                  <w:r>
                    <w:rPr>
                      <w:rFonts w:hint="default" w:ascii="Times New Roman" w:hAnsi="Times New Roman" w:eastAsia="宋体" w:cs="Times New Roman"/>
                      <w:b/>
                      <w:bCs/>
                      <w:color w:val="000000" w:themeColor="text1"/>
                      <w:kern w:val="0"/>
                      <w:sz w:val="21"/>
                      <w:szCs w:val="21"/>
                      <w14:textFill>
                        <w14:solidFill>
                          <w14:schemeClr w14:val="tx1"/>
                        </w14:solidFill>
                      </w14:textFill>
                    </w:rPr>
                    <w:t>）</w:t>
                  </w:r>
                </w:p>
              </w:tc>
              <w:tc>
                <w:tcPr>
                  <w:tcW w:w="2423" w:type="pct"/>
                  <w:vMerge w:val="continue"/>
                  <w:vAlign w:val="center"/>
                </w:tcPr>
                <w:p w14:paraId="5B64B6E8">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宋体" w:cs="Times New Roman"/>
                      <w:b/>
                      <w:bCs/>
                      <w:color w:val="000000" w:themeColor="text1"/>
                      <w:kern w:val="0"/>
                      <w:sz w:val="21"/>
                      <w:szCs w:val="21"/>
                      <w14:textFill>
                        <w14:solidFill>
                          <w14:schemeClr w14:val="tx1"/>
                        </w14:solidFill>
                      </w14:textFill>
                    </w:rPr>
                  </w:pPr>
                </w:p>
              </w:tc>
            </w:tr>
            <w:tr w14:paraId="606592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21" w:type="pct"/>
                  <w:shd w:val="clear" w:color="auto" w:fill="auto"/>
                  <w:vAlign w:val="center"/>
                </w:tcPr>
                <w:p w14:paraId="74BB51FD">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非甲烷总烃</w:t>
                  </w:r>
                </w:p>
              </w:tc>
              <w:tc>
                <w:tcPr>
                  <w:tcW w:w="1455" w:type="pct"/>
                  <w:shd w:val="clear" w:color="auto" w:fill="auto"/>
                  <w:vAlign w:val="center"/>
                </w:tcPr>
                <w:p w14:paraId="514553E4">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4</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.0</w:t>
                  </w:r>
                </w:p>
              </w:tc>
              <w:tc>
                <w:tcPr>
                  <w:tcW w:w="2423" w:type="pct"/>
                  <w:shd w:val="clear" w:color="auto" w:fill="auto"/>
                  <w:vAlign w:val="center"/>
                </w:tcPr>
                <w:p w14:paraId="6BB02AC4">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监控点处1小时平均浓度值</w:t>
                  </w:r>
                </w:p>
              </w:tc>
            </w:tr>
          </w:tbl>
          <w:p w14:paraId="2D0EB11A">
            <w:pPr>
              <w:spacing w:line="360" w:lineRule="auto"/>
              <w:ind w:firstLine="480" w:firstLineChars="200"/>
              <w:rPr>
                <w:rFonts w:ascii="Times New Roman" w:hAnsi="Times New Roman" w:eastAsia="宋体"/>
                <w:color w:val="auto"/>
                <w:sz w:val="24"/>
              </w:rPr>
            </w:pPr>
            <w:r>
              <w:rPr>
                <w:rFonts w:hint="eastAsia" w:ascii="Times New Roman" w:hAnsi="Times New Roman" w:eastAsia="宋体"/>
                <w:color w:val="auto"/>
                <w:sz w:val="24"/>
                <w:lang w:val="en-US" w:eastAsia="zh-CN"/>
              </w:rPr>
              <w:t>本项目加油油气回收管线液阻检测值应小于</w:t>
            </w:r>
            <w:r>
              <w:rPr>
                <w:rFonts w:ascii="Times New Roman" w:hAnsi="Times New Roman" w:eastAsia="宋体"/>
                <w:color w:val="auto"/>
                <w:sz w:val="24"/>
              </w:rPr>
              <w:t>《加油站大气污染物排放标准》（GB20952-2020）</w:t>
            </w:r>
            <w:r>
              <w:rPr>
                <w:rFonts w:hint="eastAsia" w:ascii="Times New Roman" w:hAnsi="Times New Roman" w:eastAsia="宋体"/>
                <w:color w:val="auto"/>
                <w:sz w:val="24"/>
                <w:lang w:val="en-US" w:eastAsia="zh-CN"/>
              </w:rPr>
              <w:t>表1规定的压力限值，</w:t>
            </w:r>
            <w:r>
              <w:rPr>
                <w:rFonts w:ascii="Times New Roman" w:hAnsi="Times New Roman" w:eastAsia="宋体"/>
                <w:color w:val="auto"/>
                <w:sz w:val="24"/>
              </w:rPr>
              <w:t>具体标准值</w:t>
            </w:r>
            <w:r>
              <w:rPr>
                <w:rFonts w:hint="eastAsia"/>
                <w:color w:val="auto"/>
                <w:sz w:val="24"/>
                <w:lang w:val="en-US" w:eastAsia="zh-CN"/>
              </w:rPr>
              <w:t>详</w:t>
            </w:r>
            <w:r>
              <w:rPr>
                <w:rFonts w:ascii="Times New Roman" w:hAnsi="Times New Roman" w:eastAsia="宋体"/>
                <w:color w:val="auto"/>
                <w:sz w:val="24"/>
              </w:rPr>
              <w:t>见表3-</w:t>
            </w:r>
            <w:r>
              <w:rPr>
                <w:rFonts w:hint="eastAsia"/>
                <w:color w:val="auto"/>
                <w:sz w:val="24"/>
                <w:lang w:val="en-US" w:eastAsia="zh-CN"/>
              </w:rPr>
              <w:t>8</w:t>
            </w:r>
            <w:r>
              <w:rPr>
                <w:rFonts w:ascii="Times New Roman" w:hAnsi="Times New Roman" w:eastAsia="宋体"/>
                <w:color w:val="auto"/>
                <w:sz w:val="24"/>
              </w:rPr>
              <w:t>。</w:t>
            </w:r>
          </w:p>
          <w:p w14:paraId="154A91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b/>
                <w:bCs/>
                <w:color w:val="auto"/>
                <w:sz w:val="21"/>
                <w:szCs w:val="21"/>
                <w:lang w:val="en-US" w:eastAsia="zh-CN"/>
              </w:rPr>
            </w:pPr>
            <w:r>
              <w:rPr>
                <w:rFonts w:hint="eastAsia" w:ascii="Times New Roman" w:hAnsi="Times New Roman" w:eastAsia="宋体"/>
                <w:b/>
                <w:bCs/>
                <w:color w:val="auto"/>
                <w:sz w:val="21"/>
                <w:szCs w:val="21"/>
                <w:lang w:val="en-US" w:eastAsia="zh-CN"/>
              </w:rPr>
              <w:t>表3-</w:t>
            </w:r>
            <w:r>
              <w:rPr>
                <w:rFonts w:hint="eastAsia"/>
                <w:b/>
                <w:bCs/>
                <w:color w:val="auto"/>
                <w:sz w:val="21"/>
                <w:szCs w:val="21"/>
                <w:lang w:val="en-US" w:eastAsia="zh-CN"/>
              </w:rPr>
              <w:t>8</w:t>
            </w:r>
            <w:r>
              <w:rPr>
                <w:rFonts w:hint="eastAsia" w:ascii="Times New Roman" w:hAnsi="Times New Roman" w:eastAsia="宋体"/>
                <w:b/>
                <w:bCs/>
                <w:color w:val="auto"/>
                <w:sz w:val="21"/>
                <w:szCs w:val="21"/>
                <w:lang w:val="en-US" w:eastAsia="zh-CN"/>
              </w:rPr>
              <w:t xml:space="preserve">   加油站油气回收管线液阻最大压力限值</w:t>
            </w:r>
          </w:p>
          <w:tbl>
            <w:tblPr>
              <w:tblStyle w:val="3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35"/>
              <w:gridCol w:w="4636"/>
            </w:tblGrid>
            <w:tr w14:paraId="3DBE18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33" w:type="dxa"/>
                  <w:tcBorders>
                    <w:tl2br w:val="nil"/>
                    <w:tr2bl w:val="nil"/>
                  </w:tcBorders>
                  <w:vAlign w:val="top"/>
                </w:tcPr>
                <w:p w14:paraId="5381D84C">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b/>
                      <w:bCs/>
                      <w:color w:val="auto"/>
                      <w:sz w:val="21"/>
                      <w:szCs w:val="21"/>
                      <w:vertAlign w:val="baseline"/>
                      <w:lang w:val="en-US" w:eastAsia="zh-CN"/>
                    </w:rPr>
                  </w:pPr>
                  <w:r>
                    <w:rPr>
                      <w:rFonts w:hint="eastAsia" w:ascii="Times New Roman" w:hAnsi="Times New Roman" w:eastAsia="宋体"/>
                      <w:b/>
                      <w:bCs/>
                      <w:color w:val="auto"/>
                      <w:sz w:val="21"/>
                      <w:szCs w:val="21"/>
                      <w:vertAlign w:val="baseline"/>
                      <w:lang w:val="en-US" w:eastAsia="zh-CN"/>
                    </w:rPr>
                    <w:t>通入氮气流量/（L/min）</w:t>
                  </w:r>
                </w:p>
              </w:tc>
              <w:tc>
                <w:tcPr>
                  <w:tcW w:w="4534" w:type="dxa"/>
                  <w:tcBorders>
                    <w:tl2br w:val="nil"/>
                    <w:tr2bl w:val="nil"/>
                  </w:tcBorders>
                  <w:vAlign w:val="top"/>
                </w:tcPr>
                <w:p w14:paraId="7F604949">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b/>
                      <w:bCs/>
                      <w:color w:val="auto"/>
                      <w:sz w:val="21"/>
                      <w:szCs w:val="21"/>
                      <w:vertAlign w:val="baseline"/>
                      <w:lang w:val="en-US" w:eastAsia="zh-CN"/>
                    </w:rPr>
                  </w:pPr>
                  <w:r>
                    <w:rPr>
                      <w:rFonts w:hint="eastAsia" w:ascii="宋体" w:hAnsi="宋体" w:eastAsia="宋体" w:cs="宋体"/>
                      <w:b/>
                      <w:bCs/>
                      <w:color w:val="auto"/>
                      <w:kern w:val="0"/>
                      <w:sz w:val="21"/>
                      <w:szCs w:val="21"/>
                      <w:lang w:val="en-US" w:eastAsia="zh-CN" w:bidi="ar"/>
                    </w:rPr>
                    <w:t>最大压力</w:t>
                  </w:r>
                  <w:r>
                    <w:rPr>
                      <w:rFonts w:hint="default" w:ascii="Times New Roman" w:hAnsi="Times New Roman" w:eastAsia="宋体" w:cs="Times New Roman"/>
                      <w:b/>
                      <w:bCs/>
                      <w:color w:val="auto"/>
                      <w:kern w:val="0"/>
                      <w:sz w:val="21"/>
                      <w:szCs w:val="21"/>
                      <w:lang w:val="en-US" w:eastAsia="zh-CN" w:bidi="ar"/>
                    </w:rPr>
                    <w:t>/Pa</w:t>
                  </w:r>
                </w:p>
              </w:tc>
            </w:tr>
            <w:tr w14:paraId="5511B6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33" w:type="dxa"/>
                  <w:tcBorders>
                    <w:tl2br w:val="nil"/>
                    <w:tr2bl w:val="nil"/>
                  </w:tcBorders>
                  <w:vAlign w:val="top"/>
                </w:tcPr>
                <w:p w14:paraId="69135797">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18</w:t>
                  </w:r>
                </w:p>
              </w:tc>
              <w:tc>
                <w:tcPr>
                  <w:tcW w:w="4534" w:type="dxa"/>
                  <w:tcBorders>
                    <w:tl2br w:val="nil"/>
                    <w:tr2bl w:val="nil"/>
                  </w:tcBorders>
                  <w:vAlign w:val="top"/>
                </w:tcPr>
                <w:p w14:paraId="47C1719F">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40</w:t>
                  </w:r>
                </w:p>
              </w:tc>
            </w:tr>
            <w:tr w14:paraId="3D2836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33" w:type="dxa"/>
                  <w:tcBorders>
                    <w:tl2br w:val="nil"/>
                    <w:tr2bl w:val="nil"/>
                  </w:tcBorders>
                  <w:vAlign w:val="top"/>
                </w:tcPr>
                <w:p w14:paraId="6F50FD26">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28</w:t>
                  </w:r>
                </w:p>
              </w:tc>
              <w:tc>
                <w:tcPr>
                  <w:tcW w:w="4534" w:type="dxa"/>
                  <w:tcBorders>
                    <w:tl2br w:val="nil"/>
                    <w:tr2bl w:val="nil"/>
                  </w:tcBorders>
                  <w:vAlign w:val="top"/>
                </w:tcPr>
                <w:p w14:paraId="503DE089">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90</w:t>
                  </w:r>
                </w:p>
              </w:tc>
            </w:tr>
            <w:tr w14:paraId="22F0DD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33" w:type="dxa"/>
                  <w:tcBorders>
                    <w:tl2br w:val="nil"/>
                    <w:tr2bl w:val="nil"/>
                  </w:tcBorders>
                  <w:vAlign w:val="top"/>
                </w:tcPr>
                <w:p w14:paraId="78240247">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38</w:t>
                  </w:r>
                </w:p>
              </w:tc>
              <w:tc>
                <w:tcPr>
                  <w:tcW w:w="4534" w:type="dxa"/>
                  <w:tcBorders>
                    <w:tl2br w:val="nil"/>
                    <w:tr2bl w:val="nil"/>
                  </w:tcBorders>
                  <w:vAlign w:val="top"/>
                </w:tcPr>
                <w:p w14:paraId="26FB0FD2">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155</w:t>
                  </w:r>
                </w:p>
              </w:tc>
            </w:tr>
          </w:tbl>
          <w:p w14:paraId="55D576E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sz w:val="24"/>
                <w:lang w:val="en-US" w:eastAsia="zh-CN"/>
              </w:rPr>
            </w:pPr>
            <w:r>
              <w:rPr>
                <w:rFonts w:hint="eastAsia" w:ascii="Times New Roman" w:hAnsi="Times New Roman" w:eastAsia="宋体"/>
                <w:color w:val="auto"/>
                <w:sz w:val="24"/>
                <w:lang w:val="en-US" w:eastAsia="zh-CN"/>
              </w:rPr>
              <w:t>本项目油气回收系统密闭性</w:t>
            </w:r>
            <w:r>
              <w:rPr>
                <w:rFonts w:hint="eastAsia"/>
                <w:color w:val="auto"/>
                <w:sz w:val="24"/>
                <w:lang w:val="en-US" w:eastAsia="zh-CN"/>
              </w:rPr>
              <w:t>压力</w:t>
            </w:r>
            <w:r>
              <w:rPr>
                <w:rFonts w:hint="eastAsia" w:ascii="Times New Roman" w:hAnsi="Times New Roman" w:eastAsia="宋体"/>
                <w:color w:val="auto"/>
                <w:sz w:val="24"/>
                <w:lang w:val="en-US" w:eastAsia="zh-CN"/>
              </w:rPr>
              <w:t>检测值应大于等于《加油站大气污染物排放标准》（GB20952-2020</w:t>
            </w:r>
            <w:r>
              <w:rPr>
                <w:rFonts w:hint="eastAsia"/>
                <w:color w:val="auto"/>
                <w:sz w:val="24"/>
                <w:lang w:val="en-US" w:eastAsia="zh-CN"/>
              </w:rPr>
              <w:t>）</w:t>
            </w:r>
            <w:r>
              <w:rPr>
                <w:rFonts w:hint="eastAsia" w:ascii="Times New Roman" w:hAnsi="Times New Roman" w:eastAsia="宋体"/>
                <w:color w:val="auto"/>
                <w:sz w:val="24"/>
                <w:lang w:val="en-US" w:eastAsia="zh-CN"/>
              </w:rPr>
              <w:t>表2规定的最小剩余压力限值</w:t>
            </w:r>
            <w:r>
              <w:rPr>
                <w:rFonts w:hint="eastAsia"/>
                <w:color w:val="auto"/>
                <w:sz w:val="24"/>
                <w:lang w:val="en-US" w:eastAsia="zh-CN"/>
              </w:rPr>
              <w:t>，</w:t>
            </w:r>
            <w:r>
              <w:rPr>
                <w:rFonts w:hint="eastAsia" w:ascii="Times New Roman" w:hAnsi="Times New Roman" w:eastAsia="宋体" w:cs="Times New Roman"/>
                <w:b w:val="0"/>
                <w:bCs w:val="0"/>
                <w:color w:val="auto"/>
                <w:sz w:val="24"/>
                <w:szCs w:val="24"/>
                <w:highlight w:val="none"/>
                <w:lang w:val="en-US" w:eastAsia="zh-CN"/>
              </w:rPr>
              <w:t>具体</w:t>
            </w:r>
            <w:r>
              <w:rPr>
                <w:rFonts w:hint="eastAsia" w:cs="Times New Roman"/>
                <w:b w:val="0"/>
                <w:bCs w:val="0"/>
                <w:color w:val="auto"/>
                <w:sz w:val="24"/>
                <w:szCs w:val="24"/>
                <w:highlight w:val="none"/>
                <w:lang w:val="en-US" w:eastAsia="zh-CN"/>
              </w:rPr>
              <w:t>标</w:t>
            </w:r>
            <w:r>
              <w:rPr>
                <w:rFonts w:ascii="Times New Roman" w:hAnsi="Times New Roman" w:eastAsia="宋体"/>
                <w:color w:val="000000" w:themeColor="text1"/>
                <w:sz w:val="24"/>
                <w14:textFill>
                  <w14:solidFill>
                    <w14:schemeClr w14:val="tx1"/>
                  </w14:solidFill>
                </w14:textFill>
              </w:rPr>
              <w:t>准值</w:t>
            </w:r>
            <w:r>
              <w:rPr>
                <w:rFonts w:hint="eastAsia" w:ascii="Times New Roman" w:hAnsi="Times New Roman" w:eastAsia="宋体"/>
                <w:color w:val="000000" w:themeColor="text1"/>
                <w:sz w:val="24"/>
                <w:lang w:val="en-US" w:eastAsia="zh-CN"/>
                <w14:textFill>
                  <w14:solidFill>
                    <w14:schemeClr w14:val="tx1"/>
                  </w14:solidFill>
                </w14:textFill>
              </w:rPr>
              <w:t>详</w:t>
            </w:r>
            <w:r>
              <w:rPr>
                <w:rFonts w:ascii="Times New Roman" w:hAnsi="Times New Roman" w:eastAsia="宋体"/>
                <w:color w:val="000000" w:themeColor="text1"/>
                <w:sz w:val="24"/>
                <w14:textFill>
                  <w14:solidFill>
                    <w14:schemeClr w14:val="tx1"/>
                  </w14:solidFill>
                </w14:textFill>
              </w:rPr>
              <w:t>见表</w:t>
            </w:r>
            <w:r>
              <w:rPr>
                <w:rFonts w:hint="eastAsia" w:ascii="Times New Roman" w:hAnsi="Times New Roman" w:eastAsia="宋体" w:cs="Times New Roman"/>
                <w:b w:val="0"/>
                <w:bCs w:val="0"/>
                <w:color w:val="auto"/>
                <w:sz w:val="24"/>
                <w:szCs w:val="24"/>
                <w:highlight w:val="none"/>
                <w:lang w:val="en-US" w:eastAsia="zh-CN"/>
              </w:rPr>
              <w:t>3-9。</w:t>
            </w:r>
          </w:p>
          <w:p w14:paraId="043D59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bCs/>
                <w:color w:val="auto"/>
                <w:sz w:val="21"/>
                <w:szCs w:val="21"/>
                <w:lang w:val="en-US" w:eastAsia="zh-CN"/>
              </w:rPr>
            </w:pPr>
            <w:r>
              <w:rPr>
                <w:rFonts w:hint="eastAsia" w:ascii="Times New Roman" w:hAnsi="Times New Roman" w:eastAsia="宋体"/>
                <w:b/>
                <w:bCs/>
                <w:color w:val="auto"/>
                <w:sz w:val="21"/>
                <w:szCs w:val="21"/>
                <w:lang w:val="en-US" w:eastAsia="zh-CN"/>
              </w:rPr>
              <w:t>表3-</w:t>
            </w:r>
            <w:r>
              <w:rPr>
                <w:rFonts w:hint="eastAsia"/>
                <w:b/>
                <w:bCs/>
                <w:color w:val="auto"/>
                <w:sz w:val="21"/>
                <w:szCs w:val="21"/>
                <w:lang w:val="en-US" w:eastAsia="zh-CN"/>
              </w:rPr>
              <w:t>9</w:t>
            </w:r>
            <w:r>
              <w:rPr>
                <w:rFonts w:hint="eastAsia" w:ascii="Times New Roman" w:hAnsi="Times New Roman" w:eastAsia="宋体"/>
                <w:b/>
                <w:bCs/>
                <w:color w:val="auto"/>
                <w:sz w:val="21"/>
                <w:szCs w:val="21"/>
                <w:lang w:val="en-US" w:eastAsia="zh-CN"/>
              </w:rPr>
              <w:t xml:space="preserve">   加油站油气回收系统密闭性检测最小剩余压力限值</w:t>
            </w:r>
            <w:r>
              <w:rPr>
                <w:rFonts w:hint="eastAsia"/>
                <w:b/>
                <w:bCs/>
                <w:color w:val="auto"/>
                <w:sz w:val="21"/>
                <w:szCs w:val="21"/>
                <w:lang w:val="en-US" w:eastAsia="zh-CN"/>
              </w:rPr>
              <w:t xml:space="preserve">    单位：</w:t>
            </w:r>
            <w:r>
              <w:rPr>
                <w:rFonts w:hint="eastAsia" w:ascii="Times New Roman" w:hAnsi="Times New Roman" w:eastAsia="宋体"/>
                <w:b/>
                <w:bCs/>
                <w:color w:val="auto"/>
                <w:sz w:val="21"/>
                <w:szCs w:val="21"/>
                <w:lang w:val="en-US" w:eastAsia="zh-CN"/>
              </w:rPr>
              <w:t>Pa</w:t>
            </w:r>
          </w:p>
          <w:tbl>
            <w:tblPr>
              <w:tblStyle w:val="3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53"/>
              <w:gridCol w:w="1503"/>
              <w:gridCol w:w="1503"/>
              <w:gridCol w:w="1503"/>
              <w:gridCol w:w="1503"/>
              <w:gridCol w:w="1506"/>
            </w:tblGrid>
            <w:tr w14:paraId="2AE0A7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53" w:type="dxa"/>
                  <w:vMerge w:val="restart"/>
                  <w:tcBorders>
                    <w:tl2br w:val="nil"/>
                    <w:tr2bl w:val="nil"/>
                  </w:tcBorders>
                  <w:noWrap w:val="0"/>
                  <w:vAlign w:val="center"/>
                </w:tcPr>
                <w:p w14:paraId="334F183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b/>
                      <w:bCs/>
                      <w:color w:val="auto"/>
                      <w:sz w:val="21"/>
                      <w:szCs w:val="21"/>
                      <w:lang w:val="en-US" w:eastAsia="zh-CN"/>
                    </w:rPr>
                  </w:pPr>
                  <w:r>
                    <w:rPr>
                      <w:rFonts w:hint="eastAsia" w:ascii="Times New Roman" w:hAnsi="Times New Roman" w:eastAsia="宋体"/>
                      <w:b/>
                      <w:bCs/>
                      <w:color w:val="auto"/>
                      <w:sz w:val="21"/>
                      <w:szCs w:val="21"/>
                      <w:lang w:val="en-US" w:eastAsia="zh-CN"/>
                    </w:rPr>
                    <w:t>储罐油气空间</w:t>
                  </w:r>
                  <w:r>
                    <w:rPr>
                      <w:rFonts w:hint="eastAsia"/>
                      <w:b/>
                      <w:bCs/>
                      <w:color w:val="auto"/>
                      <w:sz w:val="21"/>
                      <w:szCs w:val="21"/>
                      <w:lang w:val="en-US" w:eastAsia="zh-CN"/>
                    </w:rPr>
                    <w:t>/</w:t>
                  </w:r>
                  <w:r>
                    <w:rPr>
                      <w:rFonts w:hint="eastAsia" w:ascii="Times New Roman" w:hAnsi="Times New Roman" w:eastAsia="宋体"/>
                      <w:b/>
                      <w:bCs/>
                      <w:color w:val="auto"/>
                      <w:sz w:val="21"/>
                      <w:szCs w:val="21"/>
                      <w:lang w:val="en-US" w:eastAsia="zh-CN"/>
                    </w:rPr>
                    <w:t>L</w:t>
                  </w:r>
                </w:p>
              </w:tc>
              <w:tc>
                <w:tcPr>
                  <w:tcW w:w="7518" w:type="dxa"/>
                  <w:gridSpan w:val="5"/>
                  <w:tcBorders>
                    <w:tl2br w:val="nil"/>
                    <w:tr2bl w:val="nil"/>
                  </w:tcBorders>
                  <w:noWrap w:val="0"/>
                  <w:vAlign w:val="center"/>
                </w:tcPr>
                <w:p w14:paraId="256626A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b/>
                      <w:bCs/>
                      <w:color w:val="auto"/>
                      <w:sz w:val="21"/>
                      <w:szCs w:val="21"/>
                      <w:lang w:val="en-US" w:eastAsia="zh-CN"/>
                    </w:rPr>
                  </w:pPr>
                  <w:r>
                    <w:rPr>
                      <w:rFonts w:hint="eastAsia" w:ascii="Times New Roman" w:hAnsi="Times New Roman" w:eastAsia="宋体"/>
                      <w:b/>
                      <w:bCs/>
                      <w:color w:val="auto"/>
                      <w:sz w:val="21"/>
                      <w:szCs w:val="21"/>
                      <w:lang w:val="en-US" w:eastAsia="zh-CN"/>
                    </w:rPr>
                    <w:t>受影响的加油枪数</w:t>
                  </w:r>
                </w:p>
              </w:tc>
            </w:tr>
            <w:tr w14:paraId="38BAAB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53" w:type="dxa"/>
                  <w:vMerge w:val="continue"/>
                  <w:tcBorders>
                    <w:tl2br w:val="nil"/>
                    <w:tr2bl w:val="nil"/>
                  </w:tcBorders>
                  <w:noWrap w:val="0"/>
                  <w:vAlign w:val="center"/>
                </w:tcPr>
                <w:p w14:paraId="16A9523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b/>
                      <w:bCs/>
                      <w:color w:val="auto"/>
                      <w:sz w:val="21"/>
                      <w:szCs w:val="21"/>
                      <w:lang w:val="en-US" w:eastAsia="zh-CN"/>
                    </w:rPr>
                  </w:pPr>
                </w:p>
              </w:tc>
              <w:tc>
                <w:tcPr>
                  <w:tcW w:w="1503" w:type="dxa"/>
                  <w:tcBorders>
                    <w:tl2br w:val="nil"/>
                    <w:tr2bl w:val="nil"/>
                  </w:tcBorders>
                  <w:noWrap w:val="0"/>
                  <w:vAlign w:val="center"/>
                </w:tcPr>
                <w:p w14:paraId="2F51F1F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b/>
                      <w:bCs/>
                      <w:color w:val="auto"/>
                      <w:sz w:val="21"/>
                      <w:szCs w:val="21"/>
                      <w:lang w:val="en-US" w:eastAsia="zh-CN"/>
                    </w:rPr>
                  </w:pPr>
                  <w:r>
                    <w:rPr>
                      <w:rFonts w:hint="eastAsia" w:ascii="Times New Roman" w:hAnsi="Times New Roman" w:eastAsia="宋体"/>
                      <w:b/>
                      <w:bCs/>
                      <w:color w:val="auto"/>
                      <w:sz w:val="21"/>
                      <w:szCs w:val="21"/>
                      <w:lang w:val="en-US" w:eastAsia="zh-CN"/>
                    </w:rPr>
                    <w:t>1-6</w:t>
                  </w:r>
                </w:p>
              </w:tc>
              <w:tc>
                <w:tcPr>
                  <w:tcW w:w="1503" w:type="dxa"/>
                  <w:tcBorders>
                    <w:tl2br w:val="nil"/>
                    <w:tr2bl w:val="nil"/>
                  </w:tcBorders>
                  <w:noWrap w:val="0"/>
                  <w:vAlign w:val="center"/>
                </w:tcPr>
                <w:p w14:paraId="22B0AA5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b/>
                      <w:bCs/>
                      <w:color w:val="auto"/>
                      <w:sz w:val="21"/>
                      <w:szCs w:val="21"/>
                      <w:lang w:val="en-US" w:eastAsia="zh-CN"/>
                    </w:rPr>
                  </w:pPr>
                  <w:r>
                    <w:rPr>
                      <w:rFonts w:hint="eastAsia" w:ascii="Times New Roman" w:hAnsi="Times New Roman" w:eastAsia="宋体"/>
                      <w:b/>
                      <w:bCs/>
                      <w:color w:val="auto"/>
                      <w:sz w:val="21"/>
                      <w:szCs w:val="21"/>
                      <w:lang w:val="en-US" w:eastAsia="zh-CN"/>
                    </w:rPr>
                    <w:t>7-12</w:t>
                  </w:r>
                </w:p>
              </w:tc>
              <w:tc>
                <w:tcPr>
                  <w:tcW w:w="1503" w:type="dxa"/>
                  <w:tcBorders>
                    <w:tl2br w:val="nil"/>
                    <w:tr2bl w:val="nil"/>
                  </w:tcBorders>
                  <w:noWrap w:val="0"/>
                  <w:vAlign w:val="center"/>
                </w:tcPr>
                <w:p w14:paraId="5387AD0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b/>
                      <w:bCs/>
                      <w:color w:val="auto"/>
                      <w:sz w:val="21"/>
                      <w:szCs w:val="21"/>
                      <w:lang w:val="en-US" w:eastAsia="zh-CN"/>
                    </w:rPr>
                  </w:pPr>
                  <w:r>
                    <w:rPr>
                      <w:rFonts w:hint="eastAsia" w:ascii="Times New Roman" w:hAnsi="Times New Roman" w:eastAsia="宋体"/>
                      <w:b/>
                      <w:bCs/>
                      <w:color w:val="auto"/>
                      <w:sz w:val="21"/>
                      <w:szCs w:val="21"/>
                      <w:lang w:val="en-US" w:eastAsia="zh-CN"/>
                    </w:rPr>
                    <w:t>13-18</w:t>
                  </w:r>
                </w:p>
              </w:tc>
              <w:tc>
                <w:tcPr>
                  <w:tcW w:w="1503" w:type="dxa"/>
                  <w:tcBorders>
                    <w:tl2br w:val="nil"/>
                    <w:tr2bl w:val="nil"/>
                  </w:tcBorders>
                  <w:noWrap w:val="0"/>
                  <w:vAlign w:val="center"/>
                </w:tcPr>
                <w:p w14:paraId="3C854D9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b/>
                      <w:bCs/>
                      <w:color w:val="auto"/>
                      <w:sz w:val="21"/>
                      <w:szCs w:val="21"/>
                      <w:lang w:val="en-US" w:eastAsia="zh-CN"/>
                    </w:rPr>
                  </w:pPr>
                  <w:r>
                    <w:rPr>
                      <w:rFonts w:hint="eastAsia" w:ascii="Times New Roman" w:hAnsi="Times New Roman" w:eastAsia="宋体"/>
                      <w:b/>
                      <w:bCs/>
                      <w:color w:val="auto"/>
                      <w:sz w:val="21"/>
                      <w:szCs w:val="21"/>
                      <w:lang w:val="en-US" w:eastAsia="zh-CN"/>
                    </w:rPr>
                    <w:t>19-24</w:t>
                  </w:r>
                </w:p>
              </w:tc>
              <w:tc>
                <w:tcPr>
                  <w:tcW w:w="1506" w:type="dxa"/>
                  <w:tcBorders>
                    <w:tl2br w:val="nil"/>
                    <w:tr2bl w:val="nil"/>
                  </w:tcBorders>
                  <w:noWrap w:val="0"/>
                  <w:vAlign w:val="center"/>
                </w:tcPr>
                <w:p w14:paraId="381297E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b/>
                      <w:bCs/>
                      <w:color w:val="auto"/>
                      <w:sz w:val="21"/>
                      <w:szCs w:val="21"/>
                      <w:lang w:val="en-US" w:eastAsia="zh-CN"/>
                    </w:rPr>
                  </w:pPr>
                  <w:r>
                    <w:rPr>
                      <w:rFonts w:hint="eastAsia" w:ascii="Times New Roman" w:hAnsi="Times New Roman" w:eastAsia="宋体"/>
                      <w:b/>
                      <w:bCs/>
                      <w:color w:val="auto"/>
                      <w:sz w:val="21"/>
                      <w:szCs w:val="21"/>
                      <w:lang w:val="en-US" w:eastAsia="zh-CN"/>
                    </w:rPr>
                    <w:t>＞24</w:t>
                  </w:r>
                </w:p>
              </w:tc>
            </w:tr>
            <w:tr w14:paraId="5D26BB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53" w:type="dxa"/>
                  <w:tcBorders>
                    <w:tl2br w:val="nil"/>
                    <w:tr2bl w:val="nil"/>
                  </w:tcBorders>
                  <w:noWrap w:val="0"/>
                  <w:vAlign w:val="center"/>
                </w:tcPr>
                <w:p w14:paraId="74D7932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1893</w:t>
                  </w:r>
                </w:p>
              </w:tc>
              <w:tc>
                <w:tcPr>
                  <w:tcW w:w="1503" w:type="dxa"/>
                  <w:tcBorders>
                    <w:tl2br w:val="nil"/>
                    <w:tr2bl w:val="nil"/>
                  </w:tcBorders>
                  <w:noWrap w:val="0"/>
                  <w:vAlign w:val="center"/>
                </w:tcPr>
                <w:p w14:paraId="1366A17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182</w:t>
                  </w:r>
                </w:p>
              </w:tc>
              <w:tc>
                <w:tcPr>
                  <w:tcW w:w="1503" w:type="dxa"/>
                  <w:tcBorders>
                    <w:tl2br w:val="nil"/>
                    <w:tr2bl w:val="nil"/>
                  </w:tcBorders>
                  <w:noWrap w:val="0"/>
                  <w:vAlign w:val="center"/>
                </w:tcPr>
                <w:p w14:paraId="22AE0C3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172</w:t>
                  </w:r>
                </w:p>
              </w:tc>
              <w:tc>
                <w:tcPr>
                  <w:tcW w:w="1503" w:type="dxa"/>
                  <w:tcBorders>
                    <w:tl2br w:val="nil"/>
                    <w:tr2bl w:val="nil"/>
                  </w:tcBorders>
                  <w:noWrap w:val="0"/>
                  <w:vAlign w:val="center"/>
                </w:tcPr>
                <w:p w14:paraId="5661F81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162</w:t>
                  </w:r>
                </w:p>
              </w:tc>
              <w:tc>
                <w:tcPr>
                  <w:tcW w:w="1503" w:type="dxa"/>
                  <w:tcBorders>
                    <w:tl2br w:val="nil"/>
                    <w:tr2bl w:val="nil"/>
                  </w:tcBorders>
                  <w:noWrap w:val="0"/>
                  <w:vAlign w:val="center"/>
                </w:tcPr>
                <w:p w14:paraId="3DB563E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152</w:t>
                  </w:r>
                </w:p>
              </w:tc>
              <w:tc>
                <w:tcPr>
                  <w:tcW w:w="1506" w:type="dxa"/>
                  <w:tcBorders>
                    <w:tl2br w:val="nil"/>
                    <w:tr2bl w:val="nil"/>
                  </w:tcBorders>
                  <w:noWrap w:val="0"/>
                  <w:vAlign w:val="center"/>
                </w:tcPr>
                <w:p w14:paraId="47B9397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142</w:t>
                  </w:r>
                </w:p>
              </w:tc>
            </w:tr>
            <w:tr w14:paraId="450648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53" w:type="dxa"/>
                  <w:tcBorders>
                    <w:tl2br w:val="nil"/>
                    <w:tr2bl w:val="nil"/>
                  </w:tcBorders>
                  <w:noWrap w:val="0"/>
                  <w:vAlign w:val="center"/>
                </w:tcPr>
                <w:p w14:paraId="6AC467B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2082</w:t>
                  </w:r>
                </w:p>
              </w:tc>
              <w:tc>
                <w:tcPr>
                  <w:tcW w:w="1503" w:type="dxa"/>
                  <w:tcBorders>
                    <w:tl2br w:val="nil"/>
                    <w:tr2bl w:val="nil"/>
                  </w:tcBorders>
                  <w:noWrap w:val="0"/>
                  <w:vAlign w:val="center"/>
                </w:tcPr>
                <w:p w14:paraId="72BBCFF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199</w:t>
                  </w:r>
                </w:p>
              </w:tc>
              <w:tc>
                <w:tcPr>
                  <w:tcW w:w="1503" w:type="dxa"/>
                  <w:tcBorders>
                    <w:tl2br w:val="nil"/>
                    <w:tr2bl w:val="nil"/>
                  </w:tcBorders>
                  <w:noWrap w:val="0"/>
                  <w:vAlign w:val="center"/>
                </w:tcPr>
                <w:p w14:paraId="01B885B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189</w:t>
                  </w:r>
                </w:p>
              </w:tc>
              <w:tc>
                <w:tcPr>
                  <w:tcW w:w="1503" w:type="dxa"/>
                  <w:tcBorders>
                    <w:tl2br w:val="nil"/>
                    <w:tr2bl w:val="nil"/>
                  </w:tcBorders>
                  <w:noWrap w:val="0"/>
                  <w:vAlign w:val="center"/>
                </w:tcPr>
                <w:p w14:paraId="01180EF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179</w:t>
                  </w:r>
                </w:p>
              </w:tc>
              <w:tc>
                <w:tcPr>
                  <w:tcW w:w="1503" w:type="dxa"/>
                  <w:tcBorders>
                    <w:tl2br w:val="nil"/>
                    <w:tr2bl w:val="nil"/>
                  </w:tcBorders>
                  <w:noWrap w:val="0"/>
                  <w:vAlign w:val="center"/>
                </w:tcPr>
                <w:p w14:paraId="2C6DE93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169</w:t>
                  </w:r>
                </w:p>
              </w:tc>
              <w:tc>
                <w:tcPr>
                  <w:tcW w:w="1506" w:type="dxa"/>
                  <w:tcBorders>
                    <w:tl2br w:val="nil"/>
                    <w:tr2bl w:val="nil"/>
                  </w:tcBorders>
                  <w:noWrap w:val="0"/>
                  <w:vAlign w:val="center"/>
                </w:tcPr>
                <w:p w14:paraId="4BCE540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159</w:t>
                  </w:r>
                </w:p>
              </w:tc>
            </w:tr>
            <w:tr w14:paraId="1CBF81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53" w:type="dxa"/>
                  <w:tcBorders>
                    <w:tl2br w:val="nil"/>
                    <w:tr2bl w:val="nil"/>
                  </w:tcBorders>
                  <w:noWrap w:val="0"/>
                  <w:vAlign w:val="center"/>
                </w:tcPr>
                <w:p w14:paraId="66B0D7B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2271</w:t>
                  </w:r>
                </w:p>
              </w:tc>
              <w:tc>
                <w:tcPr>
                  <w:tcW w:w="1503" w:type="dxa"/>
                  <w:tcBorders>
                    <w:tl2br w:val="nil"/>
                    <w:tr2bl w:val="nil"/>
                  </w:tcBorders>
                  <w:noWrap w:val="0"/>
                  <w:vAlign w:val="center"/>
                </w:tcPr>
                <w:p w14:paraId="7E6A30C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217</w:t>
                  </w:r>
                </w:p>
              </w:tc>
              <w:tc>
                <w:tcPr>
                  <w:tcW w:w="1503" w:type="dxa"/>
                  <w:tcBorders>
                    <w:tl2br w:val="nil"/>
                    <w:tr2bl w:val="nil"/>
                  </w:tcBorders>
                  <w:noWrap w:val="0"/>
                  <w:vAlign w:val="center"/>
                </w:tcPr>
                <w:p w14:paraId="18EEA05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204</w:t>
                  </w:r>
                </w:p>
              </w:tc>
              <w:tc>
                <w:tcPr>
                  <w:tcW w:w="1503" w:type="dxa"/>
                  <w:tcBorders>
                    <w:tl2br w:val="nil"/>
                    <w:tr2bl w:val="nil"/>
                  </w:tcBorders>
                  <w:noWrap w:val="0"/>
                  <w:vAlign w:val="center"/>
                </w:tcPr>
                <w:p w14:paraId="2DC733E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194</w:t>
                  </w:r>
                </w:p>
              </w:tc>
              <w:tc>
                <w:tcPr>
                  <w:tcW w:w="1503" w:type="dxa"/>
                  <w:tcBorders>
                    <w:tl2br w:val="nil"/>
                    <w:tr2bl w:val="nil"/>
                  </w:tcBorders>
                  <w:noWrap w:val="0"/>
                  <w:vAlign w:val="center"/>
                </w:tcPr>
                <w:p w14:paraId="64FE3E5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184</w:t>
                  </w:r>
                </w:p>
              </w:tc>
              <w:tc>
                <w:tcPr>
                  <w:tcW w:w="1506" w:type="dxa"/>
                  <w:tcBorders>
                    <w:tl2br w:val="nil"/>
                    <w:tr2bl w:val="nil"/>
                  </w:tcBorders>
                  <w:noWrap w:val="0"/>
                  <w:vAlign w:val="center"/>
                </w:tcPr>
                <w:p w14:paraId="7EB85C9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177</w:t>
                  </w:r>
                </w:p>
              </w:tc>
            </w:tr>
            <w:tr w14:paraId="0C1A18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53" w:type="dxa"/>
                  <w:tcBorders>
                    <w:tl2br w:val="nil"/>
                    <w:tr2bl w:val="nil"/>
                  </w:tcBorders>
                  <w:noWrap w:val="0"/>
                  <w:vAlign w:val="center"/>
                </w:tcPr>
                <w:p w14:paraId="71C36B7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2460</w:t>
                  </w:r>
                </w:p>
              </w:tc>
              <w:tc>
                <w:tcPr>
                  <w:tcW w:w="1503" w:type="dxa"/>
                  <w:tcBorders>
                    <w:tl2br w:val="nil"/>
                    <w:tr2bl w:val="nil"/>
                  </w:tcBorders>
                  <w:noWrap w:val="0"/>
                  <w:vAlign w:val="center"/>
                </w:tcPr>
                <w:p w14:paraId="5643165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232</w:t>
                  </w:r>
                </w:p>
              </w:tc>
              <w:tc>
                <w:tcPr>
                  <w:tcW w:w="1503" w:type="dxa"/>
                  <w:tcBorders>
                    <w:tl2br w:val="nil"/>
                    <w:tr2bl w:val="nil"/>
                  </w:tcBorders>
                  <w:noWrap w:val="0"/>
                  <w:vAlign w:val="center"/>
                </w:tcPr>
                <w:p w14:paraId="6DED362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219</w:t>
                  </w:r>
                </w:p>
              </w:tc>
              <w:tc>
                <w:tcPr>
                  <w:tcW w:w="1503" w:type="dxa"/>
                  <w:tcBorders>
                    <w:tl2br w:val="nil"/>
                    <w:tr2bl w:val="nil"/>
                  </w:tcBorders>
                  <w:noWrap w:val="0"/>
                  <w:vAlign w:val="center"/>
                </w:tcPr>
                <w:p w14:paraId="435889A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209</w:t>
                  </w:r>
                </w:p>
              </w:tc>
              <w:tc>
                <w:tcPr>
                  <w:tcW w:w="1503" w:type="dxa"/>
                  <w:tcBorders>
                    <w:tl2br w:val="nil"/>
                    <w:tr2bl w:val="nil"/>
                  </w:tcBorders>
                  <w:noWrap w:val="0"/>
                  <w:vAlign w:val="center"/>
                </w:tcPr>
                <w:p w14:paraId="4CBFBF8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199</w:t>
                  </w:r>
                </w:p>
              </w:tc>
              <w:tc>
                <w:tcPr>
                  <w:tcW w:w="1506" w:type="dxa"/>
                  <w:tcBorders>
                    <w:tl2br w:val="nil"/>
                    <w:tr2bl w:val="nil"/>
                  </w:tcBorders>
                  <w:noWrap w:val="0"/>
                  <w:vAlign w:val="center"/>
                </w:tcPr>
                <w:p w14:paraId="550DC7C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192</w:t>
                  </w:r>
                </w:p>
              </w:tc>
            </w:tr>
            <w:tr w14:paraId="1D119F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53" w:type="dxa"/>
                  <w:tcBorders>
                    <w:tl2br w:val="nil"/>
                    <w:tr2bl w:val="nil"/>
                  </w:tcBorders>
                  <w:noWrap w:val="0"/>
                  <w:vAlign w:val="center"/>
                </w:tcPr>
                <w:p w14:paraId="5A2A735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2650</w:t>
                  </w:r>
                </w:p>
              </w:tc>
              <w:tc>
                <w:tcPr>
                  <w:tcW w:w="1503" w:type="dxa"/>
                  <w:tcBorders>
                    <w:tl2br w:val="nil"/>
                    <w:tr2bl w:val="nil"/>
                  </w:tcBorders>
                  <w:noWrap w:val="0"/>
                  <w:vAlign w:val="center"/>
                </w:tcPr>
                <w:p w14:paraId="6D60604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244</w:t>
                  </w:r>
                </w:p>
              </w:tc>
              <w:tc>
                <w:tcPr>
                  <w:tcW w:w="1503" w:type="dxa"/>
                  <w:tcBorders>
                    <w:tl2br w:val="nil"/>
                    <w:tr2bl w:val="nil"/>
                  </w:tcBorders>
                  <w:noWrap w:val="0"/>
                  <w:vAlign w:val="center"/>
                </w:tcPr>
                <w:p w14:paraId="326424B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234</w:t>
                  </w:r>
                </w:p>
              </w:tc>
              <w:tc>
                <w:tcPr>
                  <w:tcW w:w="1503" w:type="dxa"/>
                  <w:tcBorders>
                    <w:tl2br w:val="nil"/>
                    <w:tr2bl w:val="nil"/>
                  </w:tcBorders>
                  <w:noWrap w:val="0"/>
                  <w:vAlign w:val="center"/>
                </w:tcPr>
                <w:p w14:paraId="22C0095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224</w:t>
                  </w:r>
                </w:p>
              </w:tc>
              <w:tc>
                <w:tcPr>
                  <w:tcW w:w="1503" w:type="dxa"/>
                  <w:tcBorders>
                    <w:tl2br w:val="nil"/>
                    <w:tr2bl w:val="nil"/>
                  </w:tcBorders>
                  <w:noWrap w:val="0"/>
                  <w:vAlign w:val="center"/>
                </w:tcPr>
                <w:p w14:paraId="230E12A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214</w:t>
                  </w:r>
                </w:p>
              </w:tc>
              <w:tc>
                <w:tcPr>
                  <w:tcW w:w="1506" w:type="dxa"/>
                  <w:tcBorders>
                    <w:tl2br w:val="nil"/>
                    <w:tr2bl w:val="nil"/>
                  </w:tcBorders>
                  <w:noWrap w:val="0"/>
                  <w:vAlign w:val="center"/>
                </w:tcPr>
                <w:p w14:paraId="61CD2EF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204</w:t>
                  </w:r>
                </w:p>
              </w:tc>
            </w:tr>
            <w:tr w14:paraId="7E772F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53" w:type="dxa"/>
                  <w:tcBorders>
                    <w:tl2br w:val="nil"/>
                    <w:tr2bl w:val="nil"/>
                  </w:tcBorders>
                  <w:noWrap w:val="0"/>
                  <w:vAlign w:val="center"/>
                </w:tcPr>
                <w:p w14:paraId="2EE3F1F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2839</w:t>
                  </w:r>
                </w:p>
              </w:tc>
              <w:tc>
                <w:tcPr>
                  <w:tcW w:w="1503" w:type="dxa"/>
                  <w:tcBorders>
                    <w:tl2br w:val="nil"/>
                    <w:tr2bl w:val="nil"/>
                  </w:tcBorders>
                  <w:noWrap w:val="0"/>
                  <w:vAlign w:val="center"/>
                </w:tcPr>
                <w:p w14:paraId="3498F1F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257</w:t>
                  </w:r>
                </w:p>
              </w:tc>
              <w:tc>
                <w:tcPr>
                  <w:tcW w:w="1503" w:type="dxa"/>
                  <w:tcBorders>
                    <w:tl2br w:val="nil"/>
                    <w:tr2bl w:val="nil"/>
                  </w:tcBorders>
                  <w:noWrap w:val="0"/>
                  <w:vAlign w:val="center"/>
                </w:tcPr>
                <w:p w14:paraId="04CF95C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244</w:t>
                  </w:r>
                </w:p>
              </w:tc>
              <w:tc>
                <w:tcPr>
                  <w:tcW w:w="1503" w:type="dxa"/>
                  <w:tcBorders>
                    <w:tl2br w:val="nil"/>
                    <w:tr2bl w:val="nil"/>
                  </w:tcBorders>
                  <w:noWrap w:val="0"/>
                  <w:vAlign w:val="center"/>
                </w:tcPr>
                <w:p w14:paraId="528FDC4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234</w:t>
                  </w:r>
                </w:p>
              </w:tc>
              <w:tc>
                <w:tcPr>
                  <w:tcW w:w="1503" w:type="dxa"/>
                  <w:tcBorders>
                    <w:tl2br w:val="nil"/>
                    <w:tr2bl w:val="nil"/>
                  </w:tcBorders>
                  <w:noWrap w:val="0"/>
                  <w:vAlign w:val="center"/>
                </w:tcPr>
                <w:p w14:paraId="7E7E272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227</w:t>
                  </w:r>
                </w:p>
              </w:tc>
              <w:tc>
                <w:tcPr>
                  <w:tcW w:w="1506" w:type="dxa"/>
                  <w:tcBorders>
                    <w:tl2br w:val="nil"/>
                    <w:tr2bl w:val="nil"/>
                  </w:tcBorders>
                  <w:noWrap w:val="0"/>
                  <w:vAlign w:val="center"/>
                </w:tcPr>
                <w:p w14:paraId="0C7928F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217</w:t>
                  </w:r>
                </w:p>
              </w:tc>
            </w:tr>
            <w:tr w14:paraId="32F176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53" w:type="dxa"/>
                  <w:tcBorders>
                    <w:tl2br w:val="nil"/>
                    <w:tr2bl w:val="nil"/>
                  </w:tcBorders>
                  <w:noWrap w:val="0"/>
                  <w:vAlign w:val="center"/>
                </w:tcPr>
                <w:p w14:paraId="7156D1E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3028</w:t>
                  </w:r>
                </w:p>
              </w:tc>
              <w:tc>
                <w:tcPr>
                  <w:tcW w:w="1503" w:type="dxa"/>
                  <w:tcBorders>
                    <w:tl2br w:val="nil"/>
                    <w:tr2bl w:val="nil"/>
                  </w:tcBorders>
                  <w:noWrap w:val="0"/>
                  <w:vAlign w:val="center"/>
                </w:tcPr>
                <w:p w14:paraId="25E6AD4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267</w:t>
                  </w:r>
                </w:p>
              </w:tc>
              <w:tc>
                <w:tcPr>
                  <w:tcW w:w="1503" w:type="dxa"/>
                  <w:tcBorders>
                    <w:tl2br w:val="nil"/>
                    <w:tr2bl w:val="nil"/>
                  </w:tcBorders>
                  <w:noWrap w:val="0"/>
                  <w:vAlign w:val="center"/>
                </w:tcPr>
                <w:p w14:paraId="059D399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257</w:t>
                  </w:r>
                </w:p>
              </w:tc>
              <w:tc>
                <w:tcPr>
                  <w:tcW w:w="1503" w:type="dxa"/>
                  <w:tcBorders>
                    <w:tl2br w:val="nil"/>
                    <w:tr2bl w:val="nil"/>
                  </w:tcBorders>
                  <w:noWrap w:val="0"/>
                  <w:vAlign w:val="center"/>
                </w:tcPr>
                <w:p w14:paraId="56B3805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247</w:t>
                  </w:r>
                </w:p>
              </w:tc>
              <w:tc>
                <w:tcPr>
                  <w:tcW w:w="1503" w:type="dxa"/>
                  <w:tcBorders>
                    <w:tl2br w:val="nil"/>
                    <w:tr2bl w:val="nil"/>
                  </w:tcBorders>
                  <w:noWrap w:val="0"/>
                  <w:vAlign w:val="center"/>
                </w:tcPr>
                <w:p w14:paraId="7693068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237</w:t>
                  </w:r>
                </w:p>
              </w:tc>
              <w:tc>
                <w:tcPr>
                  <w:tcW w:w="1506" w:type="dxa"/>
                  <w:tcBorders>
                    <w:tl2br w:val="nil"/>
                    <w:tr2bl w:val="nil"/>
                  </w:tcBorders>
                  <w:noWrap w:val="0"/>
                  <w:vAlign w:val="center"/>
                </w:tcPr>
                <w:p w14:paraId="6458CC0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229</w:t>
                  </w:r>
                </w:p>
              </w:tc>
            </w:tr>
            <w:tr w14:paraId="1C486B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53" w:type="dxa"/>
                  <w:tcBorders>
                    <w:tl2br w:val="nil"/>
                    <w:tr2bl w:val="nil"/>
                  </w:tcBorders>
                  <w:noWrap w:val="0"/>
                  <w:vAlign w:val="center"/>
                </w:tcPr>
                <w:p w14:paraId="3DB2C1B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3217</w:t>
                  </w:r>
                </w:p>
              </w:tc>
              <w:tc>
                <w:tcPr>
                  <w:tcW w:w="1503" w:type="dxa"/>
                  <w:tcBorders>
                    <w:tl2br w:val="nil"/>
                    <w:tr2bl w:val="nil"/>
                  </w:tcBorders>
                  <w:noWrap w:val="0"/>
                  <w:vAlign w:val="center"/>
                </w:tcPr>
                <w:p w14:paraId="3DDCA8F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277</w:t>
                  </w:r>
                </w:p>
              </w:tc>
              <w:tc>
                <w:tcPr>
                  <w:tcW w:w="1503" w:type="dxa"/>
                  <w:tcBorders>
                    <w:tl2br w:val="nil"/>
                    <w:tr2bl w:val="nil"/>
                  </w:tcBorders>
                  <w:noWrap w:val="0"/>
                  <w:vAlign w:val="center"/>
                </w:tcPr>
                <w:p w14:paraId="14527D2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267</w:t>
                  </w:r>
                </w:p>
              </w:tc>
              <w:tc>
                <w:tcPr>
                  <w:tcW w:w="1503" w:type="dxa"/>
                  <w:tcBorders>
                    <w:tl2br w:val="nil"/>
                    <w:tr2bl w:val="nil"/>
                  </w:tcBorders>
                  <w:noWrap w:val="0"/>
                  <w:vAlign w:val="center"/>
                </w:tcPr>
                <w:p w14:paraId="2C949F6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257</w:t>
                  </w:r>
                </w:p>
              </w:tc>
              <w:tc>
                <w:tcPr>
                  <w:tcW w:w="1503" w:type="dxa"/>
                  <w:tcBorders>
                    <w:tl2br w:val="nil"/>
                    <w:tr2bl w:val="nil"/>
                  </w:tcBorders>
                  <w:noWrap w:val="0"/>
                  <w:vAlign w:val="center"/>
                </w:tcPr>
                <w:p w14:paraId="0B43C1C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249</w:t>
                  </w:r>
                </w:p>
              </w:tc>
              <w:tc>
                <w:tcPr>
                  <w:tcW w:w="1506" w:type="dxa"/>
                  <w:tcBorders>
                    <w:tl2br w:val="nil"/>
                    <w:tr2bl w:val="nil"/>
                  </w:tcBorders>
                  <w:noWrap w:val="0"/>
                  <w:vAlign w:val="center"/>
                </w:tcPr>
                <w:p w14:paraId="3DAE259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239</w:t>
                  </w:r>
                </w:p>
              </w:tc>
            </w:tr>
            <w:tr w14:paraId="541BF3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53" w:type="dxa"/>
                  <w:tcBorders>
                    <w:tl2br w:val="nil"/>
                    <w:tr2bl w:val="nil"/>
                  </w:tcBorders>
                  <w:noWrap w:val="0"/>
                  <w:vAlign w:val="center"/>
                </w:tcPr>
                <w:p w14:paraId="3906201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3407</w:t>
                  </w:r>
                </w:p>
              </w:tc>
              <w:tc>
                <w:tcPr>
                  <w:tcW w:w="1503" w:type="dxa"/>
                  <w:tcBorders>
                    <w:tl2br w:val="nil"/>
                    <w:tr2bl w:val="nil"/>
                  </w:tcBorders>
                  <w:noWrap w:val="0"/>
                  <w:vAlign w:val="center"/>
                </w:tcPr>
                <w:p w14:paraId="70B2E0F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286</w:t>
                  </w:r>
                </w:p>
              </w:tc>
              <w:tc>
                <w:tcPr>
                  <w:tcW w:w="1503" w:type="dxa"/>
                  <w:tcBorders>
                    <w:tl2br w:val="nil"/>
                    <w:tr2bl w:val="nil"/>
                  </w:tcBorders>
                  <w:noWrap w:val="0"/>
                  <w:vAlign w:val="center"/>
                </w:tcPr>
                <w:p w14:paraId="523F531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277</w:t>
                  </w:r>
                </w:p>
              </w:tc>
              <w:tc>
                <w:tcPr>
                  <w:tcW w:w="1503" w:type="dxa"/>
                  <w:tcBorders>
                    <w:tl2br w:val="nil"/>
                    <w:tr2bl w:val="nil"/>
                  </w:tcBorders>
                  <w:noWrap w:val="0"/>
                  <w:vAlign w:val="center"/>
                </w:tcPr>
                <w:p w14:paraId="44D2543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267</w:t>
                  </w:r>
                </w:p>
              </w:tc>
              <w:tc>
                <w:tcPr>
                  <w:tcW w:w="1503" w:type="dxa"/>
                  <w:tcBorders>
                    <w:tl2br w:val="nil"/>
                    <w:tr2bl w:val="nil"/>
                  </w:tcBorders>
                  <w:noWrap w:val="0"/>
                  <w:vAlign w:val="center"/>
                </w:tcPr>
                <w:p w14:paraId="1AA8647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257</w:t>
                  </w:r>
                </w:p>
              </w:tc>
              <w:tc>
                <w:tcPr>
                  <w:tcW w:w="1506" w:type="dxa"/>
                  <w:tcBorders>
                    <w:tl2br w:val="nil"/>
                    <w:tr2bl w:val="nil"/>
                  </w:tcBorders>
                  <w:noWrap w:val="0"/>
                  <w:vAlign w:val="center"/>
                </w:tcPr>
                <w:p w14:paraId="0C9FCC5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249</w:t>
                  </w:r>
                </w:p>
              </w:tc>
            </w:tr>
            <w:tr w14:paraId="494A6D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53" w:type="dxa"/>
                  <w:tcBorders>
                    <w:tl2br w:val="nil"/>
                    <w:tr2bl w:val="nil"/>
                  </w:tcBorders>
                  <w:noWrap w:val="0"/>
                  <w:vAlign w:val="center"/>
                </w:tcPr>
                <w:p w14:paraId="4046756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3596</w:t>
                  </w:r>
                </w:p>
              </w:tc>
              <w:tc>
                <w:tcPr>
                  <w:tcW w:w="1503" w:type="dxa"/>
                  <w:tcBorders>
                    <w:tl2br w:val="nil"/>
                    <w:tr2bl w:val="nil"/>
                  </w:tcBorders>
                  <w:noWrap w:val="0"/>
                  <w:vAlign w:val="center"/>
                </w:tcPr>
                <w:p w14:paraId="602FD76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294</w:t>
                  </w:r>
                </w:p>
              </w:tc>
              <w:tc>
                <w:tcPr>
                  <w:tcW w:w="1503" w:type="dxa"/>
                  <w:tcBorders>
                    <w:tl2br w:val="nil"/>
                    <w:tr2bl w:val="nil"/>
                  </w:tcBorders>
                  <w:noWrap w:val="0"/>
                  <w:vAlign w:val="center"/>
                </w:tcPr>
                <w:p w14:paraId="6C7260F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284</w:t>
                  </w:r>
                </w:p>
              </w:tc>
              <w:tc>
                <w:tcPr>
                  <w:tcW w:w="1503" w:type="dxa"/>
                  <w:tcBorders>
                    <w:tl2br w:val="nil"/>
                    <w:tr2bl w:val="nil"/>
                  </w:tcBorders>
                  <w:noWrap w:val="0"/>
                  <w:vAlign w:val="center"/>
                </w:tcPr>
                <w:p w14:paraId="528FF57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277</w:t>
                  </w:r>
                </w:p>
              </w:tc>
              <w:tc>
                <w:tcPr>
                  <w:tcW w:w="1503" w:type="dxa"/>
                  <w:tcBorders>
                    <w:tl2br w:val="nil"/>
                    <w:tr2bl w:val="nil"/>
                  </w:tcBorders>
                  <w:noWrap w:val="0"/>
                  <w:vAlign w:val="center"/>
                </w:tcPr>
                <w:p w14:paraId="173A457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267</w:t>
                  </w:r>
                </w:p>
              </w:tc>
              <w:tc>
                <w:tcPr>
                  <w:tcW w:w="1506" w:type="dxa"/>
                  <w:tcBorders>
                    <w:tl2br w:val="nil"/>
                    <w:tr2bl w:val="nil"/>
                  </w:tcBorders>
                  <w:noWrap w:val="0"/>
                  <w:vAlign w:val="center"/>
                </w:tcPr>
                <w:p w14:paraId="40FA72D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258</w:t>
                  </w:r>
                </w:p>
              </w:tc>
            </w:tr>
            <w:tr w14:paraId="72DD87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53" w:type="dxa"/>
                  <w:tcBorders>
                    <w:tl2br w:val="nil"/>
                    <w:tr2bl w:val="nil"/>
                  </w:tcBorders>
                  <w:noWrap w:val="0"/>
                  <w:vAlign w:val="center"/>
                </w:tcPr>
                <w:p w14:paraId="1B29DC4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3785</w:t>
                  </w:r>
                </w:p>
              </w:tc>
              <w:tc>
                <w:tcPr>
                  <w:tcW w:w="1503" w:type="dxa"/>
                  <w:tcBorders>
                    <w:tl2br w:val="nil"/>
                    <w:tr2bl w:val="nil"/>
                  </w:tcBorders>
                  <w:noWrap w:val="0"/>
                  <w:vAlign w:val="center"/>
                </w:tcPr>
                <w:p w14:paraId="6B4CFB9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301</w:t>
                  </w:r>
                </w:p>
              </w:tc>
              <w:tc>
                <w:tcPr>
                  <w:tcW w:w="1503" w:type="dxa"/>
                  <w:tcBorders>
                    <w:tl2br w:val="nil"/>
                    <w:tr2bl w:val="nil"/>
                  </w:tcBorders>
                  <w:noWrap w:val="0"/>
                  <w:vAlign w:val="center"/>
                </w:tcPr>
                <w:p w14:paraId="602E649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294</w:t>
                  </w:r>
                </w:p>
              </w:tc>
              <w:tc>
                <w:tcPr>
                  <w:tcW w:w="1503" w:type="dxa"/>
                  <w:tcBorders>
                    <w:tl2br w:val="nil"/>
                    <w:tr2bl w:val="nil"/>
                  </w:tcBorders>
                  <w:noWrap w:val="0"/>
                  <w:vAlign w:val="center"/>
                </w:tcPr>
                <w:p w14:paraId="45809AD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284</w:t>
                  </w:r>
                </w:p>
              </w:tc>
              <w:tc>
                <w:tcPr>
                  <w:tcW w:w="1503" w:type="dxa"/>
                  <w:tcBorders>
                    <w:tl2br w:val="nil"/>
                    <w:tr2bl w:val="nil"/>
                  </w:tcBorders>
                  <w:noWrap w:val="0"/>
                  <w:vAlign w:val="center"/>
                </w:tcPr>
                <w:p w14:paraId="1DF7B20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274</w:t>
                  </w:r>
                </w:p>
              </w:tc>
              <w:tc>
                <w:tcPr>
                  <w:tcW w:w="1506" w:type="dxa"/>
                  <w:tcBorders>
                    <w:tl2br w:val="nil"/>
                    <w:tr2bl w:val="nil"/>
                  </w:tcBorders>
                  <w:noWrap w:val="0"/>
                  <w:vAlign w:val="center"/>
                </w:tcPr>
                <w:p w14:paraId="76220ED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267</w:t>
                  </w:r>
                </w:p>
              </w:tc>
            </w:tr>
            <w:tr w14:paraId="6DEE7F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53" w:type="dxa"/>
                  <w:tcBorders>
                    <w:tl2br w:val="nil"/>
                    <w:tr2bl w:val="nil"/>
                  </w:tcBorders>
                  <w:noWrap w:val="0"/>
                  <w:vAlign w:val="center"/>
                </w:tcPr>
                <w:p w14:paraId="5116741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4542</w:t>
                  </w:r>
                </w:p>
              </w:tc>
              <w:tc>
                <w:tcPr>
                  <w:tcW w:w="1503" w:type="dxa"/>
                  <w:tcBorders>
                    <w:tl2br w:val="nil"/>
                    <w:tr2bl w:val="nil"/>
                  </w:tcBorders>
                  <w:noWrap w:val="0"/>
                  <w:vAlign w:val="center"/>
                </w:tcPr>
                <w:p w14:paraId="19260D5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329</w:t>
                  </w:r>
                </w:p>
              </w:tc>
              <w:tc>
                <w:tcPr>
                  <w:tcW w:w="1503" w:type="dxa"/>
                  <w:tcBorders>
                    <w:tl2br w:val="nil"/>
                    <w:tr2bl w:val="nil"/>
                  </w:tcBorders>
                  <w:noWrap w:val="0"/>
                  <w:vAlign w:val="center"/>
                </w:tcPr>
                <w:p w14:paraId="2D5ED8A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319</w:t>
                  </w:r>
                </w:p>
              </w:tc>
              <w:tc>
                <w:tcPr>
                  <w:tcW w:w="1503" w:type="dxa"/>
                  <w:tcBorders>
                    <w:tl2br w:val="nil"/>
                    <w:tr2bl w:val="nil"/>
                  </w:tcBorders>
                  <w:noWrap w:val="0"/>
                  <w:vAlign w:val="center"/>
                </w:tcPr>
                <w:p w14:paraId="7C196DB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311</w:t>
                  </w:r>
                </w:p>
              </w:tc>
              <w:tc>
                <w:tcPr>
                  <w:tcW w:w="1503" w:type="dxa"/>
                  <w:tcBorders>
                    <w:tl2br w:val="nil"/>
                    <w:tr2bl w:val="nil"/>
                  </w:tcBorders>
                  <w:noWrap w:val="0"/>
                  <w:vAlign w:val="center"/>
                </w:tcPr>
                <w:p w14:paraId="2A66E4D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304</w:t>
                  </w:r>
                </w:p>
              </w:tc>
              <w:tc>
                <w:tcPr>
                  <w:tcW w:w="1506" w:type="dxa"/>
                  <w:tcBorders>
                    <w:tl2br w:val="nil"/>
                    <w:tr2bl w:val="nil"/>
                  </w:tcBorders>
                  <w:noWrap w:val="0"/>
                  <w:vAlign w:val="center"/>
                </w:tcPr>
                <w:p w14:paraId="38C387D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296</w:t>
                  </w:r>
                </w:p>
              </w:tc>
            </w:tr>
            <w:tr w14:paraId="141C44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53" w:type="dxa"/>
                  <w:tcBorders>
                    <w:tl2br w:val="nil"/>
                    <w:tr2bl w:val="nil"/>
                  </w:tcBorders>
                  <w:noWrap w:val="0"/>
                  <w:vAlign w:val="center"/>
                </w:tcPr>
                <w:p w14:paraId="5EDCC82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5299</w:t>
                  </w:r>
                </w:p>
              </w:tc>
              <w:tc>
                <w:tcPr>
                  <w:tcW w:w="1503" w:type="dxa"/>
                  <w:tcBorders>
                    <w:tl2br w:val="nil"/>
                    <w:tr2bl w:val="nil"/>
                  </w:tcBorders>
                  <w:noWrap w:val="0"/>
                  <w:vAlign w:val="center"/>
                </w:tcPr>
                <w:p w14:paraId="087C8DF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349</w:t>
                  </w:r>
                </w:p>
              </w:tc>
              <w:tc>
                <w:tcPr>
                  <w:tcW w:w="1503" w:type="dxa"/>
                  <w:tcBorders>
                    <w:tl2br w:val="nil"/>
                    <w:tr2bl w:val="nil"/>
                  </w:tcBorders>
                  <w:noWrap w:val="0"/>
                  <w:vAlign w:val="center"/>
                </w:tcPr>
                <w:p w14:paraId="05307D7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341</w:t>
                  </w:r>
                </w:p>
              </w:tc>
              <w:tc>
                <w:tcPr>
                  <w:tcW w:w="1503" w:type="dxa"/>
                  <w:tcBorders>
                    <w:tl2br w:val="nil"/>
                    <w:tr2bl w:val="nil"/>
                  </w:tcBorders>
                  <w:noWrap w:val="0"/>
                  <w:vAlign w:val="center"/>
                </w:tcPr>
                <w:p w14:paraId="253118C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334</w:t>
                  </w:r>
                </w:p>
              </w:tc>
              <w:tc>
                <w:tcPr>
                  <w:tcW w:w="1503" w:type="dxa"/>
                  <w:tcBorders>
                    <w:tl2br w:val="nil"/>
                    <w:tr2bl w:val="nil"/>
                  </w:tcBorders>
                  <w:noWrap w:val="0"/>
                  <w:vAlign w:val="center"/>
                </w:tcPr>
                <w:p w14:paraId="49D8AA0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326</w:t>
                  </w:r>
                </w:p>
              </w:tc>
              <w:tc>
                <w:tcPr>
                  <w:tcW w:w="1506" w:type="dxa"/>
                  <w:tcBorders>
                    <w:tl2br w:val="nil"/>
                    <w:tr2bl w:val="nil"/>
                  </w:tcBorders>
                  <w:noWrap w:val="0"/>
                  <w:vAlign w:val="center"/>
                </w:tcPr>
                <w:p w14:paraId="0BC38B5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319</w:t>
                  </w:r>
                </w:p>
              </w:tc>
            </w:tr>
            <w:tr w14:paraId="427184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53" w:type="dxa"/>
                  <w:tcBorders>
                    <w:tl2br w:val="nil"/>
                    <w:tr2bl w:val="nil"/>
                  </w:tcBorders>
                  <w:noWrap w:val="0"/>
                  <w:vAlign w:val="center"/>
                </w:tcPr>
                <w:p w14:paraId="3CE67B6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6056</w:t>
                  </w:r>
                </w:p>
              </w:tc>
              <w:tc>
                <w:tcPr>
                  <w:tcW w:w="1503" w:type="dxa"/>
                  <w:tcBorders>
                    <w:tl2br w:val="nil"/>
                    <w:tr2bl w:val="nil"/>
                  </w:tcBorders>
                  <w:noWrap w:val="0"/>
                  <w:vAlign w:val="center"/>
                </w:tcPr>
                <w:p w14:paraId="6DE027A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364</w:t>
                  </w:r>
                </w:p>
              </w:tc>
              <w:tc>
                <w:tcPr>
                  <w:tcW w:w="1503" w:type="dxa"/>
                  <w:tcBorders>
                    <w:tl2br w:val="nil"/>
                    <w:tr2bl w:val="nil"/>
                  </w:tcBorders>
                  <w:noWrap w:val="0"/>
                  <w:vAlign w:val="center"/>
                </w:tcPr>
                <w:p w14:paraId="3C97D54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356</w:t>
                  </w:r>
                </w:p>
              </w:tc>
              <w:tc>
                <w:tcPr>
                  <w:tcW w:w="1503" w:type="dxa"/>
                  <w:tcBorders>
                    <w:tl2br w:val="nil"/>
                    <w:tr2bl w:val="nil"/>
                  </w:tcBorders>
                  <w:noWrap w:val="0"/>
                  <w:vAlign w:val="center"/>
                </w:tcPr>
                <w:p w14:paraId="1049C1B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351</w:t>
                  </w:r>
                </w:p>
              </w:tc>
              <w:tc>
                <w:tcPr>
                  <w:tcW w:w="1503" w:type="dxa"/>
                  <w:tcBorders>
                    <w:tl2br w:val="nil"/>
                    <w:tr2bl w:val="nil"/>
                  </w:tcBorders>
                  <w:noWrap w:val="0"/>
                  <w:vAlign w:val="center"/>
                </w:tcPr>
                <w:p w14:paraId="52DDCE2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344</w:t>
                  </w:r>
                </w:p>
              </w:tc>
              <w:tc>
                <w:tcPr>
                  <w:tcW w:w="1506" w:type="dxa"/>
                  <w:tcBorders>
                    <w:tl2br w:val="nil"/>
                    <w:tr2bl w:val="nil"/>
                  </w:tcBorders>
                  <w:noWrap w:val="0"/>
                  <w:vAlign w:val="center"/>
                </w:tcPr>
                <w:p w14:paraId="3CAE119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336</w:t>
                  </w:r>
                </w:p>
              </w:tc>
            </w:tr>
            <w:tr w14:paraId="03A7C4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53" w:type="dxa"/>
                  <w:tcBorders>
                    <w:tl2br w:val="nil"/>
                    <w:tr2bl w:val="nil"/>
                  </w:tcBorders>
                  <w:noWrap w:val="0"/>
                  <w:vAlign w:val="center"/>
                </w:tcPr>
                <w:p w14:paraId="6FDC234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6813</w:t>
                  </w:r>
                </w:p>
              </w:tc>
              <w:tc>
                <w:tcPr>
                  <w:tcW w:w="1503" w:type="dxa"/>
                  <w:tcBorders>
                    <w:tl2br w:val="nil"/>
                    <w:tr2bl w:val="nil"/>
                  </w:tcBorders>
                  <w:noWrap w:val="0"/>
                  <w:vAlign w:val="center"/>
                </w:tcPr>
                <w:p w14:paraId="13EEC50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376</w:t>
                  </w:r>
                </w:p>
              </w:tc>
              <w:tc>
                <w:tcPr>
                  <w:tcW w:w="1503" w:type="dxa"/>
                  <w:tcBorders>
                    <w:tl2br w:val="nil"/>
                    <w:tr2bl w:val="nil"/>
                  </w:tcBorders>
                  <w:noWrap w:val="0"/>
                  <w:vAlign w:val="center"/>
                </w:tcPr>
                <w:p w14:paraId="3325632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371</w:t>
                  </w:r>
                </w:p>
              </w:tc>
              <w:tc>
                <w:tcPr>
                  <w:tcW w:w="1503" w:type="dxa"/>
                  <w:tcBorders>
                    <w:tl2br w:val="nil"/>
                    <w:tr2bl w:val="nil"/>
                  </w:tcBorders>
                  <w:noWrap w:val="0"/>
                  <w:vAlign w:val="center"/>
                </w:tcPr>
                <w:p w14:paraId="2C145F6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364</w:t>
                  </w:r>
                </w:p>
              </w:tc>
              <w:tc>
                <w:tcPr>
                  <w:tcW w:w="1503" w:type="dxa"/>
                  <w:tcBorders>
                    <w:tl2br w:val="nil"/>
                    <w:tr2bl w:val="nil"/>
                  </w:tcBorders>
                  <w:noWrap w:val="0"/>
                  <w:vAlign w:val="center"/>
                </w:tcPr>
                <w:p w14:paraId="2C23788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359</w:t>
                  </w:r>
                </w:p>
              </w:tc>
              <w:tc>
                <w:tcPr>
                  <w:tcW w:w="1506" w:type="dxa"/>
                  <w:tcBorders>
                    <w:tl2br w:val="nil"/>
                    <w:tr2bl w:val="nil"/>
                  </w:tcBorders>
                  <w:noWrap w:val="0"/>
                  <w:vAlign w:val="center"/>
                </w:tcPr>
                <w:p w14:paraId="0DFEFD1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351</w:t>
                  </w:r>
                </w:p>
              </w:tc>
            </w:tr>
            <w:tr w14:paraId="78A478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53" w:type="dxa"/>
                  <w:tcBorders>
                    <w:tl2br w:val="nil"/>
                    <w:tr2bl w:val="nil"/>
                  </w:tcBorders>
                  <w:noWrap w:val="0"/>
                  <w:vAlign w:val="center"/>
                </w:tcPr>
                <w:p w14:paraId="6952EFA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7570</w:t>
                  </w:r>
                </w:p>
              </w:tc>
              <w:tc>
                <w:tcPr>
                  <w:tcW w:w="1503" w:type="dxa"/>
                  <w:tcBorders>
                    <w:tl2br w:val="nil"/>
                    <w:tr2bl w:val="nil"/>
                  </w:tcBorders>
                  <w:noWrap w:val="0"/>
                  <w:vAlign w:val="center"/>
                </w:tcPr>
                <w:p w14:paraId="12DFF71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389</w:t>
                  </w:r>
                </w:p>
              </w:tc>
              <w:tc>
                <w:tcPr>
                  <w:tcW w:w="1503" w:type="dxa"/>
                  <w:tcBorders>
                    <w:tl2br w:val="nil"/>
                    <w:tr2bl w:val="nil"/>
                  </w:tcBorders>
                  <w:noWrap w:val="0"/>
                  <w:vAlign w:val="center"/>
                </w:tcPr>
                <w:p w14:paraId="28620DB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381</w:t>
                  </w:r>
                </w:p>
              </w:tc>
              <w:tc>
                <w:tcPr>
                  <w:tcW w:w="1503" w:type="dxa"/>
                  <w:tcBorders>
                    <w:tl2br w:val="nil"/>
                    <w:tr2bl w:val="nil"/>
                  </w:tcBorders>
                  <w:noWrap w:val="0"/>
                  <w:vAlign w:val="center"/>
                </w:tcPr>
                <w:p w14:paraId="72D87CC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376</w:t>
                  </w:r>
                </w:p>
              </w:tc>
              <w:tc>
                <w:tcPr>
                  <w:tcW w:w="1503" w:type="dxa"/>
                  <w:tcBorders>
                    <w:tl2br w:val="nil"/>
                    <w:tr2bl w:val="nil"/>
                  </w:tcBorders>
                  <w:noWrap w:val="0"/>
                  <w:vAlign w:val="center"/>
                </w:tcPr>
                <w:p w14:paraId="1F9310A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371</w:t>
                  </w:r>
                </w:p>
              </w:tc>
              <w:tc>
                <w:tcPr>
                  <w:tcW w:w="1506" w:type="dxa"/>
                  <w:tcBorders>
                    <w:tl2br w:val="nil"/>
                    <w:tr2bl w:val="nil"/>
                  </w:tcBorders>
                  <w:noWrap w:val="0"/>
                  <w:vAlign w:val="center"/>
                </w:tcPr>
                <w:p w14:paraId="478A301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364</w:t>
                  </w:r>
                </w:p>
              </w:tc>
            </w:tr>
            <w:tr w14:paraId="4D8CCD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53" w:type="dxa"/>
                  <w:tcBorders>
                    <w:tl2br w:val="nil"/>
                    <w:tr2bl w:val="nil"/>
                  </w:tcBorders>
                  <w:noWrap w:val="0"/>
                  <w:vAlign w:val="center"/>
                </w:tcPr>
                <w:p w14:paraId="7B80C78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8327</w:t>
                  </w:r>
                </w:p>
              </w:tc>
              <w:tc>
                <w:tcPr>
                  <w:tcW w:w="1503" w:type="dxa"/>
                  <w:tcBorders>
                    <w:tl2br w:val="nil"/>
                    <w:tr2bl w:val="nil"/>
                  </w:tcBorders>
                  <w:noWrap w:val="0"/>
                  <w:vAlign w:val="center"/>
                </w:tcPr>
                <w:p w14:paraId="5D194ED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396</w:t>
                  </w:r>
                </w:p>
              </w:tc>
              <w:tc>
                <w:tcPr>
                  <w:tcW w:w="1503" w:type="dxa"/>
                  <w:tcBorders>
                    <w:tl2br w:val="nil"/>
                    <w:tr2bl w:val="nil"/>
                  </w:tcBorders>
                  <w:noWrap w:val="0"/>
                  <w:vAlign w:val="center"/>
                </w:tcPr>
                <w:p w14:paraId="4A451FE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391</w:t>
                  </w:r>
                </w:p>
              </w:tc>
              <w:tc>
                <w:tcPr>
                  <w:tcW w:w="1503" w:type="dxa"/>
                  <w:tcBorders>
                    <w:tl2br w:val="nil"/>
                    <w:tr2bl w:val="nil"/>
                  </w:tcBorders>
                  <w:noWrap w:val="0"/>
                  <w:vAlign w:val="center"/>
                </w:tcPr>
                <w:p w14:paraId="3EACF7F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386</w:t>
                  </w:r>
                </w:p>
              </w:tc>
              <w:tc>
                <w:tcPr>
                  <w:tcW w:w="1503" w:type="dxa"/>
                  <w:tcBorders>
                    <w:tl2br w:val="nil"/>
                    <w:tr2bl w:val="nil"/>
                  </w:tcBorders>
                  <w:noWrap w:val="0"/>
                  <w:vAlign w:val="center"/>
                </w:tcPr>
                <w:p w14:paraId="320E5ED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381</w:t>
                  </w:r>
                </w:p>
              </w:tc>
              <w:tc>
                <w:tcPr>
                  <w:tcW w:w="1506" w:type="dxa"/>
                  <w:tcBorders>
                    <w:tl2br w:val="nil"/>
                    <w:tr2bl w:val="nil"/>
                  </w:tcBorders>
                  <w:noWrap w:val="0"/>
                  <w:vAlign w:val="center"/>
                </w:tcPr>
                <w:p w14:paraId="680D0D8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376</w:t>
                  </w:r>
                </w:p>
              </w:tc>
            </w:tr>
            <w:tr w14:paraId="580BB3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53" w:type="dxa"/>
                  <w:tcBorders>
                    <w:tl2br w:val="nil"/>
                    <w:tr2bl w:val="nil"/>
                  </w:tcBorders>
                  <w:noWrap w:val="0"/>
                  <w:vAlign w:val="center"/>
                </w:tcPr>
                <w:p w14:paraId="16558E6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9084</w:t>
                  </w:r>
                </w:p>
              </w:tc>
              <w:tc>
                <w:tcPr>
                  <w:tcW w:w="1503" w:type="dxa"/>
                  <w:tcBorders>
                    <w:tl2br w:val="nil"/>
                    <w:tr2bl w:val="nil"/>
                  </w:tcBorders>
                  <w:noWrap w:val="0"/>
                  <w:vAlign w:val="center"/>
                </w:tcPr>
                <w:p w14:paraId="479F72E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404</w:t>
                  </w:r>
                </w:p>
              </w:tc>
              <w:tc>
                <w:tcPr>
                  <w:tcW w:w="1503" w:type="dxa"/>
                  <w:tcBorders>
                    <w:tl2br w:val="nil"/>
                    <w:tr2bl w:val="nil"/>
                  </w:tcBorders>
                  <w:noWrap w:val="0"/>
                  <w:vAlign w:val="center"/>
                </w:tcPr>
                <w:p w14:paraId="008281F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399</w:t>
                  </w:r>
                </w:p>
              </w:tc>
              <w:tc>
                <w:tcPr>
                  <w:tcW w:w="1503" w:type="dxa"/>
                  <w:tcBorders>
                    <w:tl2br w:val="nil"/>
                    <w:tr2bl w:val="nil"/>
                  </w:tcBorders>
                  <w:noWrap w:val="0"/>
                  <w:vAlign w:val="center"/>
                </w:tcPr>
                <w:p w14:paraId="3156B23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394</w:t>
                  </w:r>
                </w:p>
              </w:tc>
              <w:tc>
                <w:tcPr>
                  <w:tcW w:w="1503" w:type="dxa"/>
                  <w:tcBorders>
                    <w:tl2br w:val="nil"/>
                    <w:tr2bl w:val="nil"/>
                  </w:tcBorders>
                  <w:noWrap w:val="0"/>
                  <w:vAlign w:val="center"/>
                </w:tcPr>
                <w:p w14:paraId="1FEEACC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389</w:t>
                  </w:r>
                </w:p>
              </w:tc>
              <w:tc>
                <w:tcPr>
                  <w:tcW w:w="1506" w:type="dxa"/>
                  <w:tcBorders>
                    <w:tl2br w:val="nil"/>
                    <w:tr2bl w:val="nil"/>
                  </w:tcBorders>
                  <w:noWrap w:val="0"/>
                  <w:vAlign w:val="center"/>
                </w:tcPr>
                <w:p w14:paraId="7FCF5FE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384</w:t>
                  </w:r>
                </w:p>
              </w:tc>
            </w:tr>
            <w:tr w14:paraId="1F1861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53" w:type="dxa"/>
                  <w:tcBorders>
                    <w:tl2br w:val="nil"/>
                    <w:tr2bl w:val="nil"/>
                  </w:tcBorders>
                  <w:noWrap w:val="0"/>
                  <w:vAlign w:val="center"/>
                </w:tcPr>
                <w:p w14:paraId="727EF01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9841</w:t>
                  </w:r>
                </w:p>
              </w:tc>
              <w:tc>
                <w:tcPr>
                  <w:tcW w:w="1503" w:type="dxa"/>
                  <w:tcBorders>
                    <w:tl2br w:val="nil"/>
                    <w:tr2bl w:val="nil"/>
                  </w:tcBorders>
                  <w:noWrap w:val="0"/>
                  <w:vAlign w:val="center"/>
                </w:tcPr>
                <w:p w14:paraId="5B78A24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411</w:t>
                  </w:r>
                </w:p>
              </w:tc>
              <w:tc>
                <w:tcPr>
                  <w:tcW w:w="1503" w:type="dxa"/>
                  <w:tcBorders>
                    <w:tl2br w:val="nil"/>
                    <w:tr2bl w:val="nil"/>
                  </w:tcBorders>
                  <w:noWrap w:val="0"/>
                  <w:vAlign w:val="center"/>
                </w:tcPr>
                <w:p w14:paraId="212D64B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406</w:t>
                  </w:r>
                </w:p>
              </w:tc>
              <w:tc>
                <w:tcPr>
                  <w:tcW w:w="1503" w:type="dxa"/>
                  <w:tcBorders>
                    <w:tl2br w:val="nil"/>
                    <w:tr2bl w:val="nil"/>
                  </w:tcBorders>
                  <w:noWrap w:val="0"/>
                  <w:vAlign w:val="center"/>
                </w:tcPr>
                <w:p w14:paraId="06655A6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401</w:t>
                  </w:r>
                </w:p>
              </w:tc>
              <w:tc>
                <w:tcPr>
                  <w:tcW w:w="1503" w:type="dxa"/>
                  <w:tcBorders>
                    <w:tl2br w:val="nil"/>
                    <w:tr2bl w:val="nil"/>
                  </w:tcBorders>
                  <w:noWrap w:val="0"/>
                  <w:vAlign w:val="center"/>
                </w:tcPr>
                <w:p w14:paraId="0A03B07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396</w:t>
                  </w:r>
                </w:p>
              </w:tc>
              <w:tc>
                <w:tcPr>
                  <w:tcW w:w="1506" w:type="dxa"/>
                  <w:tcBorders>
                    <w:tl2br w:val="nil"/>
                    <w:tr2bl w:val="nil"/>
                  </w:tcBorders>
                  <w:noWrap w:val="0"/>
                  <w:vAlign w:val="center"/>
                </w:tcPr>
                <w:p w14:paraId="6E47231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391</w:t>
                  </w:r>
                </w:p>
              </w:tc>
            </w:tr>
            <w:tr w14:paraId="64CA6C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53" w:type="dxa"/>
                  <w:tcBorders>
                    <w:tl2br w:val="nil"/>
                    <w:tr2bl w:val="nil"/>
                  </w:tcBorders>
                  <w:noWrap w:val="0"/>
                  <w:vAlign w:val="center"/>
                </w:tcPr>
                <w:p w14:paraId="45E4B15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10598</w:t>
                  </w:r>
                </w:p>
              </w:tc>
              <w:tc>
                <w:tcPr>
                  <w:tcW w:w="1503" w:type="dxa"/>
                  <w:tcBorders>
                    <w:tl2br w:val="nil"/>
                    <w:tr2bl w:val="nil"/>
                  </w:tcBorders>
                  <w:noWrap w:val="0"/>
                  <w:vAlign w:val="center"/>
                </w:tcPr>
                <w:p w14:paraId="6220B73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416</w:t>
                  </w:r>
                </w:p>
              </w:tc>
              <w:tc>
                <w:tcPr>
                  <w:tcW w:w="1503" w:type="dxa"/>
                  <w:tcBorders>
                    <w:tl2br w:val="nil"/>
                    <w:tr2bl w:val="nil"/>
                  </w:tcBorders>
                  <w:noWrap w:val="0"/>
                  <w:vAlign w:val="center"/>
                </w:tcPr>
                <w:p w14:paraId="0689002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411</w:t>
                  </w:r>
                </w:p>
              </w:tc>
              <w:tc>
                <w:tcPr>
                  <w:tcW w:w="1503" w:type="dxa"/>
                  <w:tcBorders>
                    <w:tl2br w:val="nil"/>
                    <w:tr2bl w:val="nil"/>
                  </w:tcBorders>
                  <w:noWrap w:val="0"/>
                  <w:vAlign w:val="center"/>
                </w:tcPr>
                <w:p w14:paraId="6ABE09A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409</w:t>
                  </w:r>
                </w:p>
              </w:tc>
              <w:tc>
                <w:tcPr>
                  <w:tcW w:w="1503" w:type="dxa"/>
                  <w:tcBorders>
                    <w:tl2br w:val="nil"/>
                    <w:tr2bl w:val="nil"/>
                  </w:tcBorders>
                  <w:noWrap w:val="0"/>
                  <w:vAlign w:val="center"/>
                </w:tcPr>
                <w:p w14:paraId="1B622E2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404</w:t>
                  </w:r>
                </w:p>
              </w:tc>
              <w:tc>
                <w:tcPr>
                  <w:tcW w:w="1506" w:type="dxa"/>
                  <w:tcBorders>
                    <w:tl2br w:val="nil"/>
                    <w:tr2bl w:val="nil"/>
                  </w:tcBorders>
                  <w:noWrap w:val="0"/>
                  <w:vAlign w:val="center"/>
                </w:tcPr>
                <w:p w14:paraId="132DE6D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399</w:t>
                  </w:r>
                </w:p>
              </w:tc>
            </w:tr>
            <w:tr w14:paraId="277940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53" w:type="dxa"/>
                  <w:tcBorders>
                    <w:tl2br w:val="nil"/>
                    <w:tr2bl w:val="nil"/>
                  </w:tcBorders>
                  <w:noWrap w:val="0"/>
                  <w:vAlign w:val="center"/>
                </w:tcPr>
                <w:p w14:paraId="7F1BDDB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11355</w:t>
                  </w:r>
                </w:p>
              </w:tc>
              <w:tc>
                <w:tcPr>
                  <w:tcW w:w="1503" w:type="dxa"/>
                  <w:tcBorders>
                    <w:tl2br w:val="nil"/>
                    <w:tr2bl w:val="nil"/>
                  </w:tcBorders>
                  <w:noWrap w:val="0"/>
                  <w:vAlign w:val="center"/>
                </w:tcPr>
                <w:p w14:paraId="6AA646F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421</w:t>
                  </w:r>
                </w:p>
              </w:tc>
              <w:tc>
                <w:tcPr>
                  <w:tcW w:w="1503" w:type="dxa"/>
                  <w:tcBorders>
                    <w:tl2br w:val="nil"/>
                    <w:tr2bl w:val="nil"/>
                  </w:tcBorders>
                  <w:noWrap w:val="0"/>
                  <w:vAlign w:val="center"/>
                </w:tcPr>
                <w:p w14:paraId="1F9E8E2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418</w:t>
                  </w:r>
                </w:p>
              </w:tc>
              <w:tc>
                <w:tcPr>
                  <w:tcW w:w="1503" w:type="dxa"/>
                  <w:tcBorders>
                    <w:tl2br w:val="nil"/>
                    <w:tr2bl w:val="nil"/>
                  </w:tcBorders>
                  <w:noWrap w:val="0"/>
                  <w:vAlign w:val="center"/>
                </w:tcPr>
                <w:p w14:paraId="2DD2073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414</w:t>
                  </w:r>
                </w:p>
              </w:tc>
              <w:tc>
                <w:tcPr>
                  <w:tcW w:w="1503" w:type="dxa"/>
                  <w:tcBorders>
                    <w:tl2br w:val="nil"/>
                    <w:tr2bl w:val="nil"/>
                  </w:tcBorders>
                  <w:noWrap w:val="0"/>
                  <w:vAlign w:val="center"/>
                </w:tcPr>
                <w:p w14:paraId="16DB1C5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409</w:t>
                  </w:r>
                </w:p>
              </w:tc>
              <w:tc>
                <w:tcPr>
                  <w:tcW w:w="1506" w:type="dxa"/>
                  <w:tcBorders>
                    <w:tl2br w:val="nil"/>
                    <w:tr2bl w:val="nil"/>
                  </w:tcBorders>
                  <w:noWrap w:val="0"/>
                  <w:vAlign w:val="center"/>
                </w:tcPr>
                <w:p w14:paraId="5077E68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404</w:t>
                  </w:r>
                </w:p>
              </w:tc>
            </w:tr>
            <w:tr w14:paraId="1C55E6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53" w:type="dxa"/>
                  <w:tcBorders>
                    <w:tl2br w:val="nil"/>
                    <w:tr2bl w:val="nil"/>
                  </w:tcBorders>
                  <w:noWrap w:val="0"/>
                  <w:vAlign w:val="center"/>
                </w:tcPr>
                <w:p w14:paraId="6DA5F49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13248</w:t>
                  </w:r>
                </w:p>
              </w:tc>
              <w:tc>
                <w:tcPr>
                  <w:tcW w:w="1503" w:type="dxa"/>
                  <w:tcBorders>
                    <w:tl2br w:val="nil"/>
                    <w:tr2bl w:val="nil"/>
                  </w:tcBorders>
                  <w:noWrap w:val="0"/>
                  <w:vAlign w:val="center"/>
                </w:tcPr>
                <w:p w14:paraId="7FC3C9E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431</w:t>
                  </w:r>
                </w:p>
              </w:tc>
              <w:tc>
                <w:tcPr>
                  <w:tcW w:w="1503" w:type="dxa"/>
                  <w:tcBorders>
                    <w:tl2br w:val="nil"/>
                    <w:tr2bl w:val="nil"/>
                  </w:tcBorders>
                  <w:noWrap w:val="0"/>
                  <w:vAlign w:val="center"/>
                </w:tcPr>
                <w:p w14:paraId="650631B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428</w:t>
                  </w:r>
                </w:p>
              </w:tc>
              <w:tc>
                <w:tcPr>
                  <w:tcW w:w="1503" w:type="dxa"/>
                  <w:tcBorders>
                    <w:tl2br w:val="nil"/>
                    <w:tr2bl w:val="nil"/>
                  </w:tcBorders>
                  <w:noWrap w:val="0"/>
                  <w:vAlign w:val="center"/>
                </w:tcPr>
                <w:p w14:paraId="0943164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423</w:t>
                  </w:r>
                </w:p>
              </w:tc>
              <w:tc>
                <w:tcPr>
                  <w:tcW w:w="1503" w:type="dxa"/>
                  <w:tcBorders>
                    <w:tl2br w:val="nil"/>
                    <w:tr2bl w:val="nil"/>
                  </w:tcBorders>
                  <w:noWrap w:val="0"/>
                  <w:vAlign w:val="center"/>
                </w:tcPr>
                <w:p w14:paraId="2E5AA7E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421</w:t>
                  </w:r>
                </w:p>
              </w:tc>
              <w:tc>
                <w:tcPr>
                  <w:tcW w:w="1506" w:type="dxa"/>
                  <w:tcBorders>
                    <w:tl2br w:val="nil"/>
                    <w:tr2bl w:val="nil"/>
                  </w:tcBorders>
                  <w:noWrap w:val="0"/>
                  <w:vAlign w:val="center"/>
                </w:tcPr>
                <w:p w14:paraId="30CCB12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416</w:t>
                  </w:r>
                </w:p>
              </w:tc>
            </w:tr>
            <w:tr w14:paraId="4AE19B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53" w:type="dxa"/>
                  <w:tcBorders>
                    <w:tl2br w:val="nil"/>
                    <w:tr2bl w:val="nil"/>
                  </w:tcBorders>
                  <w:noWrap w:val="0"/>
                  <w:vAlign w:val="center"/>
                </w:tcPr>
                <w:p w14:paraId="2EB6CFB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15140</w:t>
                  </w:r>
                </w:p>
              </w:tc>
              <w:tc>
                <w:tcPr>
                  <w:tcW w:w="1503" w:type="dxa"/>
                  <w:tcBorders>
                    <w:tl2br w:val="nil"/>
                    <w:tr2bl w:val="nil"/>
                  </w:tcBorders>
                  <w:noWrap w:val="0"/>
                  <w:vAlign w:val="center"/>
                </w:tcPr>
                <w:p w14:paraId="4C6E84F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438</w:t>
                  </w:r>
                </w:p>
              </w:tc>
              <w:tc>
                <w:tcPr>
                  <w:tcW w:w="1503" w:type="dxa"/>
                  <w:tcBorders>
                    <w:tl2br w:val="nil"/>
                    <w:tr2bl w:val="nil"/>
                  </w:tcBorders>
                  <w:noWrap w:val="0"/>
                  <w:vAlign w:val="center"/>
                </w:tcPr>
                <w:p w14:paraId="1EAE31B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436</w:t>
                  </w:r>
                </w:p>
              </w:tc>
              <w:tc>
                <w:tcPr>
                  <w:tcW w:w="1503" w:type="dxa"/>
                  <w:tcBorders>
                    <w:tl2br w:val="nil"/>
                    <w:tr2bl w:val="nil"/>
                  </w:tcBorders>
                  <w:noWrap w:val="0"/>
                  <w:vAlign w:val="center"/>
                </w:tcPr>
                <w:p w14:paraId="6082CAC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433</w:t>
                  </w:r>
                </w:p>
              </w:tc>
              <w:tc>
                <w:tcPr>
                  <w:tcW w:w="1503" w:type="dxa"/>
                  <w:tcBorders>
                    <w:tl2br w:val="nil"/>
                    <w:tr2bl w:val="nil"/>
                  </w:tcBorders>
                  <w:noWrap w:val="0"/>
                  <w:vAlign w:val="center"/>
                </w:tcPr>
                <w:p w14:paraId="10DCFDD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428</w:t>
                  </w:r>
                </w:p>
              </w:tc>
              <w:tc>
                <w:tcPr>
                  <w:tcW w:w="1506" w:type="dxa"/>
                  <w:tcBorders>
                    <w:tl2br w:val="nil"/>
                    <w:tr2bl w:val="nil"/>
                  </w:tcBorders>
                  <w:noWrap w:val="0"/>
                  <w:vAlign w:val="center"/>
                </w:tcPr>
                <w:p w14:paraId="05A4B46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426</w:t>
                  </w:r>
                </w:p>
              </w:tc>
            </w:tr>
            <w:tr w14:paraId="4E8CBB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53" w:type="dxa"/>
                  <w:tcBorders>
                    <w:tl2br w:val="nil"/>
                    <w:tr2bl w:val="nil"/>
                  </w:tcBorders>
                  <w:noWrap w:val="0"/>
                  <w:vAlign w:val="center"/>
                </w:tcPr>
                <w:p w14:paraId="7803134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17033</w:t>
                  </w:r>
                </w:p>
              </w:tc>
              <w:tc>
                <w:tcPr>
                  <w:tcW w:w="1503" w:type="dxa"/>
                  <w:tcBorders>
                    <w:tl2br w:val="nil"/>
                    <w:tr2bl w:val="nil"/>
                  </w:tcBorders>
                  <w:noWrap w:val="0"/>
                  <w:vAlign w:val="center"/>
                </w:tcPr>
                <w:p w14:paraId="2EB05A7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446</w:t>
                  </w:r>
                </w:p>
              </w:tc>
              <w:tc>
                <w:tcPr>
                  <w:tcW w:w="1503" w:type="dxa"/>
                  <w:tcBorders>
                    <w:tl2br w:val="nil"/>
                    <w:tr2bl w:val="nil"/>
                  </w:tcBorders>
                  <w:noWrap w:val="0"/>
                  <w:vAlign w:val="center"/>
                </w:tcPr>
                <w:p w14:paraId="320EEB1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443</w:t>
                  </w:r>
                </w:p>
              </w:tc>
              <w:tc>
                <w:tcPr>
                  <w:tcW w:w="1503" w:type="dxa"/>
                  <w:tcBorders>
                    <w:tl2br w:val="nil"/>
                    <w:tr2bl w:val="nil"/>
                  </w:tcBorders>
                  <w:noWrap w:val="0"/>
                  <w:vAlign w:val="center"/>
                </w:tcPr>
                <w:p w14:paraId="1A88882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441</w:t>
                  </w:r>
                </w:p>
              </w:tc>
              <w:tc>
                <w:tcPr>
                  <w:tcW w:w="1503" w:type="dxa"/>
                  <w:tcBorders>
                    <w:tl2br w:val="nil"/>
                    <w:tr2bl w:val="nil"/>
                  </w:tcBorders>
                  <w:noWrap w:val="0"/>
                  <w:vAlign w:val="center"/>
                </w:tcPr>
                <w:p w14:paraId="4BEFC59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436</w:t>
                  </w:r>
                </w:p>
              </w:tc>
              <w:tc>
                <w:tcPr>
                  <w:tcW w:w="1506" w:type="dxa"/>
                  <w:tcBorders>
                    <w:tl2br w:val="nil"/>
                    <w:tr2bl w:val="nil"/>
                  </w:tcBorders>
                  <w:noWrap w:val="0"/>
                  <w:vAlign w:val="center"/>
                </w:tcPr>
                <w:p w14:paraId="0B31938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433</w:t>
                  </w:r>
                </w:p>
              </w:tc>
            </w:tr>
            <w:tr w14:paraId="2320C6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53" w:type="dxa"/>
                  <w:tcBorders>
                    <w:tl2br w:val="nil"/>
                    <w:tr2bl w:val="nil"/>
                  </w:tcBorders>
                  <w:noWrap w:val="0"/>
                  <w:vAlign w:val="center"/>
                </w:tcPr>
                <w:p w14:paraId="769F810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18925</w:t>
                  </w:r>
                </w:p>
              </w:tc>
              <w:tc>
                <w:tcPr>
                  <w:tcW w:w="1503" w:type="dxa"/>
                  <w:tcBorders>
                    <w:tl2br w:val="nil"/>
                    <w:tr2bl w:val="nil"/>
                  </w:tcBorders>
                  <w:noWrap w:val="0"/>
                  <w:vAlign w:val="center"/>
                </w:tcPr>
                <w:p w14:paraId="3628704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451</w:t>
                  </w:r>
                </w:p>
              </w:tc>
              <w:tc>
                <w:tcPr>
                  <w:tcW w:w="1503" w:type="dxa"/>
                  <w:tcBorders>
                    <w:tl2br w:val="nil"/>
                    <w:tr2bl w:val="nil"/>
                  </w:tcBorders>
                  <w:noWrap w:val="0"/>
                  <w:vAlign w:val="center"/>
                </w:tcPr>
                <w:p w14:paraId="4A95DCD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448</w:t>
                  </w:r>
                </w:p>
              </w:tc>
              <w:tc>
                <w:tcPr>
                  <w:tcW w:w="1503" w:type="dxa"/>
                  <w:tcBorders>
                    <w:tl2br w:val="nil"/>
                    <w:tr2bl w:val="nil"/>
                  </w:tcBorders>
                  <w:noWrap w:val="0"/>
                  <w:vAlign w:val="center"/>
                </w:tcPr>
                <w:p w14:paraId="38AE0E2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446</w:t>
                  </w:r>
                </w:p>
              </w:tc>
              <w:tc>
                <w:tcPr>
                  <w:tcW w:w="1503" w:type="dxa"/>
                  <w:tcBorders>
                    <w:tl2br w:val="nil"/>
                    <w:tr2bl w:val="nil"/>
                  </w:tcBorders>
                  <w:noWrap w:val="0"/>
                  <w:vAlign w:val="center"/>
                </w:tcPr>
                <w:p w14:paraId="79D02E4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443</w:t>
                  </w:r>
                </w:p>
              </w:tc>
              <w:tc>
                <w:tcPr>
                  <w:tcW w:w="1506" w:type="dxa"/>
                  <w:tcBorders>
                    <w:tl2br w:val="nil"/>
                    <w:tr2bl w:val="nil"/>
                  </w:tcBorders>
                  <w:noWrap w:val="0"/>
                  <w:vAlign w:val="center"/>
                </w:tcPr>
                <w:p w14:paraId="18F09D3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441</w:t>
                  </w:r>
                </w:p>
              </w:tc>
            </w:tr>
            <w:tr w14:paraId="437167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53" w:type="dxa"/>
                  <w:tcBorders>
                    <w:tl2br w:val="nil"/>
                    <w:tr2bl w:val="nil"/>
                  </w:tcBorders>
                  <w:noWrap w:val="0"/>
                  <w:vAlign w:val="center"/>
                </w:tcPr>
                <w:p w14:paraId="4D2090F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22710</w:t>
                  </w:r>
                </w:p>
              </w:tc>
              <w:tc>
                <w:tcPr>
                  <w:tcW w:w="1503" w:type="dxa"/>
                  <w:tcBorders>
                    <w:tl2br w:val="nil"/>
                    <w:tr2bl w:val="nil"/>
                  </w:tcBorders>
                  <w:noWrap w:val="0"/>
                  <w:vAlign w:val="center"/>
                </w:tcPr>
                <w:p w14:paraId="528B584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458</w:t>
                  </w:r>
                </w:p>
              </w:tc>
              <w:tc>
                <w:tcPr>
                  <w:tcW w:w="1503" w:type="dxa"/>
                  <w:tcBorders>
                    <w:tl2br w:val="nil"/>
                    <w:tr2bl w:val="nil"/>
                  </w:tcBorders>
                  <w:noWrap w:val="0"/>
                  <w:vAlign w:val="center"/>
                </w:tcPr>
                <w:p w14:paraId="44A6F7C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456</w:t>
                  </w:r>
                </w:p>
              </w:tc>
              <w:tc>
                <w:tcPr>
                  <w:tcW w:w="1503" w:type="dxa"/>
                  <w:tcBorders>
                    <w:tl2br w:val="nil"/>
                    <w:tr2bl w:val="nil"/>
                  </w:tcBorders>
                  <w:noWrap w:val="0"/>
                  <w:vAlign w:val="center"/>
                </w:tcPr>
                <w:p w14:paraId="4490AA3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453</w:t>
                  </w:r>
                </w:p>
              </w:tc>
              <w:tc>
                <w:tcPr>
                  <w:tcW w:w="1503" w:type="dxa"/>
                  <w:tcBorders>
                    <w:tl2br w:val="nil"/>
                    <w:tr2bl w:val="nil"/>
                  </w:tcBorders>
                  <w:noWrap w:val="0"/>
                  <w:vAlign w:val="center"/>
                </w:tcPr>
                <w:p w14:paraId="193C325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451</w:t>
                  </w:r>
                </w:p>
              </w:tc>
              <w:tc>
                <w:tcPr>
                  <w:tcW w:w="1506" w:type="dxa"/>
                  <w:tcBorders>
                    <w:tl2br w:val="nil"/>
                    <w:tr2bl w:val="nil"/>
                  </w:tcBorders>
                  <w:noWrap w:val="0"/>
                  <w:vAlign w:val="center"/>
                </w:tcPr>
                <w:p w14:paraId="7CF53FD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448</w:t>
                  </w:r>
                </w:p>
              </w:tc>
            </w:tr>
            <w:tr w14:paraId="13C9C9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53" w:type="dxa"/>
                  <w:tcBorders>
                    <w:tl2br w:val="nil"/>
                    <w:tr2bl w:val="nil"/>
                  </w:tcBorders>
                  <w:noWrap w:val="0"/>
                  <w:vAlign w:val="center"/>
                </w:tcPr>
                <w:p w14:paraId="748DE32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26495</w:t>
                  </w:r>
                </w:p>
              </w:tc>
              <w:tc>
                <w:tcPr>
                  <w:tcW w:w="1503" w:type="dxa"/>
                  <w:tcBorders>
                    <w:tl2br w:val="nil"/>
                    <w:tr2bl w:val="nil"/>
                  </w:tcBorders>
                  <w:noWrap w:val="0"/>
                  <w:vAlign w:val="center"/>
                </w:tcPr>
                <w:p w14:paraId="5BB0793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463</w:t>
                  </w:r>
                </w:p>
              </w:tc>
              <w:tc>
                <w:tcPr>
                  <w:tcW w:w="1503" w:type="dxa"/>
                  <w:tcBorders>
                    <w:tl2br w:val="nil"/>
                    <w:tr2bl w:val="nil"/>
                  </w:tcBorders>
                  <w:noWrap w:val="0"/>
                  <w:vAlign w:val="center"/>
                </w:tcPr>
                <w:p w14:paraId="5915C08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461</w:t>
                  </w:r>
                </w:p>
              </w:tc>
              <w:tc>
                <w:tcPr>
                  <w:tcW w:w="1503" w:type="dxa"/>
                  <w:tcBorders>
                    <w:tl2br w:val="nil"/>
                    <w:tr2bl w:val="nil"/>
                  </w:tcBorders>
                  <w:noWrap w:val="0"/>
                  <w:vAlign w:val="center"/>
                </w:tcPr>
                <w:p w14:paraId="5C6ADF4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461</w:t>
                  </w:r>
                </w:p>
              </w:tc>
              <w:tc>
                <w:tcPr>
                  <w:tcW w:w="1503" w:type="dxa"/>
                  <w:tcBorders>
                    <w:tl2br w:val="nil"/>
                    <w:tr2bl w:val="nil"/>
                  </w:tcBorders>
                  <w:noWrap w:val="0"/>
                  <w:vAlign w:val="center"/>
                </w:tcPr>
                <w:p w14:paraId="74F04F5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458</w:t>
                  </w:r>
                </w:p>
              </w:tc>
              <w:tc>
                <w:tcPr>
                  <w:tcW w:w="1506" w:type="dxa"/>
                  <w:tcBorders>
                    <w:tl2br w:val="nil"/>
                    <w:tr2bl w:val="nil"/>
                  </w:tcBorders>
                  <w:noWrap w:val="0"/>
                  <w:vAlign w:val="center"/>
                </w:tcPr>
                <w:p w14:paraId="34C42C5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456</w:t>
                  </w:r>
                </w:p>
              </w:tc>
            </w:tr>
            <w:tr w14:paraId="5A21E2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53" w:type="dxa"/>
                  <w:tcBorders>
                    <w:tl2br w:val="nil"/>
                    <w:tr2bl w:val="nil"/>
                  </w:tcBorders>
                  <w:noWrap w:val="0"/>
                  <w:vAlign w:val="center"/>
                </w:tcPr>
                <w:p w14:paraId="265F985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30280</w:t>
                  </w:r>
                </w:p>
              </w:tc>
              <w:tc>
                <w:tcPr>
                  <w:tcW w:w="1503" w:type="dxa"/>
                  <w:tcBorders>
                    <w:tl2br w:val="nil"/>
                    <w:tr2bl w:val="nil"/>
                  </w:tcBorders>
                  <w:noWrap w:val="0"/>
                  <w:vAlign w:val="center"/>
                </w:tcPr>
                <w:p w14:paraId="74D579C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468</w:t>
                  </w:r>
                </w:p>
              </w:tc>
              <w:tc>
                <w:tcPr>
                  <w:tcW w:w="1503" w:type="dxa"/>
                  <w:tcBorders>
                    <w:tl2br w:val="nil"/>
                    <w:tr2bl w:val="nil"/>
                  </w:tcBorders>
                  <w:noWrap w:val="0"/>
                  <w:vAlign w:val="center"/>
                </w:tcPr>
                <w:p w14:paraId="78A37D1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466</w:t>
                  </w:r>
                </w:p>
              </w:tc>
              <w:tc>
                <w:tcPr>
                  <w:tcW w:w="1503" w:type="dxa"/>
                  <w:tcBorders>
                    <w:tl2br w:val="nil"/>
                    <w:tr2bl w:val="nil"/>
                  </w:tcBorders>
                  <w:noWrap w:val="0"/>
                  <w:vAlign w:val="center"/>
                </w:tcPr>
                <w:p w14:paraId="5E08081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463</w:t>
                  </w:r>
                </w:p>
              </w:tc>
              <w:tc>
                <w:tcPr>
                  <w:tcW w:w="1503" w:type="dxa"/>
                  <w:tcBorders>
                    <w:tl2br w:val="nil"/>
                    <w:tr2bl w:val="nil"/>
                  </w:tcBorders>
                  <w:noWrap w:val="0"/>
                  <w:vAlign w:val="center"/>
                </w:tcPr>
                <w:p w14:paraId="4CA6BC8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463</w:t>
                  </w:r>
                </w:p>
              </w:tc>
              <w:tc>
                <w:tcPr>
                  <w:tcW w:w="1506" w:type="dxa"/>
                  <w:tcBorders>
                    <w:tl2br w:val="nil"/>
                    <w:tr2bl w:val="nil"/>
                  </w:tcBorders>
                  <w:noWrap w:val="0"/>
                  <w:vAlign w:val="center"/>
                </w:tcPr>
                <w:p w14:paraId="4890560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461</w:t>
                  </w:r>
                </w:p>
              </w:tc>
            </w:tr>
            <w:tr w14:paraId="7F1BC7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53" w:type="dxa"/>
                  <w:tcBorders>
                    <w:tl2br w:val="nil"/>
                    <w:tr2bl w:val="nil"/>
                  </w:tcBorders>
                  <w:noWrap w:val="0"/>
                  <w:vAlign w:val="center"/>
                </w:tcPr>
                <w:p w14:paraId="422E239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34065</w:t>
                  </w:r>
                </w:p>
              </w:tc>
              <w:tc>
                <w:tcPr>
                  <w:tcW w:w="1503" w:type="dxa"/>
                  <w:tcBorders>
                    <w:tl2br w:val="nil"/>
                    <w:tr2bl w:val="nil"/>
                  </w:tcBorders>
                  <w:noWrap w:val="0"/>
                  <w:vAlign w:val="center"/>
                </w:tcPr>
                <w:p w14:paraId="25F038E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471</w:t>
                  </w:r>
                </w:p>
              </w:tc>
              <w:tc>
                <w:tcPr>
                  <w:tcW w:w="1503" w:type="dxa"/>
                  <w:tcBorders>
                    <w:tl2br w:val="nil"/>
                    <w:tr2bl w:val="nil"/>
                  </w:tcBorders>
                  <w:noWrap w:val="0"/>
                  <w:vAlign w:val="center"/>
                </w:tcPr>
                <w:p w14:paraId="2320424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471</w:t>
                  </w:r>
                </w:p>
              </w:tc>
              <w:tc>
                <w:tcPr>
                  <w:tcW w:w="1503" w:type="dxa"/>
                  <w:tcBorders>
                    <w:tl2br w:val="nil"/>
                    <w:tr2bl w:val="nil"/>
                  </w:tcBorders>
                  <w:noWrap w:val="0"/>
                  <w:vAlign w:val="center"/>
                </w:tcPr>
                <w:p w14:paraId="6E8495E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468</w:t>
                  </w:r>
                </w:p>
              </w:tc>
              <w:tc>
                <w:tcPr>
                  <w:tcW w:w="1503" w:type="dxa"/>
                  <w:tcBorders>
                    <w:tl2br w:val="nil"/>
                    <w:tr2bl w:val="nil"/>
                  </w:tcBorders>
                  <w:noWrap w:val="0"/>
                  <w:vAlign w:val="center"/>
                </w:tcPr>
                <w:p w14:paraId="2C38F74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466</w:t>
                  </w:r>
                </w:p>
              </w:tc>
              <w:tc>
                <w:tcPr>
                  <w:tcW w:w="1506" w:type="dxa"/>
                  <w:tcBorders>
                    <w:tl2br w:val="nil"/>
                    <w:tr2bl w:val="nil"/>
                  </w:tcBorders>
                  <w:noWrap w:val="0"/>
                  <w:vAlign w:val="center"/>
                </w:tcPr>
                <w:p w14:paraId="22BD0FC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466</w:t>
                  </w:r>
                </w:p>
              </w:tc>
            </w:tr>
            <w:tr w14:paraId="4D6D16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53" w:type="dxa"/>
                  <w:tcBorders>
                    <w:tl2br w:val="nil"/>
                    <w:tr2bl w:val="nil"/>
                  </w:tcBorders>
                  <w:noWrap w:val="0"/>
                  <w:vAlign w:val="center"/>
                </w:tcPr>
                <w:p w14:paraId="0D04AE2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37850</w:t>
                  </w:r>
                </w:p>
              </w:tc>
              <w:tc>
                <w:tcPr>
                  <w:tcW w:w="1503" w:type="dxa"/>
                  <w:tcBorders>
                    <w:tl2br w:val="nil"/>
                    <w:tr2bl w:val="nil"/>
                  </w:tcBorders>
                  <w:noWrap w:val="0"/>
                  <w:vAlign w:val="center"/>
                </w:tcPr>
                <w:p w14:paraId="56DD525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473</w:t>
                  </w:r>
                </w:p>
              </w:tc>
              <w:tc>
                <w:tcPr>
                  <w:tcW w:w="1503" w:type="dxa"/>
                  <w:tcBorders>
                    <w:tl2br w:val="nil"/>
                    <w:tr2bl w:val="nil"/>
                  </w:tcBorders>
                  <w:noWrap w:val="0"/>
                  <w:vAlign w:val="center"/>
                </w:tcPr>
                <w:p w14:paraId="100F7FC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473</w:t>
                  </w:r>
                </w:p>
              </w:tc>
              <w:tc>
                <w:tcPr>
                  <w:tcW w:w="1503" w:type="dxa"/>
                  <w:tcBorders>
                    <w:tl2br w:val="nil"/>
                    <w:tr2bl w:val="nil"/>
                  </w:tcBorders>
                  <w:noWrap w:val="0"/>
                  <w:vAlign w:val="center"/>
                </w:tcPr>
                <w:p w14:paraId="0349A24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471</w:t>
                  </w:r>
                </w:p>
              </w:tc>
              <w:tc>
                <w:tcPr>
                  <w:tcW w:w="1503" w:type="dxa"/>
                  <w:tcBorders>
                    <w:tl2br w:val="nil"/>
                    <w:tr2bl w:val="nil"/>
                  </w:tcBorders>
                  <w:noWrap w:val="0"/>
                  <w:vAlign w:val="center"/>
                </w:tcPr>
                <w:p w14:paraId="7572FF2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468</w:t>
                  </w:r>
                </w:p>
              </w:tc>
              <w:tc>
                <w:tcPr>
                  <w:tcW w:w="1506" w:type="dxa"/>
                  <w:tcBorders>
                    <w:tl2br w:val="nil"/>
                    <w:tr2bl w:val="nil"/>
                  </w:tcBorders>
                  <w:noWrap w:val="0"/>
                  <w:vAlign w:val="center"/>
                </w:tcPr>
                <w:p w14:paraId="5D3F0FF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468</w:t>
                  </w:r>
                </w:p>
              </w:tc>
            </w:tr>
            <w:tr w14:paraId="6921B7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53" w:type="dxa"/>
                  <w:tcBorders>
                    <w:tl2br w:val="nil"/>
                    <w:tr2bl w:val="nil"/>
                  </w:tcBorders>
                  <w:noWrap w:val="0"/>
                  <w:vAlign w:val="center"/>
                </w:tcPr>
                <w:p w14:paraId="19C8B88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56775</w:t>
                  </w:r>
                </w:p>
              </w:tc>
              <w:tc>
                <w:tcPr>
                  <w:tcW w:w="1503" w:type="dxa"/>
                  <w:tcBorders>
                    <w:tl2br w:val="nil"/>
                    <w:tr2bl w:val="nil"/>
                  </w:tcBorders>
                  <w:noWrap w:val="0"/>
                  <w:vAlign w:val="center"/>
                </w:tcPr>
                <w:p w14:paraId="1175394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481</w:t>
                  </w:r>
                </w:p>
              </w:tc>
              <w:tc>
                <w:tcPr>
                  <w:tcW w:w="1503" w:type="dxa"/>
                  <w:tcBorders>
                    <w:tl2br w:val="nil"/>
                    <w:tr2bl w:val="nil"/>
                  </w:tcBorders>
                  <w:noWrap w:val="0"/>
                  <w:vAlign w:val="center"/>
                </w:tcPr>
                <w:p w14:paraId="5691A17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481</w:t>
                  </w:r>
                </w:p>
              </w:tc>
              <w:tc>
                <w:tcPr>
                  <w:tcW w:w="1503" w:type="dxa"/>
                  <w:tcBorders>
                    <w:tl2br w:val="nil"/>
                    <w:tr2bl w:val="nil"/>
                  </w:tcBorders>
                  <w:noWrap w:val="0"/>
                  <w:vAlign w:val="center"/>
                </w:tcPr>
                <w:p w14:paraId="0C157BF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481</w:t>
                  </w:r>
                </w:p>
              </w:tc>
              <w:tc>
                <w:tcPr>
                  <w:tcW w:w="1503" w:type="dxa"/>
                  <w:tcBorders>
                    <w:tl2br w:val="nil"/>
                    <w:tr2bl w:val="nil"/>
                  </w:tcBorders>
                  <w:noWrap w:val="0"/>
                  <w:vAlign w:val="center"/>
                </w:tcPr>
                <w:p w14:paraId="37989BC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478</w:t>
                  </w:r>
                </w:p>
              </w:tc>
              <w:tc>
                <w:tcPr>
                  <w:tcW w:w="1506" w:type="dxa"/>
                  <w:tcBorders>
                    <w:tl2br w:val="nil"/>
                    <w:tr2bl w:val="nil"/>
                  </w:tcBorders>
                  <w:noWrap w:val="0"/>
                  <w:vAlign w:val="center"/>
                </w:tcPr>
                <w:p w14:paraId="4E45DB5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478</w:t>
                  </w:r>
                </w:p>
              </w:tc>
            </w:tr>
            <w:tr w14:paraId="7AD08B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53" w:type="dxa"/>
                  <w:tcBorders>
                    <w:tl2br w:val="nil"/>
                    <w:tr2bl w:val="nil"/>
                  </w:tcBorders>
                  <w:noWrap w:val="0"/>
                  <w:vAlign w:val="center"/>
                </w:tcPr>
                <w:p w14:paraId="01328EC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75700</w:t>
                  </w:r>
                </w:p>
              </w:tc>
              <w:tc>
                <w:tcPr>
                  <w:tcW w:w="1503" w:type="dxa"/>
                  <w:tcBorders>
                    <w:tl2br w:val="nil"/>
                    <w:tr2bl w:val="nil"/>
                  </w:tcBorders>
                  <w:noWrap w:val="0"/>
                  <w:vAlign w:val="center"/>
                </w:tcPr>
                <w:p w14:paraId="6D583D8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486</w:t>
                  </w:r>
                </w:p>
              </w:tc>
              <w:tc>
                <w:tcPr>
                  <w:tcW w:w="1503" w:type="dxa"/>
                  <w:tcBorders>
                    <w:tl2br w:val="nil"/>
                    <w:tr2bl w:val="nil"/>
                  </w:tcBorders>
                  <w:noWrap w:val="0"/>
                  <w:vAlign w:val="center"/>
                </w:tcPr>
                <w:p w14:paraId="5D83BED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486</w:t>
                  </w:r>
                </w:p>
              </w:tc>
              <w:tc>
                <w:tcPr>
                  <w:tcW w:w="1503" w:type="dxa"/>
                  <w:tcBorders>
                    <w:tl2br w:val="nil"/>
                    <w:tr2bl w:val="nil"/>
                  </w:tcBorders>
                  <w:noWrap w:val="0"/>
                  <w:vAlign w:val="center"/>
                </w:tcPr>
                <w:p w14:paraId="623B2A1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486</w:t>
                  </w:r>
                </w:p>
              </w:tc>
              <w:tc>
                <w:tcPr>
                  <w:tcW w:w="1503" w:type="dxa"/>
                  <w:tcBorders>
                    <w:tl2br w:val="nil"/>
                    <w:tr2bl w:val="nil"/>
                  </w:tcBorders>
                  <w:noWrap w:val="0"/>
                  <w:vAlign w:val="center"/>
                </w:tcPr>
                <w:p w14:paraId="0807B3D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483</w:t>
                  </w:r>
                </w:p>
              </w:tc>
              <w:tc>
                <w:tcPr>
                  <w:tcW w:w="1506" w:type="dxa"/>
                  <w:tcBorders>
                    <w:tl2br w:val="nil"/>
                    <w:tr2bl w:val="nil"/>
                  </w:tcBorders>
                  <w:noWrap w:val="0"/>
                  <w:vAlign w:val="center"/>
                </w:tcPr>
                <w:p w14:paraId="69294D6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483</w:t>
                  </w:r>
                </w:p>
              </w:tc>
            </w:tr>
            <w:tr w14:paraId="209CA0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1753" w:type="dxa"/>
                  <w:tcBorders>
                    <w:tl2br w:val="nil"/>
                    <w:tr2bl w:val="nil"/>
                  </w:tcBorders>
                  <w:noWrap w:val="0"/>
                  <w:vAlign w:val="center"/>
                </w:tcPr>
                <w:p w14:paraId="1F1AD4A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94625</w:t>
                  </w:r>
                </w:p>
              </w:tc>
              <w:tc>
                <w:tcPr>
                  <w:tcW w:w="1503" w:type="dxa"/>
                  <w:tcBorders>
                    <w:tl2br w:val="nil"/>
                    <w:tr2bl w:val="nil"/>
                  </w:tcBorders>
                  <w:noWrap w:val="0"/>
                  <w:vAlign w:val="center"/>
                </w:tcPr>
                <w:p w14:paraId="4453761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488</w:t>
                  </w:r>
                </w:p>
              </w:tc>
              <w:tc>
                <w:tcPr>
                  <w:tcW w:w="1503" w:type="dxa"/>
                  <w:tcBorders>
                    <w:tl2br w:val="nil"/>
                    <w:tr2bl w:val="nil"/>
                  </w:tcBorders>
                  <w:noWrap w:val="0"/>
                  <w:vAlign w:val="center"/>
                </w:tcPr>
                <w:p w14:paraId="42DFC08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488</w:t>
                  </w:r>
                </w:p>
              </w:tc>
              <w:tc>
                <w:tcPr>
                  <w:tcW w:w="1503" w:type="dxa"/>
                  <w:tcBorders>
                    <w:tl2br w:val="nil"/>
                    <w:tr2bl w:val="nil"/>
                  </w:tcBorders>
                  <w:noWrap w:val="0"/>
                  <w:vAlign w:val="center"/>
                </w:tcPr>
                <w:p w14:paraId="3E8EE5B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488</w:t>
                  </w:r>
                </w:p>
              </w:tc>
              <w:tc>
                <w:tcPr>
                  <w:tcW w:w="1503" w:type="dxa"/>
                  <w:tcBorders>
                    <w:tl2br w:val="nil"/>
                    <w:tr2bl w:val="nil"/>
                  </w:tcBorders>
                  <w:noWrap w:val="0"/>
                  <w:vAlign w:val="center"/>
                </w:tcPr>
                <w:p w14:paraId="1A0F7A9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486</w:t>
                  </w:r>
                </w:p>
              </w:tc>
              <w:tc>
                <w:tcPr>
                  <w:tcW w:w="1506" w:type="dxa"/>
                  <w:tcBorders>
                    <w:tl2br w:val="nil"/>
                    <w:tr2bl w:val="nil"/>
                  </w:tcBorders>
                  <w:noWrap w:val="0"/>
                  <w:vAlign w:val="center"/>
                </w:tcPr>
                <w:p w14:paraId="39FEC9D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486</w:t>
                  </w:r>
                </w:p>
              </w:tc>
            </w:tr>
          </w:tbl>
          <w:p w14:paraId="04E9BDE7">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b/>
                <w:bCs/>
                <w:color w:val="auto"/>
                <w:sz w:val="21"/>
                <w:szCs w:val="21"/>
                <w:lang w:val="en-US" w:eastAsia="zh-CN"/>
              </w:rPr>
            </w:pPr>
            <w:r>
              <w:rPr>
                <w:rFonts w:hint="eastAsia"/>
                <w:b/>
                <w:bCs/>
                <w:color w:val="auto"/>
                <w:sz w:val="21"/>
                <w:szCs w:val="21"/>
                <w:lang w:val="en-US" w:eastAsia="zh-CN"/>
              </w:rPr>
              <w:t>注：1.如果各储罐油气管线连通，则受影响的加油枪数等于汽油加油枪总数。否则，仅统计通过油气管线与被检测储罐相联的加油枪数。</w:t>
            </w:r>
          </w:p>
          <w:p w14:paraId="702323FE">
            <w:pPr>
              <w:pStyle w:val="34"/>
              <w:keepNext w:val="0"/>
              <w:keepLines w:val="0"/>
              <w:pageBreakBefore w:val="0"/>
              <w:widowControl w:val="0"/>
              <w:kinsoku/>
              <w:wordWrap/>
              <w:overflowPunct/>
              <w:topLinePunct w:val="0"/>
              <w:autoSpaceDE/>
              <w:autoSpaceDN/>
              <w:bidi w:val="0"/>
              <w:adjustRightInd/>
              <w:snapToGrid/>
              <w:spacing w:line="240" w:lineRule="auto"/>
              <w:ind w:left="0" w:firstLine="422" w:firstLineChars="200"/>
              <w:textAlignment w:val="auto"/>
              <w:rPr>
                <w:rFonts w:hint="default"/>
                <w:b/>
                <w:bCs/>
                <w:sz w:val="21"/>
                <w:szCs w:val="21"/>
                <w:lang w:val="en-US" w:eastAsia="zh-CN"/>
              </w:rPr>
            </w:pPr>
            <w:r>
              <w:rPr>
                <w:rFonts w:hint="eastAsia"/>
                <w:b/>
                <w:bCs/>
                <w:color w:val="auto"/>
                <w:sz w:val="21"/>
                <w:szCs w:val="21"/>
                <w:lang w:val="en-US" w:eastAsia="zh-CN"/>
              </w:rPr>
              <w:t>2.</w:t>
            </w:r>
            <w:r>
              <w:rPr>
                <w:rFonts w:hint="eastAsia" w:ascii="Times New Roman" w:hAnsi="Times New Roman" w:eastAsia="宋体"/>
                <w:b/>
                <w:bCs/>
                <w:color w:val="000000" w:themeColor="text1"/>
                <w:sz w:val="21"/>
                <w:szCs w:val="21"/>
                <w14:textFill>
                  <w14:solidFill>
                    <w14:schemeClr w14:val="tx1"/>
                  </w14:solidFill>
                </w14:textFill>
              </w:rPr>
              <w:t>如果实际油气空间数值处于上表中所列两油气空间数值之间时，用《加油站大气污染物排放标准》（GB20952-2020）中内插公式B.2计算最小剩余压力限值。</w:t>
            </w:r>
          </w:p>
          <w:p w14:paraId="2B3E2182">
            <w:pPr>
              <w:spacing w:line="360"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lang w:val="en-US" w:eastAsia="zh-CN"/>
                <w14:textFill>
                  <w14:solidFill>
                    <w14:schemeClr w14:val="tx1"/>
                  </w14:solidFill>
                </w14:textFill>
              </w:rPr>
              <w:t>本项目</w:t>
            </w:r>
            <w:r>
              <w:rPr>
                <w:rFonts w:hint="eastAsia" w:ascii="Times New Roman" w:hAnsi="Times New Roman" w:eastAsia="宋体" w:cs="Times New Roman"/>
                <w:color w:val="auto"/>
                <w:sz w:val="24"/>
                <w:szCs w:val="24"/>
                <w:lang w:eastAsia="zh-CN"/>
              </w:rPr>
              <w:t>厂区内挥发性有机物执行《挥发性有机物无组织排放控制标准》（GB37822-2019）表A.1规定的限值</w:t>
            </w:r>
            <w:r>
              <w:rPr>
                <w:rFonts w:ascii="Times New Roman" w:hAnsi="Times New Roman" w:eastAsia="宋体"/>
                <w:color w:val="000000" w:themeColor="text1"/>
                <w:sz w:val="24"/>
                <w14:textFill>
                  <w14:solidFill>
                    <w14:schemeClr w14:val="tx1"/>
                  </w14:solidFill>
                </w14:textFill>
              </w:rPr>
              <w:t>，具体标准</w:t>
            </w:r>
            <w:r>
              <w:rPr>
                <w:rFonts w:hint="eastAsia" w:ascii="Times New Roman" w:hAnsi="Times New Roman" w:eastAsia="宋体"/>
                <w:color w:val="000000" w:themeColor="text1"/>
                <w:sz w:val="24"/>
                <w:lang w:val="en-US" w:eastAsia="zh-CN"/>
                <w14:textFill>
                  <w14:solidFill>
                    <w14:schemeClr w14:val="tx1"/>
                  </w14:solidFill>
                </w14:textFill>
              </w:rPr>
              <w:t>值详</w:t>
            </w:r>
            <w:r>
              <w:rPr>
                <w:rFonts w:ascii="Times New Roman" w:hAnsi="Times New Roman" w:eastAsia="宋体"/>
                <w:color w:val="000000" w:themeColor="text1"/>
                <w:sz w:val="24"/>
                <w14:textFill>
                  <w14:solidFill>
                    <w14:schemeClr w14:val="tx1"/>
                  </w14:solidFill>
                </w14:textFill>
              </w:rPr>
              <w:t>见表3-</w:t>
            </w:r>
            <w:r>
              <w:rPr>
                <w:rFonts w:hint="eastAsia"/>
                <w:color w:val="000000" w:themeColor="text1"/>
                <w:sz w:val="24"/>
                <w:lang w:val="en-US" w:eastAsia="zh-CN"/>
                <w14:textFill>
                  <w14:solidFill>
                    <w14:schemeClr w14:val="tx1"/>
                  </w14:solidFill>
                </w14:textFill>
              </w:rPr>
              <w:t>10</w:t>
            </w:r>
            <w:r>
              <w:rPr>
                <w:rFonts w:ascii="Times New Roman" w:hAnsi="Times New Roman" w:eastAsia="宋体"/>
                <w:color w:val="000000" w:themeColor="text1"/>
                <w:sz w:val="24"/>
                <w14:textFill>
                  <w14:solidFill>
                    <w14:schemeClr w14:val="tx1"/>
                  </w14:solidFill>
                </w14:textFill>
              </w:rPr>
              <w:t>。</w:t>
            </w:r>
          </w:p>
          <w:p w14:paraId="099845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表3-</w:t>
            </w:r>
            <w:r>
              <w:rPr>
                <w:rFonts w:hint="eastAsia"/>
                <w:b/>
                <w:color w:val="000000" w:themeColor="text1"/>
                <w:sz w:val="21"/>
                <w:szCs w:val="21"/>
                <w:lang w:val="en-US" w:eastAsia="zh-CN"/>
                <w14:textFill>
                  <w14:solidFill>
                    <w14:schemeClr w14:val="tx1"/>
                  </w14:solidFill>
                </w14:textFill>
              </w:rPr>
              <w:t>10</w:t>
            </w:r>
            <w:r>
              <w:rPr>
                <w:rFonts w:ascii="Times New Roman" w:hAnsi="Times New Roman" w:eastAsia="宋体"/>
                <w:b/>
                <w:color w:val="000000" w:themeColor="text1"/>
                <w:sz w:val="21"/>
                <w:szCs w:val="21"/>
                <w14:textFill>
                  <w14:solidFill>
                    <w14:schemeClr w14:val="tx1"/>
                  </w14:solidFill>
                </w14:textFill>
              </w:rPr>
              <w:t xml:space="preserve">   </w:t>
            </w:r>
            <w:r>
              <w:rPr>
                <w:rFonts w:hint="eastAsia"/>
                <w:b/>
                <w:color w:val="000000" w:themeColor="text1"/>
                <w:sz w:val="21"/>
                <w:szCs w:val="21"/>
                <w:lang w:val="en-US" w:eastAsia="zh-CN"/>
                <w14:textFill>
                  <w14:solidFill>
                    <w14:schemeClr w14:val="tx1"/>
                  </w14:solidFill>
                </w14:textFill>
              </w:rPr>
              <w:t>项目</w:t>
            </w:r>
            <w:r>
              <w:rPr>
                <w:rFonts w:ascii="Times New Roman" w:hAnsi="Times New Roman" w:eastAsia="宋体"/>
                <w:b/>
                <w:color w:val="000000" w:themeColor="text1"/>
                <w:sz w:val="21"/>
                <w:szCs w:val="21"/>
                <w14:textFill>
                  <w14:solidFill>
                    <w14:schemeClr w14:val="tx1"/>
                  </w14:solidFill>
                </w14:textFill>
              </w:rPr>
              <w:t>厂区内</w:t>
            </w:r>
            <w:r>
              <w:rPr>
                <w:rFonts w:hint="default" w:ascii="Times New Roman" w:hAnsi="Times New Roman" w:eastAsia="宋体" w:cs="Times New Roman"/>
                <w:b/>
                <w:color w:val="auto"/>
                <w:sz w:val="21"/>
                <w:szCs w:val="21"/>
                <w:lang w:val="en-US" w:eastAsia="zh-CN"/>
              </w:rPr>
              <w:t>挥发性有机物无组织排放限值</w:t>
            </w:r>
          </w:p>
          <w:tbl>
            <w:tblPr>
              <w:tblStyle w:val="35"/>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12"/>
              <w:gridCol w:w="1423"/>
              <w:gridCol w:w="1898"/>
              <w:gridCol w:w="3008"/>
              <w:gridCol w:w="1826"/>
            </w:tblGrid>
            <w:tr w14:paraId="33EAC2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trPr>
              <w:tc>
                <w:tcPr>
                  <w:tcW w:w="600" w:type="pct"/>
                  <w:vAlign w:val="center"/>
                </w:tcPr>
                <w:p w14:paraId="31B9BD0F">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ascii="Times New Roman" w:hAnsi="Times New Roman" w:eastAsia="宋体" w:cs="Times New Roman"/>
                      <w:b/>
                      <w:bCs/>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z w:val="21"/>
                      <w:szCs w:val="21"/>
                      <w14:textFill>
                        <w14:solidFill>
                          <w14:schemeClr w14:val="tx1"/>
                        </w14:solidFill>
                      </w14:textFill>
                    </w:rPr>
                    <w:t>污染物项目</w:t>
                  </w:r>
                </w:p>
              </w:tc>
              <w:tc>
                <w:tcPr>
                  <w:tcW w:w="768" w:type="pct"/>
                  <w:vAlign w:val="center"/>
                </w:tcPr>
                <w:p w14:paraId="3D96B327">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ascii="Times New Roman" w:hAnsi="Times New Roman" w:eastAsia="宋体" w:cs="Times New Roman"/>
                      <w:b/>
                      <w:bCs/>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z w:val="21"/>
                      <w:szCs w:val="21"/>
                      <w14:textFill>
                        <w14:solidFill>
                          <w14:schemeClr w14:val="tx1"/>
                        </w14:solidFill>
                      </w14:textFill>
                    </w:rPr>
                    <w:t>排放限值（mg/m</w:t>
                  </w:r>
                  <w:r>
                    <w:rPr>
                      <w:rFonts w:ascii="Times New Roman" w:hAnsi="Times New Roman" w:eastAsia="宋体" w:cs="Times New Roman"/>
                      <w:b/>
                      <w:bCs/>
                      <w:color w:val="000000" w:themeColor="text1"/>
                      <w:sz w:val="21"/>
                      <w:szCs w:val="21"/>
                      <w:vertAlign w:val="superscript"/>
                      <w14:textFill>
                        <w14:solidFill>
                          <w14:schemeClr w14:val="tx1"/>
                        </w14:solidFill>
                      </w14:textFill>
                    </w:rPr>
                    <w:t>3</w:t>
                  </w:r>
                  <w:r>
                    <w:rPr>
                      <w:rFonts w:ascii="Times New Roman" w:hAnsi="Times New Roman" w:eastAsia="宋体" w:cs="Times New Roman"/>
                      <w:b/>
                      <w:bCs/>
                      <w:color w:val="000000" w:themeColor="text1"/>
                      <w:sz w:val="21"/>
                      <w:szCs w:val="21"/>
                      <w14:textFill>
                        <w14:solidFill>
                          <w14:schemeClr w14:val="tx1"/>
                        </w14:solidFill>
                      </w14:textFill>
                    </w:rPr>
                    <w:t>）</w:t>
                  </w:r>
                </w:p>
              </w:tc>
              <w:tc>
                <w:tcPr>
                  <w:tcW w:w="1024" w:type="pct"/>
                  <w:vAlign w:val="center"/>
                </w:tcPr>
                <w:p w14:paraId="5963BCAD">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ascii="Times New Roman" w:hAnsi="Times New Roman" w:eastAsia="宋体" w:cs="Times New Roman"/>
                      <w:b/>
                      <w:bCs/>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z w:val="21"/>
                      <w:szCs w:val="21"/>
                      <w14:textFill>
                        <w14:solidFill>
                          <w14:schemeClr w14:val="tx1"/>
                        </w14:solidFill>
                      </w14:textFill>
                    </w:rPr>
                    <w:t>特别排放限值（mg/m</w:t>
                  </w:r>
                  <w:r>
                    <w:rPr>
                      <w:rFonts w:ascii="Times New Roman" w:hAnsi="Times New Roman" w:eastAsia="宋体" w:cs="Times New Roman"/>
                      <w:b/>
                      <w:bCs/>
                      <w:color w:val="000000" w:themeColor="text1"/>
                      <w:sz w:val="21"/>
                      <w:szCs w:val="21"/>
                      <w:vertAlign w:val="superscript"/>
                      <w14:textFill>
                        <w14:solidFill>
                          <w14:schemeClr w14:val="tx1"/>
                        </w14:solidFill>
                      </w14:textFill>
                    </w:rPr>
                    <w:t>3</w:t>
                  </w:r>
                  <w:r>
                    <w:rPr>
                      <w:rFonts w:ascii="Times New Roman" w:hAnsi="Times New Roman" w:eastAsia="宋体" w:cs="Times New Roman"/>
                      <w:b/>
                      <w:bCs/>
                      <w:color w:val="000000" w:themeColor="text1"/>
                      <w:sz w:val="21"/>
                      <w:szCs w:val="21"/>
                      <w14:textFill>
                        <w14:solidFill>
                          <w14:schemeClr w14:val="tx1"/>
                        </w14:solidFill>
                      </w14:textFill>
                    </w:rPr>
                    <w:t>）</w:t>
                  </w:r>
                </w:p>
              </w:tc>
              <w:tc>
                <w:tcPr>
                  <w:tcW w:w="1623" w:type="pct"/>
                  <w:vAlign w:val="center"/>
                </w:tcPr>
                <w:p w14:paraId="624A2D0F">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ascii="Times New Roman" w:hAnsi="Times New Roman" w:eastAsia="宋体" w:cs="Times New Roman"/>
                      <w:b/>
                      <w:bCs/>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z w:val="21"/>
                      <w:szCs w:val="21"/>
                      <w14:textFill>
                        <w14:solidFill>
                          <w14:schemeClr w14:val="tx1"/>
                        </w14:solidFill>
                      </w14:textFill>
                    </w:rPr>
                    <w:t>限制含义</w:t>
                  </w:r>
                </w:p>
              </w:tc>
              <w:tc>
                <w:tcPr>
                  <w:tcW w:w="986" w:type="pct"/>
                  <w:vAlign w:val="center"/>
                </w:tcPr>
                <w:p w14:paraId="52AF8E16">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ascii="Times New Roman" w:hAnsi="Times New Roman" w:eastAsia="宋体" w:cs="Times New Roman"/>
                      <w:b/>
                      <w:bCs/>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z w:val="21"/>
                      <w:szCs w:val="21"/>
                      <w14:textFill>
                        <w14:solidFill>
                          <w14:schemeClr w14:val="tx1"/>
                        </w14:solidFill>
                      </w14:textFill>
                    </w:rPr>
                    <w:t>无组织排放监控位置</w:t>
                  </w:r>
                </w:p>
              </w:tc>
            </w:tr>
            <w:tr w14:paraId="69DDD1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00" w:type="pct"/>
                  <w:vMerge w:val="restart"/>
                  <w:vAlign w:val="center"/>
                </w:tcPr>
                <w:p w14:paraId="50376069">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NMHC</w:t>
                  </w:r>
                </w:p>
              </w:tc>
              <w:tc>
                <w:tcPr>
                  <w:tcW w:w="768" w:type="pct"/>
                  <w:vAlign w:val="center"/>
                </w:tcPr>
                <w:p w14:paraId="777A8245">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10</w:t>
                  </w:r>
                </w:p>
              </w:tc>
              <w:tc>
                <w:tcPr>
                  <w:tcW w:w="1024" w:type="pct"/>
                  <w:vAlign w:val="center"/>
                </w:tcPr>
                <w:p w14:paraId="31E48103">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6</w:t>
                  </w:r>
                </w:p>
              </w:tc>
              <w:tc>
                <w:tcPr>
                  <w:tcW w:w="1623" w:type="pct"/>
                  <w:vAlign w:val="center"/>
                </w:tcPr>
                <w:p w14:paraId="263611F4">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监控点处1h平均浓度值</w:t>
                  </w:r>
                </w:p>
              </w:tc>
              <w:tc>
                <w:tcPr>
                  <w:tcW w:w="986" w:type="pct"/>
                  <w:vMerge w:val="restart"/>
                  <w:vAlign w:val="center"/>
                </w:tcPr>
                <w:p w14:paraId="035B8A85">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在厂房外设置监控点</w:t>
                  </w:r>
                </w:p>
              </w:tc>
            </w:tr>
            <w:tr w14:paraId="1E6CC3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00" w:type="pct"/>
                  <w:vMerge w:val="continue"/>
                  <w:vAlign w:val="center"/>
                </w:tcPr>
                <w:p w14:paraId="7DC3BC5C">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ascii="Times New Roman" w:hAnsi="Times New Roman" w:eastAsia="宋体" w:cs="Times New Roman"/>
                      <w:color w:val="000000" w:themeColor="text1"/>
                      <w:sz w:val="21"/>
                      <w:szCs w:val="21"/>
                      <w14:textFill>
                        <w14:solidFill>
                          <w14:schemeClr w14:val="tx1"/>
                        </w14:solidFill>
                      </w14:textFill>
                    </w:rPr>
                  </w:pPr>
                </w:p>
              </w:tc>
              <w:tc>
                <w:tcPr>
                  <w:tcW w:w="768" w:type="pct"/>
                  <w:vAlign w:val="center"/>
                </w:tcPr>
                <w:p w14:paraId="591E15EC">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30</w:t>
                  </w:r>
                </w:p>
              </w:tc>
              <w:tc>
                <w:tcPr>
                  <w:tcW w:w="1024" w:type="pct"/>
                  <w:vAlign w:val="center"/>
                </w:tcPr>
                <w:p w14:paraId="723BEC5A">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20</w:t>
                  </w:r>
                </w:p>
              </w:tc>
              <w:tc>
                <w:tcPr>
                  <w:tcW w:w="1623" w:type="pct"/>
                  <w:vAlign w:val="center"/>
                </w:tcPr>
                <w:p w14:paraId="7FE72EEE">
                  <w:pPr>
                    <w:pStyle w:val="34"/>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监控点处任意一次浓度值</w:t>
                  </w:r>
                </w:p>
              </w:tc>
              <w:tc>
                <w:tcPr>
                  <w:tcW w:w="986" w:type="pct"/>
                  <w:vMerge w:val="continue"/>
                  <w:vAlign w:val="center"/>
                </w:tcPr>
                <w:p w14:paraId="63005293">
                  <w:pPr>
                    <w:pStyle w:val="34"/>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ascii="Times New Roman" w:hAnsi="Times New Roman" w:cs="Times New Roman"/>
                      <w:color w:val="000000" w:themeColor="text1"/>
                      <w:sz w:val="21"/>
                      <w:szCs w:val="21"/>
                      <w14:textFill>
                        <w14:solidFill>
                          <w14:schemeClr w14:val="tx1"/>
                        </w14:solidFill>
                      </w14:textFill>
                    </w:rPr>
                  </w:pPr>
                </w:p>
              </w:tc>
            </w:tr>
          </w:tbl>
          <w:p w14:paraId="326851BF">
            <w:pPr>
              <w:pStyle w:val="54"/>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rPr>
                <w:rFonts w:hint="eastAsia"/>
                <w:b/>
                <w:lang w:val="en-US" w:eastAsia="zh-CN"/>
              </w:rPr>
            </w:pPr>
            <w:r>
              <w:rPr>
                <w:rFonts w:hint="default" w:ascii="Times New Roman" w:hAnsi="Times New Roman" w:eastAsia="宋体" w:cs="Times New Roman"/>
                <w:b/>
                <w:bCs/>
                <w:color w:val="auto"/>
                <w:spacing w:val="4"/>
                <w:kern w:val="18"/>
                <w:sz w:val="21"/>
                <w:szCs w:val="21"/>
                <w:lang w:val="en-US" w:eastAsia="zh-CN"/>
              </w:rPr>
              <w:t>注：厂区内挥发性有机废气以NMHC表征。</w:t>
            </w:r>
          </w:p>
          <w:p w14:paraId="17C14AD2">
            <w:pPr>
              <w:pStyle w:val="54"/>
              <w:keepNext w:val="0"/>
              <w:keepLines w:val="0"/>
              <w:pageBreakBefore w:val="0"/>
              <w:widowControl w:val="0"/>
              <w:numPr>
                <w:ilvl w:val="0"/>
                <w:numId w:val="0"/>
              </w:numPr>
              <w:kinsoku/>
              <w:wordWrap/>
              <w:overflowPunct/>
              <w:topLinePunct w:val="0"/>
              <w:autoSpaceDE/>
              <w:autoSpaceDN/>
              <w:bidi w:val="0"/>
              <w:adjustRightInd/>
              <w:snapToGrid/>
              <w:ind w:left="0" w:leftChars="0" w:firstLine="482" w:firstLineChars="200"/>
              <w:textAlignment w:val="auto"/>
              <w:rPr>
                <w:b/>
              </w:rPr>
            </w:pPr>
            <w:r>
              <w:rPr>
                <w:rFonts w:hint="eastAsia"/>
                <w:b/>
                <w:lang w:val="en-US" w:eastAsia="zh-CN"/>
              </w:rPr>
              <w:t>2、</w:t>
            </w:r>
            <w:r>
              <w:rPr>
                <w:b/>
              </w:rPr>
              <w:t>废水</w:t>
            </w:r>
          </w:p>
          <w:p w14:paraId="43A32BEA">
            <w:pPr>
              <w:ind w:firstLine="480"/>
              <w:rPr>
                <w:rFonts w:ascii="..ì." w:hAnsi="Calibri" w:eastAsia="..ì." w:cs="..ì."/>
                <w:b/>
                <w:szCs w:val="21"/>
              </w:rPr>
            </w:pPr>
            <w:r>
              <w:t>本项目</w:t>
            </w:r>
            <w:r>
              <w:rPr>
                <w:rFonts w:hint="eastAsia"/>
                <w:lang w:val="en-US" w:eastAsia="zh-CN"/>
              </w:rPr>
              <w:t>运营期</w:t>
            </w:r>
            <w:r>
              <w:t>废水</w:t>
            </w:r>
            <w:r>
              <w:rPr>
                <w:rFonts w:hint="eastAsia"/>
                <w:lang w:val="en-US" w:eastAsia="zh-CN"/>
              </w:rPr>
              <w:t>主要</w:t>
            </w:r>
            <w:r>
              <w:t>为生活</w:t>
            </w:r>
            <w:r>
              <w:rPr>
                <w:rFonts w:hint="eastAsia"/>
              </w:rPr>
              <w:t>污</w:t>
            </w:r>
            <w:r>
              <w:t>水</w:t>
            </w:r>
            <w:r>
              <w:rPr>
                <w:rFonts w:hint="eastAsia"/>
                <w:lang w:eastAsia="zh-CN"/>
              </w:rPr>
              <w:t>、</w:t>
            </w:r>
            <w:r>
              <w:rPr>
                <w:rFonts w:hint="eastAsia"/>
              </w:rPr>
              <w:t>地面冲洗废水</w:t>
            </w:r>
            <w:r>
              <w:rPr>
                <w:rFonts w:hint="eastAsia"/>
                <w:lang w:val="en-US" w:eastAsia="zh-CN"/>
              </w:rPr>
              <w:t>和</w:t>
            </w:r>
            <w:r>
              <w:rPr>
                <w:rFonts w:hint="eastAsia"/>
              </w:rPr>
              <w:t>洗车</w:t>
            </w:r>
            <w:r>
              <w:t>废水。</w:t>
            </w:r>
            <w:r>
              <w:rPr>
                <w:rFonts w:hint="eastAsia"/>
                <w:color w:val="auto"/>
              </w:rPr>
              <w:t>生活污水经</w:t>
            </w:r>
            <w:r>
              <w:rPr>
                <w:rFonts w:hint="eastAsia"/>
                <w:color w:val="auto"/>
                <w:lang w:val="en-US" w:eastAsia="zh-CN"/>
              </w:rPr>
              <w:t>油水分离器+</w:t>
            </w:r>
            <w:r>
              <w:rPr>
                <w:rFonts w:hint="eastAsia"/>
                <w:color w:val="auto"/>
              </w:rPr>
              <w:t>化粪池预处理</w:t>
            </w:r>
            <w:r>
              <w:rPr>
                <w:rFonts w:hint="eastAsia" w:ascii="Times New Roman" w:hAnsi="Times New Roman" w:eastAsia="宋体" w:cs="Times New Roman"/>
                <w:color w:val="auto"/>
                <w:highlight w:val="none"/>
                <w:u w:val="none"/>
                <w:lang w:val="en-US" w:eastAsia="zh-CN"/>
              </w:rPr>
              <w:t>达红心村生活污水处理站接管标准</w:t>
            </w:r>
            <w:r>
              <w:rPr>
                <w:rFonts w:hint="eastAsia" w:ascii="Times New Roman" w:hAnsi="Times New Roman" w:eastAsia="宋体" w:cs="Times New Roman"/>
                <w:color w:val="auto"/>
                <w:highlight w:val="none"/>
                <w:u w:val="none"/>
                <w:lang w:eastAsia="zh-CN"/>
              </w:rPr>
              <w:t>，</w:t>
            </w:r>
            <w:r>
              <w:rPr>
                <w:rFonts w:hint="eastAsia" w:ascii="Times New Roman" w:hAnsi="Times New Roman" w:eastAsia="宋体" w:cs="Times New Roman"/>
                <w:color w:val="auto"/>
                <w:highlight w:val="none"/>
                <w:u w:val="none"/>
                <w:lang w:val="en-US" w:eastAsia="zh-CN"/>
              </w:rPr>
              <w:t>经污水管网</w:t>
            </w:r>
            <w:r>
              <w:rPr>
                <w:rFonts w:hint="default" w:ascii="Times New Roman" w:hAnsi="Times New Roman" w:eastAsia="宋体" w:cs="Times New Roman"/>
                <w:color w:val="auto"/>
                <w:highlight w:val="none"/>
                <w:u w:val="none"/>
              </w:rPr>
              <w:t>排入</w:t>
            </w:r>
            <w:r>
              <w:rPr>
                <w:rFonts w:hint="default" w:ascii="Times New Roman" w:hAnsi="Times New Roman" w:eastAsia="宋体" w:cs="Times New Roman"/>
                <w:color w:val="auto"/>
                <w:highlight w:val="none"/>
                <w:u w:val="none"/>
                <w:lang w:val="en-US" w:eastAsia="zh-CN"/>
              </w:rPr>
              <w:t>红心村生活污水处理</w:t>
            </w:r>
            <w:r>
              <w:rPr>
                <w:rFonts w:hint="eastAsia" w:cs="Times New Roman"/>
                <w:color w:val="auto"/>
                <w:highlight w:val="none"/>
                <w:u w:val="none"/>
                <w:lang w:val="en-US" w:eastAsia="zh-CN"/>
              </w:rPr>
              <w:t>站</w:t>
            </w:r>
            <w:r>
              <w:rPr>
                <w:rFonts w:hint="eastAsia" w:ascii="Times New Roman" w:hAnsi="Times New Roman" w:eastAsia="宋体" w:cs="Times New Roman"/>
                <w:color w:val="auto"/>
                <w:highlight w:val="none"/>
                <w:u w:val="none"/>
                <w:lang w:eastAsia="zh-CN"/>
              </w:rPr>
              <w:t>进一步处理</w:t>
            </w:r>
            <w:r>
              <w:rPr>
                <w:rFonts w:hint="eastAsia" w:ascii="Times New Roman" w:hAnsi="Times New Roman" w:eastAsia="宋体" w:cs="Times New Roman"/>
                <w:color w:val="auto"/>
                <w:highlight w:val="none"/>
                <w:u w:val="none"/>
                <w:lang w:val="en-US" w:eastAsia="zh-CN"/>
              </w:rPr>
              <w:t>后</w:t>
            </w:r>
            <w:r>
              <w:rPr>
                <w:rFonts w:hint="default" w:ascii="Times New Roman" w:hAnsi="Times New Roman" w:eastAsia="宋体" w:cs="Times New Roman"/>
                <w:color w:val="auto"/>
                <w:highlight w:val="none"/>
                <w:u w:val="none"/>
                <w:lang w:val="en-GB"/>
              </w:rPr>
              <w:t>，</w:t>
            </w:r>
            <w:r>
              <w:rPr>
                <w:rFonts w:hint="eastAsia" w:ascii="Times New Roman" w:hAnsi="Times New Roman" w:eastAsia="宋体" w:cs="Times New Roman"/>
                <w:color w:val="auto"/>
                <w:highlight w:val="none"/>
                <w:u w:val="none"/>
                <w:lang w:val="en-US" w:eastAsia="zh-CN"/>
              </w:rPr>
              <w:t>满足</w:t>
            </w:r>
            <w:r>
              <w:rPr>
                <w:rFonts w:hint="default" w:ascii="Times New Roman" w:hAnsi="Times New Roman" w:eastAsia="宋体" w:cs="Times New Roman"/>
                <w:color w:val="auto"/>
                <w:highlight w:val="none"/>
                <w:u w:val="none"/>
              </w:rPr>
              <w:t>《城镇污水处理厂污染物排放标准》</w:t>
            </w:r>
            <w:r>
              <w:rPr>
                <w:rFonts w:hint="eastAsia" w:ascii="Times New Roman" w:hAnsi="Times New Roman" w:eastAsia="宋体" w:cs="Times New Roman"/>
                <w:color w:val="auto"/>
                <w:highlight w:val="none"/>
                <w:u w:val="none"/>
                <w:lang w:eastAsia="zh-CN"/>
              </w:rPr>
              <w:t>（</w:t>
            </w:r>
            <w:r>
              <w:rPr>
                <w:rFonts w:hint="default" w:ascii="Times New Roman" w:hAnsi="Times New Roman" w:eastAsia="宋体" w:cs="Times New Roman"/>
                <w:color w:val="auto"/>
                <w:highlight w:val="none"/>
                <w:u w:val="none"/>
              </w:rPr>
              <w:t>GB18918-2002</w:t>
            </w:r>
            <w:r>
              <w:rPr>
                <w:rFonts w:hint="eastAsia" w:ascii="Times New Roman" w:hAnsi="Times New Roman" w:eastAsia="宋体" w:cs="Times New Roman"/>
                <w:color w:val="auto"/>
                <w:highlight w:val="none"/>
                <w:u w:val="none"/>
                <w:lang w:eastAsia="zh-CN"/>
              </w:rPr>
              <w:t>）</w:t>
            </w:r>
            <w:r>
              <w:rPr>
                <w:rFonts w:hint="eastAsia" w:ascii="Times New Roman" w:hAnsi="Times New Roman" w:eastAsia="宋体" w:cs="Times New Roman"/>
                <w:color w:val="auto"/>
                <w:highlight w:val="none"/>
                <w:u w:val="none"/>
                <w:lang w:val="en-US" w:eastAsia="zh-CN"/>
              </w:rPr>
              <w:t>及其修改单</w:t>
            </w:r>
            <w:r>
              <w:rPr>
                <w:rFonts w:hint="eastAsia"/>
                <w:color w:val="auto"/>
                <w:highlight w:val="none"/>
                <w:lang w:val="en-US" w:eastAsia="zh-CN"/>
              </w:rPr>
              <w:t>中</w:t>
            </w:r>
            <w:r>
              <w:rPr>
                <w:rFonts w:hint="default" w:ascii="Times New Roman" w:hAnsi="Times New Roman" w:eastAsia="宋体" w:cs="Times New Roman"/>
                <w:color w:val="auto"/>
                <w:highlight w:val="none"/>
                <w:u w:val="none"/>
              </w:rPr>
              <w:t>一级</w:t>
            </w:r>
            <w:r>
              <w:rPr>
                <w:rFonts w:hint="eastAsia" w:ascii="Times New Roman" w:hAnsi="Times New Roman" w:eastAsia="宋体" w:cs="Times New Roman"/>
                <w:color w:val="auto"/>
                <w:highlight w:val="none"/>
                <w:u w:val="none"/>
                <w:lang w:val="en-US" w:eastAsia="zh-CN"/>
              </w:rPr>
              <w:t>B</w:t>
            </w:r>
            <w:r>
              <w:rPr>
                <w:rFonts w:hint="default" w:ascii="Times New Roman" w:hAnsi="Times New Roman" w:eastAsia="宋体" w:cs="Times New Roman"/>
                <w:color w:val="auto"/>
                <w:highlight w:val="none"/>
                <w:u w:val="none"/>
              </w:rPr>
              <w:t>标准</w:t>
            </w:r>
            <w:r>
              <w:rPr>
                <w:rFonts w:hint="eastAsia" w:ascii="Times New Roman" w:hAnsi="Times New Roman" w:eastAsia="宋体" w:cs="Times New Roman"/>
                <w:color w:val="auto"/>
                <w:highlight w:val="none"/>
                <w:u w:val="none"/>
                <w:lang w:val="en-US" w:eastAsia="zh-CN"/>
              </w:rPr>
              <w:t>排放</w:t>
            </w:r>
            <w:r>
              <w:rPr>
                <w:rFonts w:hint="eastAsia" w:cs="Times New Roman"/>
                <w:color w:val="auto"/>
                <w:highlight w:val="none"/>
                <w:u w:val="none"/>
                <w:lang w:val="en-US" w:eastAsia="zh-CN"/>
              </w:rPr>
              <w:t>，最终排入赛城湖</w:t>
            </w:r>
            <w:r>
              <w:rPr>
                <w:rFonts w:hint="eastAsia"/>
                <w:color w:val="auto"/>
                <w:lang w:val="en-US" w:eastAsia="zh-CN"/>
              </w:rPr>
              <w:t>；</w:t>
            </w:r>
            <w:r>
              <w:rPr>
                <w:rFonts w:hint="eastAsia"/>
                <w:color w:val="auto"/>
              </w:rPr>
              <w:t>地面冲洗废水</w:t>
            </w:r>
            <w:r>
              <w:rPr>
                <w:rFonts w:hint="eastAsia"/>
                <w:color w:val="auto"/>
                <w:lang w:val="en-US" w:eastAsia="zh-CN"/>
              </w:rPr>
              <w:t>经隔油池隔油预处理后，和洗车废水一起</w:t>
            </w:r>
            <w:r>
              <w:rPr>
                <w:rFonts w:hint="eastAsia"/>
                <w:lang w:val="en-US" w:eastAsia="zh-CN"/>
              </w:rPr>
              <w:t>排入厂区一体化（MBR）洗车废水处理设施进一步处理后满足《城市污水再生利用</w:t>
            </w:r>
            <w:r>
              <w:rPr>
                <w:rFonts w:hint="default" w:ascii="Times New Roman" w:hAnsi="Times New Roman" w:cs="Times New Roman"/>
                <w:lang w:val="en-US" w:eastAsia="zh-CN"/>
              </w:rPr>
              <w:t>·</w:t>
            </w:r>
            <w:r>
              <w:rPr>
                <w:rFonts w:hint="eastAsia"/>
                <w:lang w:val="en-US" w:eastAsia="zh-CN"/>
              </w:rPr>
              <w:t>城市杂用水水质》（GB/T18920-2020）中车辆冲洗水质标准要求后回用于洗车，不外排</w:t>
            </w:r>
            <w:r>
              <w:rPr>
                <w:rFonts w:ascii="Times New Roman" w:hAnsi="Times New Roman" w:eastAsia="宋体"/>
                <w:color w:val="000000" w:themeColor="text1"/>
                <w:sz w:val="24"/>
                <w14:textFill>
                  <w14:solidFill>
                    <w14:schemeClr w14:val="tx1"/>
                  </w14:solidFill>
                </w14:textFill>
              </w:rPr>
              <w:t>。</w:t>
            </w:r>
            <w:r>
              <w:t>具体标准详见</w:t>
            </w:r>
            <w:r>
              <w:rPr>
                <w:rFonts w:hint="eastAsia"/>
              </w:rPr>
              <w:t>表</w:t>
            </w:r>
            <w:r>
              <w:rPr>
                <w:rFonts w:hint="eastAsia"/>
                <w:lang w:val="en-US" w:eastAsia="zh-CN"/>
              </w:rPr>
              <w:t>3-11~表3-12</w:t>
            </w:r>
            <w:r>
              <w:t>。</w:t>
            </w:r>
          </w:p>
          <w:p w14:paraId="7D18638B">
            <w:pPr>
              <w:pStyle w:val="49"/>
              <w:keepNext w:val="0"/>
              <w:keepLines w:val="0"/>
              <w:pageBreakBefore w:val="0"/>
              <w:widowControl w:val="0"/>
              <w:kinsoku/>
              <w:wordWrap/>
              <w:overflowPunct/>
              <w:topLinePunct w:val="0"/>
              <w:autoSpaceDE/>
              <w:autoSpaceDN/>
              <w:bidi w:val="0"/>
              <w:adjustRightInd/>
              <w:snapToGrid/>
              <w:textAlignment w:val="auto"/>
              <w:rPr>
                <w:rFonts w:hint="eastAsia"/>
                <w:b/>
              </w:rPr>
            </w:pPr>
            <w:r>
              <w:rPr>
                <w:b/>
              </w:rPr>
              <w:t>表</w:t>
            </w:r>
            <w:r>
              <w:rPr>
                <w:rFonts w:hint="eastAsia"/>
                <w:b/>
              </w:rPr>
              <w:t>3-</w:t>
            </w:r>
            <w:r>
              <w:rPr>
                <w:rFonts w:hint="eastAsia"/>
                <w:b/>
                <w:lang w:val="en-US" w:eastAsia="zh-CN"/>
              </w:rPr>
              <w:t>11   项目生活污水污染物</w:t>
            </w:r>
            <w:r>
              <w:rPr>
                <w:b/>
              </w:rPr>
              <w:t xml:space="preserve">排放标准 </w:t>
            </w:r>
            <w:r>
              <w:rPr>
                <w:rFonts w:hint="eastAsia"/>
                <w:b/>
                <w:lang w:val="en-US" w:eastAsia="zh-CN"/>
              </w:rPr>
              <w:t xml:space="preserve">   </w:t>
            </w:r>
            <w:r>
              <w:rPr>
                <w:b/>
              </w:rPr>
              <w:t>单位：mg/L</w:t>
            </w:r>
            <w:r>
              <w:rPr>
                <w:rFonts w:hint="eastAsia"/>
                <w:b/>
              </w:rPr>
              <w:t>（pH除外）</w:t>
            </w:r>
          </w:p>
          <w:tbl>
            <w:tblPr>
              <w:tblStyle w:val="35"/>
              <w:tblW w:w="927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06"/>
              <w:gridCol w:w="1690"/>
              <w:gridCol w:w="2584"/>
              <w:gridCol w:w="3992"/>
            </w:tblGrid>
            <w:tr w14:paraId="44A935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06" w:type="dxa"/>
                  <w:noWrap w:val="0"/>
                  <w:vAlign w:val="center"/>
                </w:tcPr>
                <w:p w14:paraId="28206A07">
                  <w:pPr>
                    <w:keepNext w:val="0"/>
                    <w:keepLines w:val="0"/>
                    <w:pageBreakBefore w:val="0"/>
                    <w:widowControl w:val="0"/>
                    <w:kinsoku/>
                    <w:wordWrap/>
                    <w:overflowPunct/>
                    <w:topLinePunct w:val="0"/>
                    <w:bidi w:val="0"/>
                    <w:adjustRightInd/>
                    <w:snapToGrid w:val="0"/>
                    <w:spacing w:line="240" w:lineRule="auto"/>
                    <w:ind w:left="0" w:leftChars="0" w:firstLine="0" w:firstLineChars="0"/>
                    <w:jc w:val="center"/>
                    <w:textAlignment w:val="auto"/>
                    <w:rPr>
                      <w:b/>
                      <w:bCs/>
                      <w:sz w:val="21"/>
                      <w:szCs w:val="21"/>
                    </w:rPr>
                  </w:pPr>
                  <w:r>
                    <w:rPr>
                      <w:b/>
                      <w:bCs/>
                      <w:sz w:val="21"/>
                      <w:szCs w:val="21"/>
                    </w:rPr>
                    <w:t>序号</w:t>
                  </w:r>
                </w:p>
              </w:tc>
              <w:tc>
                <w:tcPr>
                  <w:tcW w:w="1690" w:type="dxa"/>
                  <w:noWrap w:val="0"/>
                  <w:vAlign w:val="center"/>
                </w:tcPr>
                <w:p w14:paraId="43EB585D">
                  <w:pPr>
                    <w:keepNext w:val="0"/>
                    <w:keepLines w:val="0"/>
                    <w:pageBreakBefore w:val="0"/>
                    <w:widowControl w:val="0"/>
                    <w:kinsoku/>
                    <w:wordWrap/>
                    <w:overflowPunct/>
                    <w:topLinePunct w:val="0"/>
                    <w:bidi w:val="0"/>
                    <w:adjustRightInd/>
                    <w:snapToGrid w:val="0"/>
                    <w:spacing w:line="240" w:lineRule="auto"/>
                    <w:ind w:left="0" w:leftChars="0" w:firstLine="0" w:firstLineChars="0"/>
                    <w:jc w:val="center"/>
                    <w:textAlignment w:val="auto"/>
                    <w:rPr>
                      <w:b/>
                      <w:bCs/>
                      <w:sz w:val="21"/>
                      <w:szCs w:val="21"/>
                    </w:rPr>
                  </w:pPr>
                  <w:r>
                    <w:rPr>
                      <w:b/>
                      <w:bCs/>
                      <w:sz w:val="21"/>
                      <w:szCs w:val="21"/>
                    </w:rPr>
                    <w:t>污染物名称</w:t>
                  </w:r>
                </w:p>
              </w:tc>
              <w:tc>
                <w:tcPr>
                  <w:tcW w:w="2584" w:type="dxa"/>
                  <w:noWrap w:val="0"/>
                  <w:vAlign w:val="center"/>
                </w:tcPr>
                <w:p w14:paraId="715484BE">
                  <w:pPr>
                    <w:pStyle w:val="74"/>
                    <w:keepNext w:val="0"/>
                    <w:keepLines w:val="0"/>
                    <w:pageBreakBefore w:val="0"/>
                    <w:widowControl w:val="0"/>
                    <w:kinsoku/>
                    <w:wordWrap/>
                    <w:overflowPunct/>
                    <w:topLinePunct w:val="0"/>
                    <w:bidi w:val="0"/>
                    <w:adjustRightInd/>
                    <w:snapToGrid w:val="0"/>
                    <w:spacing w:line="240" w:lineRule="auto"/>
                    <w:jc w:val="center"/>
                    <w:textAlignment w:val="auto"/>
                    <w:rPr>
                      <w:rFonts w:ascii="Times New Roman" w:hAnsi="Times New Roman" w:cs="Times New Roman"/>
                      <w:b/>
                      <w:bCs/>
                      <w:color w:val="auto"/>
                      <w:spacing w:val="3"/>
                      <w:sz w:val="21"/>
                      <w:szCs w:val="21"/>
                    </w:rPr>
                  </w:pPr>
                  <w:r>
                    <w:rPr>
                      <w:rFonts w:hint="eastAsia" w:ascii="Times New Roman" w:cs="Times New Roman"/>
                      <w:b/>
                      <w:bCs/>
                      <w:color w:val="auto"/>
                      <w:spacing w:val="3"/>
                      <w:sz w:val="21"/>
                      <w:szCs w:val="21"/>
                      <w:lang w:val="en-US" w:eastAsia="zh-CN"/>
                    </w:rPr>
                    <w:t>红心村生活污水处理站</w:t>
                  </w:r>
                  <w:r>
                    <w:rPr>
                      <w:rFonts w:ascii="Times New Roman" w:hAnsi="Times New Roman" w:cs="Times New Roman"/>
                      <w:b/>
                      <w:bCs/>
                      <w:color w:val="auto"/>
                      <w:spacing w:val="3"/>
                      <w:sz w:val="21"/>
                      <w:szCs w:val="21"/>
                    </w:rPr>
                    <w:t>接管标准</w:t>
                  </w:r>
                </w:p>
              </w:tc>
              <w:tc>
                <w:tcPr>
                  <w:tcW w:w="3992" w:type="dxa"/>
                  <w:noWrap w:val="0"/>
                  <w:vAlign w:val="center"/>
                </w:tcPr>
                <w:p w14:paraId="0867230B">
                  <w:pPr>
                    <w:pStyle w:val="74"/>
                    <w:keepNext w:val="0"/>
                    <w:keepLines w:val="0"/>
                    <w:pageBreakBefore w:val="0"/>
                    <w:widowControl w:val="0"/>
                    <w:kinsoku/>
                    <w:wordWrap/>
                    <w:overflowPunct/>
                    <w:topLinePunct w:val="0"/>
                    <w:bidi w:val="0"/>
                    <w:adjustRightInd/>
                    <w:snapToGrid w:val="0"/>
                    <w:spacing w:line="240" w:lineRule="auto"/>
                    <w:jc w:val="center"/>
                    <w:textAlignment w:val="auto"/>
                    <w:rPr>
                      <w:rFonts w:ascii="Times New Roman" w:hAnsi="Times New Roman" w:cs="Times New Roman"/>
                      <w:b/>
                      <w:bCs/>
                      <w:color w:val="auto"/>
                      <w:spacing w:val="3"/>
                      <w:sz w:val="21"/>
                      <w:szCs w:val="21"/>
                    </w:rPr>
                  </w:pPr>
                  <w:r>
                    <w:rPr>
                      <w:rFonts w:ascii="Times New Roman" w:hAnsi="Times New Roman" w:cs="Times New Roman"/>
                      <w:b/>
                      <w:bCs/>
                      <w:color w:val="auto"/>
                      <w:spacing w:val="3"/>
                      <w:sz w:val="21"/>
                      <w:szCs w:val="21"/>
                    </w:rPr>
                    <w:t>《城镇污水处理厂污染物排放标准》（GB18918-2002）中一级</w:t>
                  </w:r>
                  <w:r>
                    <w:rPr>
                      <w:rFonts w:hint="eastAsia" w:ascii="Times New Roman" w:cs="Times New Roman"/>
                      <w:b/>
                      <w:bCs/>
                      <w:color w:val="auto"/>
                      <w:spacing w:val="3"/>
                      <w:sz w:val="21"/>
                      <w:szCs w:val="21"/>
                      <w:lang w:val="en-US" w:eastAsia="zh-CN"/>
                    </w:rPr>
                    <w:t>B</w:t>
                  </w:r>
                  <w:r>
                    <w:rPr>
                      <w:rFonts w:ascii="Times New Roman" w:hAnsi="Times New Roman" w:cs="Times New Roman"/>
                      <w:b/>
                      <w:bCs/>
                      <w:color w:val="auto"/>
                      <w:spacing w:val="3"/>
                      <w:sz w:val="21"/>
                      <w:szCs w:val="21"/>
                    </w:rPr>
                    <w:t>标准</w:t>
                  </w:r>
                </w:p>
              </w:tc>
            </w:tr>
            <w:tr w14:paraId="09A16A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06" w:type="dxa"/>
                  <w:noWrap w:val="0"/>
                  <w:vAlign w:val="center"/>
                </w:tcPr>
                <w:p w14:paraId="1CA2BF1D">
                  <w:pPr>
                    <w:keepNext w:val="0"/>
                    <w:keepLines w:val="0"/>
                    <w:pageBreakBefore w:val="0"/>
                    <w:widowControl w:val="0"/>
                    <w:kinsoku/>
                    <w:wordWrap/>
                    <w:overflowPunct/>
                    <w:topLinePunct w:val="0"/>
                    <w:bidi w:val="0"/>
                    <w:adjustRightInd/>
                    <w:snapToGrid w:val="0"/>
                    <w:spacing w:line="240" w:lineRule="auto"/>
                    <w:ind w:left="0" w:leftChars="0" w:firstLine="0" w:firstLineChars="0"/>
                    <w:jc w:val="center"/>
                    <w:textAlignment w:val="auto"/>
                    <w:rPr>
                      <w:sz w:val="21"/>
                      <w:szCs w:val="21"/>
                    </w:rPr>
                  </w:pPr>
                  <w:r>
                    <w:rPr>
                      <w:sz w:val="21"/>
                      <w:szCs w:val="21"/>
                    </w:rPr>
                    <w:t>1</w:t>
                  </w:r>
                </w:p>
              </w:tc>
              <w:tc>
                <w:tcPr>
                  <w:tcW w:w="1690" w:type="dxa"/>
                  <w:noWrap w:val="0"/>
                  <w:vAlign w:val="center"/>
                </w:tcPr>
                <w:p w14:paraId="677253ED">
                  <w:pPr>
                    <w:keepNext w:val="0"/>
                    <w:keepLines w:val="0"/>
                    <w:pageBreakBefore w:val="0"/>
                    <w:widowControl w:val="0"/>
                    <w:kinsoku/>
                    <w:wordWrap/>
                    <w:overflowPunct/>
                    <w:topLinePunct w:val="0"/>
                    <w:bidi w:val="0"/>
                    <w:adjustRightInd/>
                    <w:snapToGrid w:val="0"/>
                    <w:spacing w:line="240" w:lineRule="auto"/>
                    <w:ind w:left="0" w:leftChars="0" w:firstLine="0" w:firstLineChars="0"/>
                    <w:jc w:val="center"/>
                    <w:textAlignment w:val="auto"/>
                    <w:rPr>
                      <w:sz w:val="21"/>
                      <w:szCs w:val="21"/>
                    </w:rPr>
                  </w:pPr>
                  <w:r>
                    <w:rPr>
                      <w:sz w:val="21"/>
                      <w:szCs w:val="21"/>
                    </w:rPr>
                    <w:t>pH</w:t>
                  </w:r>
                </w:p>
              </w:tc>
              <w:tc>
                <w:tcPr>
                  <w:tcW w:w="2584" w:type="dxa"/>
                  <w:noWrap w:val="0"/>
                  <w:vAlign w:val="center"/>
                </w:tcPr>
                <w:p w14:paraId="5C1DB313">
                  <w:pPr>
                    <w:pStyle w:val="74"/>
                    <w:keepNext w:val="0"/>
                    <w:keepLines w:val="0"/>
                    <w:pageBreakBefore w:val="0"/>
                    <w:widowControl w:val="0"/>
                    <w:kinsoku/>
                    <w:wordWrap/>
                    <w:overflowPunct/>
                    <w:topLinePunct w:val="0"/>
                    <w:bidi w:val="0"/>
                    <w:adjustRightInd/>
                    <w:snapToGrid w:val="0"/>
                    <w:spacing w:line="240" w:lineRule="auto"/>
                    <w:jc w:val="center"/>
                    <w:textAlignment w:val="auto"/>
                    <w:rPr>
                      <w:rFonts w:ascii="Times New Roman" w:hAnsi="Times New Roman" w:cs="Times New Roman"/>
                      <w:color w:val="auto"/>
                      <w:sz w:val="21"/>
                      <w:szCs w:val="21"/>
                    </w:rPr>
                  </w:pPr>
                  <w:r>
                    <w:rPr>
                      <w:rFonts w:ascii="Times New Roman" w:hAnsi="Times New Roman" w:cs="Times New Roman"/>
                      <w:color w:val="auto"/>
                      <w:sz w:val="21"/>
                      <w:szCs w:val="21"/>
                    </w:rPr>
                    <w:t>6~9</w:t>
                  </w:r>
                </w:p>
              </w:tc>
              <w:tc>
                <w:tcPr>
                  <w:tcW w:w="3992" w:type="dxa"/>
                  <w:noWrap w:val="0"/>
                  <w:vAlign w:val="center"/>
                </w:tcPr>
                <w:p w14:paraId="29A60AC9">
                  <w:pPr>
                    <w:keepNext w:val="0"/>
                    <w:keepLines w:val="0"/>
                    <w:pageBreakBefore w:val="0"/>
                    <w:widowControl w:val="0"/>
                    <w:kinsoku/>
                    <w:wordWrap/>
                    <w:overflowPunct/>
                    <w:topLinePunct w:val="0"/>
                    <w:bidi w:val="0"/>
                    <w:adjustRightInd/>
                    <w:snapToGrid w:val="0"/>
                    <w:spacing w:line="240" w:lineRule="auto"/>
                    <w:ind w:left="0" w:leftChars="0" w:firstLine="0" w:firstLineChars="0"/>
                    <w:jc w:val="center"/>
                    <w:textAlignment w:val="auto"/>
                    <w:rPr>
                      <w:sz w:val="21"/>
                      <w:szCs w:val="21"/>
                    </w:rPr>
                  </w:pPr>
                  <w:r>
                    <w:rPr>
                      <w:sz w:val="21"/>
                      <w:szCs w:val="21"/>
                    </w:rPr>
                    <w:t>6~9</w:t>
                  </w:r>
                </w:p>
              </w:tc>
            </w:tr>
            <w:tr w14:paraId="5665E5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06" w:type="dxa"/>
                  <w:noWrap w:val="0"/>
                  <w:vAlign w:val="center"/>
                </w:tcPr>
                <w:p w14:paraId="644E9E2B">
                  <w:pPr>
                    <w:keepNext w:val="0"/>
                    <w:keepLines w:val="0"/>
                    <w:pageBreakBefore w:val="0"/>
                    <w:widowControl w:val="0"/>
                    <w:kinsoku/>
                    <w:wordWrap/>
                    <w:overflowPunct/>
                    <w:topLinePunct w:val="0"/>
                    <w:bidi w:val="0"/>
                    <w:adjustRightInd/>
                    <w:snapToGrid w:val="0"/>
                    <w:spacing w:line="240" w:lineRule="auto"/>
                    <w:ind w:left="0" w:leftChars="0" w:firstLine="0" w:firstLineChars="0"/>
                    <w:jc w:val="center"/>
                    <w:textAlignment w:val="auto"/>
                    <w:rPr>
                      <w:sz w:val="21"/>
                      <w:szCs w:val="21"/>
                    </w:rPr>
                  </w:pPr>
                  <w:r>
                    <w:rPr>
                      <w:sz w:val="21"/>
                      <w:szCs w:val="21"/>
                    </w:rPr>
                    <w:t>2</w:t>
                  </w:r>
                </w:p>
              </w:tc>
              <w:tc>
                <w:tcPr>
                  <w:tcW w:w="1690" w:type="dxa"/>
                  <w:noWrap w:val="0"/>
                  <w:vAlign w:val="center"/>
                </w:tcPr>
                <w:p w14:paraId="63F25CCB">
                  <w:pPr>
                    <w:keepNext w:val="0"/>
                    <w:keepLines w:val="0"/>
                    <w:pageBreakBefore w:val="0"/>
                    <w:widowControl w:val="0"/>
                    <w:kinsoku/>
                    <w:wordWrap/>
                    <w:overflowPunct/>
                    <w:topLinePunct w:val="0"/>
                    <w:bidi w:val="0"/>
                    <w:adjustRightInd/>
                    <w:snapToGrid w:val="0"/>
                    <w:spacing w:line="240" w:lineRule="auto"/>
                    <w:ind w:left="0" w:leftChars="0" w:firstLine="0" w:firstLineChars="0"/>
                    <w:jc w:val="center"/>
                    <w:textAlignment w:val="auto"/>
                    <w:rPr>
                      <w:sz w:val="21"/>
                      <w:szCs w:val="21"/>
                    </w:rPr>
                  </w:pPr>
                  <w:r>
                    <w:rPr>
                      <w:rFonts w:hint="eastAsia"/>
                      <w:sz w:val="21"/>
                      <w:szCs w:val="21"/>
                    </w:rPr>
                    <w:t>COD</w:t>
                  </w:r>
                  <w:r>
                    <w:rPr>
                      <w:rFonts w:hint="eastAsia"/>
                      <w:sz w:val="21"/>
                      <w:szCs w:val="21"/>
                      <w:vertAlign w:val="subscript"/>
                      <w:lang w:val="en-US" w:eastAsia="zh-CN"/>
                    </w:rPr>
                    <w:t>Cr</w:t>
                  </w:r>
                </w:p>
              </w:tc>
              <w:tc>
                <w:tcPr>
                  <w:tcW w:w="2584" w:type="dxa"/>
                  <w:noWrap w:val="0"/>
                  <w:vAlign w:val="center"/>
                </w:tcPr>
                <w:p w14:paraId="3BF2DE6F">
                  <w:pPr>
                    <w:pStyle w:val="74"/>
                    <w:keepNext w:val="0"/>
                    <w:keepLines w:val="0"/>
                    <w:pageBreakBefore w:val="0"/>
                    <w:widowControl w:val="0"/>
                    <w:kinsoku/>
                    <w:wordWrap/>
                    <w:overflowPunct/>
                    <w:topLinePunct w:val="0"/>
                    <w:bidi w:val="0"/>
                    <w:adjustRightInd/>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220</w:t>
                  </w:r>
                </w:p>
              </w:tc>
              <w:tc>
                <w:tcPr>
                  <w:tcW w:w="3992" w:type="dxa"/>
                  <w:noWrap w:val="0"/>
                  <w:vAlign w:val="center"/>
                </w:tcPr>
                <w:p w14:paraId="3CA9E71E">
                  <w:pPr>
                    <w:keepNext w:val="0"/>
                    <w:keepLines w:val="0"/>
                    <w:pageBreakBefore w:val="0"/>
                    <w:widowControl w:val="0"/>
                    <w:kinsoku/>
                    <w:wordWrap/>
                    <w:overflowPunct/>
                    <w:topLinePunct w:val="0"/>
                    <w:bidi w:val="0"/>
                    <w:adjustRightInd/>
                    <w:snapToGrid w:val="0"/>
                    <w:spacing w:line="240" w:lineRule="auto"/>
                    <w:ind w:left="0" w:leftChars="0" w:firstLine="0" w:firstLineChars="0"/>
                    <w:jc w:val="center"/>
                    <w:textAlignment w:val="auto"/>
                    <w:rPr>
                      <w:rFonts w:hint="default" w:eastAsia="宋体"/>
                      <w:sz w:val="21"/>
                      <w:szCs w:val="21"/>
                      <w:lang w:val="en-US" w:eastAsia="zh-CN"/>
                    </w:rPr>
                  </w:pPr>
                  <w:r>
                    <w:rPr>
                      <w:rFonts w:hint="eastAsia"/>
                      <w:sz w:val="21"/>
                      <w:szCs w:val="21"/>
                      <w:lang w:val="en-US" w:eastAsia="zh-CN"/>
                    </w:rPr>
                    <w:t>60</w:t>
                  </w:r>
                </w:p>
              </w:tc>
            </w:tr>
            <w:tr w14:paraId="083313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06" w:type="dxa"/>
                  <w:noWrap w:val="0"/>
                  <w:vAlign w:val="center"/>
                </w:tcPr>
                <w:p w14:paraId="462CAD18">
                  <w:pPr>
                    <w:keepNext w:val="0"/>
                    <w:keepLines w:val="0"/>
                    <w:pageBreakBefore w:val="0"/>
                    <w:widowControl w:val="0"/>
                    <w:kinsoku/>
                    <w:wordWrap/>
                    <w:overflowPunct/>
                    <w:topLinePunct w:val="0"/>
                    <w:bidi w:val="0"/>
                    <w:adjustRightInd/>
                    <w:snapToGrid w:val="0"/>
                    <w:spacing w:line="240" w:lineRule="auto"/>
                    <w:ind w:left="0" w:leftChars="0" w:firstLine="0" w:firstLineChars="0"/>
                    <w:jc w:val="center"/>
                    <w:textAlignment w:val="auto"/>
                    <w:rPr>
                      <w:sz w:val="21"/>
                      <w:szCs w:val="21"/>
                    </w:rPr>
                  </w:pPr>
                  <w:r>
                    <w:rPr>
                      <w:sz w:val="21"/>
                      <w:szCs w:val="21"/>
                    </w:rPr>
                    <w:t>3</w:t>
                  </w:r>
                </w:p>
              </w:tc>
              <w:tc>
                <w:tcPr>
                  <w:tcW w:w="1690" w:type="dxa"/>
                  <w:noWrap w:val="0"/>
                  <w:vAlign w:val="center"/>
                </w:tcPr>
                <w:p w14:paraId="08152B14">
                  <w:pPr>
                    <w:keepNext w:val="0"/>
                    <w:keepLines w:val="0"/>
                    <w:pageBreakBefore w:val="0"/>
                    <w:widowControl w:val="0"/>
                    <w:kinsoku/>
                    <w:wordWrap/>
                    <w:overflowPunct/>
                    <w:topLinePunct w:val="0"/>
                    <w:bidi w:val="0"/>
                    <w:adjustRightInd/>
                    <w:snapToGrid w:val="0"/>
                    <w:spacing w:line="240" w:lineRule="auto"/>
                    <w:ind w:left="0" w:leftChars="0" w:firstLine="0" w:firstLineChars="0"/>
                    <w:jc w:val="center"/>
                    <w:textAlignment w:val="auto"/>
                    <w:rPr>
                      <w:sz w:val="21"/>
                      <w:szCs w:val="21"/>
                    </w:rPr>
                  </w:pPr>
                  <w:r>
                    <w:rPr>
                      <w:sz w:val="21"/>
                      <w:szCs w:val="21"/>
                    </w:rPr>
                    <w:t>BOD</w:t>
                  </w:r>
                  <w:r>
                    <w:rPr>
                      <w:sz w:val="21"/>
                      <w:szCs w:val="21"/>
                      <w:vertAlign w:val="subscript"/>
                    </w:rPr>
                    <w:t>5</w:t>
                  </w:r>
                </w:p>
              </w:tc>
              <w:tc>
                <w:tcPr>
                  <w:tcW w:w="2584" w:type="dxa"/>
                  <w:noWrap w:val="0"/>
                  <w:vAlign w:val="center"/>
                </w:tcPr>
                <w:p w14:paraId="6686015A">
                  <w:pPr>
                    <w:pStyle w:val="74"/>
                    <w:keepNext w:val="0"/>
                    <w:keepLines w:val="0"/>
                    <w:pageBreakBefore w:val="0"/>
                    <w:widowControl w:val="0"/>
                    <w:kinsoku/>
                    <w:wordWrap/>
                    <w:overflowPunct/>
                    <w:topLinePunct w:val="0"/>
                    <w:bidi w:val="0"/>
                    <w:adjustRightInd/>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120</w:t>
                  </w:r>
                </w:p>
              </w:tc>
              <w:tc>
                <w:tcPr>
                  <w:tcW w:w="3992" w:type="dxa"/>
                  <w:noWrap w:val="0"/>
                  <w:vAlign w:val="center"/>
                </w:tcPr>
                <w:p w14:paraId="325C78C0">
                  <w:pPr>
                    <w:keepNext w:val="0"/>
                    <w:keepLines w:val="0"/>
                    <w:pageBreakBefore w:val="0"/>
                    <w:widowControl w:val="0"/>
                    <w:kinsoku/>
                    <w:wordWrap/>
                    <w:overflowPunct/>
                    <w:topLinePunct w:val="0"/>
                    <w:bidi w:val="0"/>
                    <w:adjustRightInd/>
                    <w:snapToGrid w:val="0"/>
                    <w:spacing w:line="240" w:lineRule="auto"/>
                    <w:ind w:left="0" w:leftChars="0" w:firstLine="0" w:firstLineChars="0"/>
                    <w:jc w:val="center"/>
                    <w:textAlignment w:val="auto"/>
                    <w:rPr>
                      <w:rFonts w:hint="default" w:eastAsia="宋体"/>
                      <w:sz w:val="21"/>
                      <w:szCs w:val="21"/>
                      <w:lang w:val="en-US" w:eastAsia="zh-CN"/>
                    </w:rPr>
                  </w:pPr>
                  <w:r>
                    <w:rPr>
                      <w:rFonts w:hint="eastAsia"/>
                      <w:sz w:val="21"/>
                      <w:szCs w:val="21"/>
                      <w:lang w:val="en-US" w:eastAsia="zh-CN"/>
                    </w:rPr>
                    <w:t>20</w:t>
                  </w:r>
                </w:p>
              </w:tc>
            </w:tr>
            <w:tr w14:paraId="6BB3C4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06" w:type="dxa"/>
                  <w:noWrap w:val="0"/>
                  <w:vAlign w:val="center"/>
                </w:tcPr>
                <w:p w14:paraId="54827316">
                  <w:pPr>
                    <w:keepNext w:val="0"/>
                    <w:keepLines w:val="0"/>
                    <w:pageBreakBefore w:val="0"/>
                    <w:widowControl w:val="0"/>
                    <w:kinsoku/>
                    <w:wordWrap/>
                    <w:overflowPunct/>
                    <w:topLinePunct w:val="0"/>
                    <w:bidi w:val="0"/>
                    <w:adjustRightInd/>
                    <w:snapToGrid w:val="0"/>
                    <w:spacing w:line="240" w:lineRule="auto"/>
                    <w:ind w:left="0" w:leftChars="0" w:firstLine="0" w:firstLineChars="0"/>
                    <w:jc w:val="center"/>
                    <w:textAlignment w:val="auto"/>
                    <w:rPr>
                      <w:sz w:val="21"/>
                      <w:szCs w:val="21"/>
                    </w:rPr>
                  </w:pPr>
                  <w:r>
                    <w:rPr>
                      <w:sz w:val="21"/>
                      <w:szCs w:val="21"/>
                    </w:rPr>
                    <w:t>4</w:t>
                  </w:r>
                </w:p>
              </w:tc>
              <w:tc>
                <w:tcPr>
                  <w:tcW w:w="1690" w:type="dxa"/>
                  <w:noWrap w:val="0"/>
                  <w:vAlign w:val="center"/>
                </w:tcPr>
                <w:p w14:paraId="591E5BBB">
                  <w:pPr>
                    <w:keepNext w:val="0"/>
                    <w:keepLines w:val="0"/>
                    <w:pageBreakBefore w:val="0"/>
                    <w:widowControl w:val="0"/>
                    <w:kinsoku/>
                    <w:wordWrap/>
                    <w:overflowPunct/>
                    <w:topLinePunct w:val="0"/>
                    <w:bidi w:val="0"/>
                    <w:adjustRightInd/>
                    <w:snapToGrid w:val="0"/>
                    <w:spacing w:line="240" w:lineRule="auto"/>
                    <w:ind w:left="0" w:leftChars="0" w:firstLine="0" w:firstLineChars="0"/>
                    <w:jc w:val="center"/>
                    <w:textAlignment w:val="auto"/>
                    <w:rPr>
                      <w:sz w:val="21"/>
                      <w:szCs w:val="21"/>
                    </w:rPr>
                  </w:pPr>
                  <w:r>
                    <w:rPr>
                      <w:rFonts w:hint="eastAsia"/>
                      <w:sz w:val="21"/>
                      <w:szCs w:val="21"/>
                    </w:rPr>
                    <w:t>SS</w:t>
                  </w:r>
                </w:p>
              </w:tc>
              <w:tc>
                <w:tcPr>
                  <w:tcW w:w="2584" w:type="dxa"/>
                  <w:noWrap w:val="0"/>
                  <w:vAlign w:val="center"/>
                </w:tcPr>
                <w:p w14:paraId="37A78A5E">
                  <w:pPr>
                    <w:pStyle w:val="74"/>
                    <w:keepNext w:val="0"/>
                    <w:keepLines w:val="0"/>
                    <w:pageBreakBefore w:val="0"/>
                    <w:widowControl w:val="0"/>
                    <w:kinsoku/>
                    <w:wordWrap/>
                    <w:overflowPunct/>
                    <w:topLinePunct w:val="0"/>
                    <w:bidi w:val="0"/>
                    <w:adjustRightInd/>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200</w:t>
                  </w:r>
                </w:p>
              </w:tc>
              <w:tc>
                <w:tcPr>
                  <w:tcW w:w="3992" w:type="dxa"/>
                  <w:noWrap w:val="0"/>
                  <w:vAlign w:val="center"/>
                </w:tcPr>
                <w:p w14:paraId="25D965B5">
                  <w:pPr>
                    <w:keepNext w:val="0"/>
                    <w:keepLines w:val="0"/>
                    <w:pageBreakBefore w:val="0"/>
                    <w:widowControl w:val="0"/>
                    <w:kinsoku/>
                    <w:wordWrap/>
                    <w:overflowPunct/>
                    <w:topLinePunct w:val="0"/>
                    <w:bidi w:val="0"/>
                    <w:adjustRightInd/>
                    <w:snapToGrid w:val="0"/>
                    <w:spacing w:line="240" w:lineRule="auto"/>
                    <w:ind w:left="0" w:leftChars="0" w:firstLine="0" w:firstLineChars="0"/>
                    <w:jc w:val="center"/>
                    <w:textAlignment w:val="auto"/>
                    <w:rPr>
                      <w:rFonts w:hint="default" w:eastAsia="宋体"/>
                      <w:sz w:val="21"/>
                      <w:szCs w:val="21"/>
                      <w:lang w:val="en-US" w:eastAsia="zh-CN"/>
                    </w:rPr>
                  </w:pPr>
                  <w:r>
                    <w:rPr>
                      <w:rFonts w:hint="eastAsia"/>
                      <w:sz w:val="21"/>
                      <w:szCs w:val="21"/>
                      <w:lang w:val="en-US" w:eastAsia="zh-CN"/>
                    </w:rPr>
                    <w:t>20</w:t>
                  </w:r>
                </w:p>
              </w:tc>
            </w:tr>
            <w:tr w14:paraId="6E3B50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06" w:type="dxa"/>
                  <w:noWrap w:val="0"/>
                  <w:vAlign w:val="center"/>
                </w:tcPr>
                <w:p w14:paraId="70165FB0">
                  <w:pPr>
                    <w:keepNext w:val="0"/>
                    <w:keepLines w:val="0"/>
                    <w:pageBreakBefore w:val="0"/>
                    <w:widowControl w:val="0"/>
                    <w:kinsoku/>
                    <w:wordWrap/>
                    <w:overflowPunct/>
                    <w:topLinePunct w:val="0"/>
                    <w:bidi w:val="0"/>
                    <w:adjustRightInd/>
                    <w:snapToGrid w:val="0"/>
                    <w:spacing w:line="240" w:lineRule="auto"/>
                    <w:ind w:left="0" w:leftChars="0" w:firstLine="0" w:firstLineChars="0"/>
                    <w:jc w:val="center"/>
                    <w:textAlignment w:val="auto"/>
                    <w:rPr>
                      <w:sz w:val="21"/>
                      <w:szCs w:val="21"/>
                    </w:rPr>
                  </w:pPr>
                  <w:r>
                    <w:rPr>
                      <w:sz w:val="21"/>
                      <w:szCs w:val="21"/>
                    </w:rPr>
                    <w:t>5</w:t>
                  </w:r>
                </w:p>
              </w:tc>
              <w:tc>
                <w:tcPr>
                  <w:tcW w:w="1690" w:type="dxa"/>
                  <w:noWrap w:val="0"/>
                  <w:vAlign w:val="center"/>
                </w:tcPr>
                <w:p w14:paraId="394FE5FC">
                  <w:pPr>
                    <w:keepNext w:val="0"/>
                    <w:keepLines w:val="0"/>
                    <w:pageBreakBefore w:val="0"/>
                    <w:widowControl w:val="0"/>
                    <w:kinsoku/>
                    <w:wordWrap/>
                    <w:overflowPunct/>
                    <w:topLinePunct w:val="0"/>
                    <w:bidi w:val="0"/>
                    <w:adjustRightInd/>
                    <w:snapToGrid w:val="0"/>
                    <w:spacing w:line="240" w:lineRule="auto"/>
                    <w:ind w:left="0" w:leftChars="0" w:firstLine="0" w:firstLineChars="0"/>
                    <w:jc w:val="center"/>
                    <w:textAlignment w:val="auto"/>
                    <w:rPr>
                      <w:sz w:val="21"/>
                      <w:szCs w:val="21"/>
                    </w:rPr>
                  </w:pPr>
                  <w:r>
                    <w:rPr>
                      <w:sz w:val="21"/>
                      <w:szCs w:val="21"/>
                    </w:rPr>
                    <w:t>NH</w:t>
                  </w:r>
                  <w:r>
                    <w:rPr>
                      <w:sz w:val="21"/>
                      <w:szCs w:val="21"/>
                      <w:vertAlign w:val="subscript"/>
                    </w:rPr>
                    <w:t>3</w:t>
                  </w:r>
                  <w:r>
                    <w:rPr>
                      <w:sz w:val="21"/>
                      <w:szCs w:val="21"/>
                    </w:rPr>
                    <w:t>-N</w:t>
                  </w:r>
                </w:p>
              </w:tc>
              <w:tc>
                <w:tcPr>
                  <w:tcW w:w="2584" w:type="dxa"/>
                  <w:noWrap w:val="0"/>
                  <w:vAlign w:val="center"/>
                </w:tcPr>
                <w:p w14:paraId="013C8904">
                  <w:pPr>
                    <w:pStyle w:val="74"/>
                    <w:keepNext w:val="0"/>
                    <w:keepLines w:val="0"/>
                    <w:pageBreakBefore w:val="0"/>
                    <w:widowControl w:val="0"/>
                    <w:kinsoku/>
                    <w:wordWrap/>
                    <w:overflowPunct/>
                    <w:topLinePunct w:val="0"/>
                    <w:bidi w:val="0"/>
                    <w:adjustRightInd/>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25</w:t>
                  </w:r>
                </w:p>
              </w:tc>
              <w:tc>
                <w:tcPr>
                  <w:tcW w:w="3992" w:type="dxa"/>
                  <w:noWrap w:val="0"/>
                  <w:vAlign w:val="center"/>
                </w:tcPr>
                <w:p w14:paraId="16A3098B">
                  <w:pPr>
                    <w:keepNext w:val="0"/>
                    <w:keepLines w:val="0"/>
                    <w:pageBreakBefore w:val="0"/>
                    <w:widowControl w:val="0"/>
                    <w:kinsoku/>
                    <w:wordWrap/>
                    <w:overflowPunct/>
                    <w:topLinePunct w:val="0"/>
                    <w:bidi w:val="0"/>
                    <w:adjustRightInd/>
                    <w:snapToGrid w:val="0"/>
                    <w:spacing w:line="240" w:lineRule="auto"/>
                    <w:ind w:left="0" w:leftChars="0" w:firstLine="0" w:firstLineChars="0"/>
                    <w:jc w:val="center"/>
                    <w:textAlignment w:val="auto"/>
                    <w:rPr>
                      <w:rFonts w:hint="eastAsia" w:eastAsia="宋体"/>
                      <w:sz w:val="21"/>
                      <w:szCs w:val="21"/>
                      <w:lang w:val="en-US" w:eastAsia="zh-CN"/>
                    </w:rPr>
                  </w:pPr>
                  <w:r>
                    <w:rPr>
                      <w:rFonts w:hint="eastAsia"/>
                      <w:sz w:val="21"/>
                      <w:szCs w:val="21"/>
                      <w:lang w:val="en-US" w:eastAsia="zh-CN"/>
                    </w:rPr>
                    <w:t>8</w:t>
                  </w:r>
                </w:p>
              </w:tc>
            </w:tr>
            <w:tr w14:paraId="1BF03F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1006" w:type="dxa"/>
                  <w:noWrap w:val="0"/>
                  <w:vAlign w:val="center"/>
                </w:tcPr>
                <w:p w14:paraId="0B47A47A">
                  <w:pPr>
                    <w:keepNext w:val="0"/>
                    <w:keepLines w:val="0"/>
                    <w:pageBreakBefore w:val="0"/>
                    <w:widowControl w:val="0"/>
                    <w:kinsoku/>
                    <w:wordWrap/>
                    <w:overflowPunct/>
                    <w:topLinePunct w:val="0"/>
                    <w:bidi w:val="0"/>
                    <w:adjustRightInd/>
                    <w:snapToGrid w:val="0"/>
                    <w:spacing w:line="240" w:lineRule="auto"/>
                    <w:ind w:left="0" w:leftChars="0" w:firstLine="0" w:firstLineChars="0"/>
                    <w:jc w:val="center"/>
                    <w:textAlignment w:val="auto"/>
                    <w:rPr>
                      <w:sz w:val="21"/>
                      <w:szCs w:val="21"/>
                    </w:rPr>
                  </w:pPr>
                  <w:r>
                    <w:rPr>
                      <w:sz w:val="21"/>
                      <w:szCs w:val="21"/>
                    </w:rPr>
                    <w:t>6</w:t>
                  </w:r>
                </w:p>
              </w:tc>
              <w:tc>
                <w:tcPr>
                  <w:tcW w:w="1690" w:type="dxa"/>
                  <w:noWrap w:val="0"/>
                  <w:vAlign w:val="center"/>
                </w:tcPr>
                <w:p w14:paraId="457D7725">
                  <w:pPr>
                    <w:keepNext w:val="0"/>
                    <w:keepLines w:val="0"/>
                    <w:pageBreakBefore w:val="0"/>
                    <w:widowControl w:val="0"/>
                    <w:kinsoku/>
                    <w:wordWrap/>
                    <w:overflowPunct/>
                    <w:topLinePunct w:val="0"/>
                    <w:bidi w:val="0"/>
                    <w:adjustRightInd/>
                    <w:snapToGrid w:val="0"/>
                    <w:spacing w:line="240" w:lineRule="auto"/>
                    <w:ind w:left="0" w:leftChars="0" w:firstLine="0" w:firstLineChars="0"/>
                    <w:jc w:val="center"/>
                    <w:textAlignment w:val="auto"/>
                    <w:rPr>
                      <w:sz w:val="21"/>
                      <w:szCs w:val="21"/>
                    </w:rPr>
                  </w:pPr>
                  <w:r>
                    <w:rPr>
                      <w:rFonts w:hint="eastAsia"/>
                      <w:sz w:val="21"/>
                      <w:szCs w:val="21"/>
                    </w:rPr>
                    <w:t>TP</w:t>
                  </w:r>
                </w:p>
              </w:tc>
              <w:tc>
                <w:tcPr>
                  <w:tcW w:w="2584" w:type="dxa"/>
                  <w:noWrap w:val="0"/>
                  <w:vAlign w:val="center"/>
                </w:tcPr>
                <w:p w14:paraId="3B638E97">
                  <w:pPr>
                    <w:pStyle w:val="74"/>
                    <w:keepNext w:val="0"/>
                    <w:keepLines w:val="0"/>
                    <w:pageBreakBefore w:val="0"/>
                    <w:widowControl w:val="0"/>
                    <w:kinsoku/>
                    <w:wordWrap/>
                    <w:overflowPunct/>
                    <w:topLinePunct w:val="0"/>
                    <w:bidi w:val="0"/>
                    <w:adjustRightInd/>
                    <w:snapToGrid w:val="0"/>
                    <w:spacing w:line="240" w:lineRule="auto"/>
                    <w:jc w:val="center"/>
                    <w:textAlignment w:val="auto"/>
                    <w:rPr>
                      <w:rFonts w:hint="eastAsia" w:ascii="Times New Roman" w:hAnsi="Times New Roman" w:eastAsia="宋体" w:cs="Times New Roman"/>
                      <w:color w:val="auto"/>
                      <w:sz w:val="21"/>
                      <w:szCs w:val="21"/>
                      <w:lang w:eastAsia="zh-CN"/>
                    </w:rPr>
                  </w:pPr>
                  <w:r>
                    <w:rPr>
                      <w:rFonts w:hint="eastAsia" w:ascii="Times New Roman" w:cs="Times New Roman"/>
                      <w:color w:val="auto"/>
                      <w:sz w:val="21"/>
                      <w:szCs w:val="21"/>
                      <w:lang w:val="en-US" w:eastAsia="zh-CN"/>
                    </w:rPr>
                    <w:t>3</w:t>
                  </w:r>
                </w:p>
              </w:tc>
              <w:tc>
                <w:tcPr>
                  <w:tcW w:w="3992" w:type="dxa"/>
                  <w:noWrap w:val="0"/>
                  <w:vAlign w:val="center"/>
                </w:tcPr>
                <w:p w14:paraId="7A17D99E">
                  <w:pPr>
                    <w:keepNext w:val="0"/>
                    <w:keepLines w:val="0"/>
                    <w:pageBreakBefore w:val="0"/>
                    <w:widowControl w:val="0"/>
                    <w:kinsoku/>
                    <w:wordWrap/>
                    <w:overflowPunct/>
                    <w:topLinePunct w:val="0"/>
                    <w:bidi w:val="0"/>
                    <w:adjustRightInd/>
                    <w:snapToGrid w:val="0"/>
                    <w:spacing w:line="240" w:lineRule="auto"/>
                    <w:ind w:left="0" w:leftChars="0" w:firstLine="0" w:firstLineChars="0"/>
                    <w:jc w:val="center"/>
                    <w:textAlignment w:val="auto"/>
                    <w:rPr>
                      <w:rFonts w:hint="eastAsia" w:eastAsia="宋体"/>
                      <w:sz w:val="21"/>
                      <w:szCs w:val="21"/>
                      <w:lang w:val="en-US" w:eastAsia="zh-CN"/>
                    </w:rPr>
                  </w:pPr>
                  <w:r>
                    <w:rPr>
                      <w:rFonts w:hint="eastAsia"/>
                      <w:sz w:val="21"/>
                      <w:szCs w:val="21"/>
                      <w:lang w:val="en-US" w:eastAsia="zh-CN"/>
                    </w:rPr>
                    <w:t>1</w:t>
                  </w:r>
                </w:p>
              </w:tc>
            </w:tr>
            <w:tr w14:paraId="41961E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006" w:type="dxa"/>
                  <w:noWrap w:val="0"/>
                  <w:vAlign w:val="center"/>
                </w:tcPr>
                <w:p w14:paraId="2D805EBF">
                  <w:pPr>
                    <w:keepNext w:val="0"/>
                    <w:keepLines w:val="0"/>
                    <w:pageBreakBefore w:val="0"/>
                    <w:widowControl w:val="0"/>
                    <w:kinsoku/>
                    <w:wordWrap/>
                    <w:overflowPunct/>
                    <w:topLinePunct w:val="0"/>
                    <w:bidi w:val="0"/>
                    <w:adjustRightInd/>
                    <w:snapToGrid w:val="0"/>
                    <w:spacing w:line="240" w:lineRule="auto"/>
                    <w:ind w:left="0" w:leftChars="0" w:firstLine="0" w:firstLineChars="0"/>
                    <w:jc w:val="center"/>
                    <w:textAlignment w:val="auto"/>
                    <w:rPr>
                      <w:sz w:val="21"/>
                      <w:szCs w:val="21"/>
                    </w:rPr>
                  </w:pPr>
                  <w:r>
                    <w:rPr>
                      <w:sz w:val="21"/>
                      <w:szCs w:val="21"/>
                    </w:rPr>
                    <w:t>7</w:t>
                  </w:r>
                </w:p>
              </w:tc>
              <w:tc>
                <w:tcPr>
                  <w:tcW w:w="1690" w:type="dxa"/>
                  <w:noWrap w:val="0"/>
                  <w:vAlign w:val="center"/>
                </w:tcPr>
                <w:p w14:paraId="598EA723">
                  <w:pPr>
                    <w:keepNext w:val="0"/>
                    <w:keepLines w:val="0"/>
                    <w:pageBreakBefore w:val="0"/>
                    <w:widowControl w:val="0"/>
                    <w:kinsoku/>
                    <w:wordWrap/>
                    <w:overflowPunct/>
                    <w:topLinePunct w:val="0"/>
                    <w:bidi w:val="0"/>
                    <w:adjustRightInd/>
                    <w:snapToGrid w:val="0"/>
                    <w:spacing w:line="240" w:lineRule="auto"/>
                    <w:ind w:left="0" w:leftChars="0" w:firstLine="0" w:firstLineChars="0"/>
                    <w:jc w:val="center"/>
                    <w:textAlignment w:val="auto"/>
                    <w:rPr>
                      <w:sz w:val="21"/>
                      <w:szCs w:val="21"/>
                    </w:rPr>
                  </w:pPr>
                  <w:r>
                    <w:rPr>
                      <w:rFonts w:hint="eastAsia"/>
                      <w:sz w:val="21"/>
                      <w:szCs w:val="21"/>
                    </w:rPr>
                    <w:t>TN</w:t>
                  </w:r>
                </w:p>
              </w:tc>
              <w:tc>
                <w:tcPr>
                  <w:tcW w:w="2584" w:type="dxa"/>
                  <w:noWrap w:val="0"/>
                  <w:vAlign w:val="center"/>
                </w:tcPr>
                <w:p w14:paraId="72104FD0">
                  <w:pPr>
                    <w:pStyle w:val="74"/>
                    <w:keepNext w:val="0"/>
                    <w:keepLines w:val="0"/>
                    <w:pageBreakBefore w:val="0"/>
                    <w:widowControl w:val="0"/>
                    <w:kinsoku/>
                    <w:wordWrap/>
                    <w:overflowPunct/>
                    <w:topLinePunct w:val="0"/>
                    <w:bidi w:val="0"/>
                    <w:adjustRightInd/>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35</w:t>
                  </w:r>
                </w:p>
              </w:tc>
              <w:tc>
                <w:tcPr>
                  <w:tcW w:w="3992" w:type="dxa"/>
                  <w:noWrap w:val="0"/>
                  <w:vAlign w:val="center"/>
                </w:tcPr>
                <w:p w14:paraId="08CAC835">
                  <w:pPr>
                    <w:keepNext w:val="0"/>
                    <w:keepLines w:val="0"/>
                    <w:pageBreakBefore w:val="0"/>
                    <w:widowControl w:val="0"/>
                    <w:kinsoku/>
                    <w:wordWrap/>
                    <w:overflowPunct/>
                    <w:topLinePunct w:val="0"/>
                    <w:bidi w:val="0"/>
                    <w:adjustRightInd/>
                    <w:snapToGrid w:val="0"/>
                    <w:spacing w:line="240" w:lineRule="auto"/>
                    <w:ind w:left="0" w:leftChars="0" w:firstLine="0" w:firstLineChars="0"/>
                    <w:jc w:val="center"/>
                    <w:textAlignment w:val="auto"/>
                    <w:rPr>
                      <w:rFonts w:hint="default" w:eastAsia="宋体"/>
                      <w:sz w:val="21"/>
                      <w:szCs w:val="21"/>
                      <w:lang w:val="en-US" w:eastAsia="zh-CN"/>
                    </w:rPr>
                  </w:pPr>
                  <w:r>
                    <w:rPr>
                      <w:rFonts w:hint="eastAsia"/>
                      <w:sz w:val="21"/>
                      <w:szCs w:val="21"/>
                      <w:lang w:val="en-US" w:eastAsia="zh-CN"/>
                    </w:rPr>
                    <w:t>20</w:t>
                  </w:r>
                </w:p>
              </w:tc>
            </w:tr>
            <w:tr w14:paraId="28ECBD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1006" w:type="dxa"/>
                  <w:noWrap w:val="0"/>
                  <w:vAlign w:val="center"/>
                </w:tcPr>
                <w:p w14:paraId="4D1608B7">
                  <w:pPr>
                    <w:keepNext w:val="0"/>
                    <w:keepLines w:val="0"/>
                    <w:pageBreakBefore w:val="0"/>
                    <w:widowControl w:val="0"/>
                    <w:kinsoku/>
                    <w:wordWrap/>
                    <w:overflowPunct/>
                    <w:topLinePunct w:val="0"/>
                    <w:bidi w:val="0"/>
                    <w:adjustRightInd/>
                    <w:snapToGrid w:val="0"/>
                    <w:spacing w:line="240" w:lineRule="auto"/>
                    <w:ind w:left="0" w:leftChars="0" w:firstLine="0" w:firstLineChars="0"/>
                    <w:jc w:val="center"/>
                    <w:textAlignment w:val="auto"/>
                    <w:rPr>
                      <w:rFonts w:hint="eastAsia" w:eastAsia="宋体"/>
                      <w:sz w:val="21"/>
                      <w:szCs w:val="21"/>
                      <w:lang w:val="en-US" w:eastAsia="zh-CN"/>
                    </w:rPr>
                  </w:pPr>
                  <w:r>
                    <w:rPr>
                      <w:rFonts w:hint="eastAsia"/>
                      <w:sz w:val="21"/>
                      <w:szCs w:val="21"/>
                      <w:lang w:val="en-US" w:eastAsia="zh-CN"/>
                    </w:rPr>
                    <w:t>8</w:t>
                  </w:r>
                </w:p>
              </w:tc>
              <w:tc>
                <w:tcPr>
                  <w:tcW w:w="1690" w:type="dxa"/>
                  <w:noWrap w:val="0"/>
                  <w:vAlign w:val="center"/>
                </w:tcPr>
                <w:p w14:paraId="30C93A03">
                  <w:pPr>
                    <w:keepNext w:val="0"/>
                    <w:keepLines w:val="0"/>
                    <w:pageBreakBefore w:val="0"/>
                    <w:widowControl w:val="0"/>
                    <w:kinsoku/>
                    <w:wordWrap/>
                    <w:overflowPunct/>
                    <w:topLinePunct w:val="0"/>
                    <w:bidi w:val="0"/>
                    <w:adjustRightInd/>
                    <w:snapToGrid w:val="0"/>
                    <w:spacing w:line="240" w:lineRule="auto"/>
                    <w:ind w:left="0" w:leftChars="0" w:firstLine="0" w:firstLineChars="0"/>
                    <w:jc w:val="center"/>
                    <w:textAlignment w:val="auto"/>
                    <w:rPr>
                      <w:rFonts w:hint="default" w:eastAsia="宋体"/>
                      <w:sz w:val="21"/>
                      <w:szCs w:val="21"/>
                      <w:lang w:val="en-US" w:eastAsia="zh-CN"/>
                    </w:rPr>
                  </w:pPr>
                  <w:r>
                    <w:rPr>
                      <w:rFonts w:hint="eastAsia"/>
                      <w:sz w:val="21"/>
                      <w:szCs w:val="21"/>
                      <w:lang w:val="en-US" w:eastAsia="zh-CN"/>
                    </w:rPr>
                    <w:t>动植物油</w:t>
                  </w:r>
                </w:p>
              </w:tc>
              <w:tc>
                <w:tcPr>
                  <w:tcW w:w="2584" w:type="dxa"/>
                  <w:noWrap w:val="0"/>
                  <w:vAlign w:val="center"/>
                </w:tcPr>
                <w:p w14:paraId="06AF2F4B">
                  <w:pPr>
                    <w:keepNext w:val="0"/>
                    <w:keepLines w:val="0"/>
                    <w:pageBreakBefore w:val="0"/>
                    <w:widowControl w:val="0"/>
                    <w:kinsoku/>
                    <w:wordWrap/>
                    <w:overflowPunct/>
                    <w:topLinePunct w:val="0"/>
                    <w:bidi w:val="0"/>
                    <w:adjustRightInd/>
                    <w:snapToGrid w:val="0"/>
                    <w:spacing w:line="240" w:lineRule="auto"/>
                    <w:ind w:left="0" w:leftChars="0" w:firstLine="0" w:firstLineChars="0"/>
                    <w:jc w:val="center"/>
                    <w:textAlignment w:val="auto"/>
                    <w:rPr>
                      <w:rFonts w:hint="eastAsia" w:eastAsia="宋体"/>
                      <w:sz w:val="21"/>
                      <w:szCs w:val="21"/>
                      <w:lang w:val="en-US" w:eastAsia="zh-CN"/>
                    </w:rPr>
                  </w:pPr>
                  <w:r>
                    <w:rPr>
                      <w:rFonts w:hint="eastAsia"/>
                      <w:sz w:val="21"/>
                      <w:szCs w:val="21"/>
                      <w:lang w:val="en-US" w:eastAsia="zh-CN"/>
                    </w:rPr>
                    <w:t>8</w:t>
                  </w:r>
                </w:p>
              </w:tc>
              <w:tc>
                <w:tcPr>
                  <w:tcW w:w="3992" w:type="dxa"/>
                  <w:noWrap w:val="0"/>
                  <w:vAlign w:val="center"/>
                </w:tcPr>
                <w:p w14:paraId="0B64D93E">
                  <w:pPr>
                    <w:keepNext w:val="0"/>
                    <w:keepLines w:val="0"/>
                    <w:pageBreakBefore w:val="0"/>
                    <w:widowControl w:val="0"/>
                    <w:kinsoku/>
                    <w:wordWrap/>
                    <w:overflowPunct/>
                    <w:topLinePunct w:val="0"/>
                    <w:bidi w:val="0"/>
                    <w:adjustRightInd/>
                    <w:snapToGrid w:val="0"/>
                    <w:spacing w:line="240" w:lineRule="auto"/>
                    <w:ind w:left="0" w:leftChars="0" w:firstLine="0" w:firstLineChars="0"/>
                    <w:jc w:val="center"/>
                    <w:textAlignment w:val="auto"/>
                    <w:rPr>
                      <w:rFonts w:hint="eastAsia" w:eastAsia="宋体"/>
                      <w:sz w:val="21"/>
                      <w:szCs w:val="21"/>
                      <w:lang w:val="en-US" w:eastAsia="zh-CN"/>
                    </w:rPr>
                  </w:pPr>
                  <w:r>
                    <w:rPr>
                      <w:rFonts w:hint="eastAsia"/>
                      <w:sz w:val="21"/>
                      <w:szCs w:val="21"/>
                      <w:lang w:val="en-US" w:eastAsia="zh-CN"/>
                    </w:rPr>
                    <w:t>3</w:t>
                  </w:r>
                </w:p>
              </w:tc>
            </w:tr>
          </w:tbl>
          <w:p w14:paraId="0FA4C8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b/>
                <w:color w:val="000000" w:themeColor="text1"/>
                <w:sz w:val="21"/>
                <w:szCs w:val="21"/>
                <w:lang w:val="en-US"/>
                <w14:textFill>
                  <w14:solidFill>
                    <w14:schemeClr w14:val="tx1"/>
                  </w14:solidFill>
                </w14:textFill>
              </w:rPr>
            </w:pPr>
            <w:r>
              <w:rPr>
                <w:rFonts w:hint="eastAsia" w:ascii="Times New Roman" w:hAnsi="Times New Roman" w:eastAsia="宋体"/>
                <w:b/>
                <w:color w:val="000000" w:themeColor="text1"/>
                <w:sz w:val="21"/>
                <w:szCs w:val="21"/>
                <w14:textFill>
                  <w14:solidFill>
                    <w14:schemeClr w14:val="tx1"/>
                  </w14:solidFill>
                </w14:textFill>
              </w:rPr>
              <w:t>表3</w:t>
            </w:r>
            <w:r>
              <w:rPr>
                <w:rFonts w:ascii="Times New Roman" w:hAnsi="Times New Roman" w:eastAsia="宋体"/>
                <w:b/>
                <w:color w:val="000000" w:themeColor="text1"/>
                <w:sz w:val="21"/>
                <w:szCs w:val="21"/>
                <w14:textFill>
                  <w14:solidFill>
                    <w14:schemeClr w14:val="tx1"/>
                  </w14:solidFill>
                </w14:textFill>
              </w:rPr>
              <w:t>-1</w:t>
            </w:r>
            <w:r>
              <w:rPr>
                <w:rFonts w:hint="eastAsia"/>
                <w:b/>
                <w:color w:val="000000" w:themeColor="text1"/>
                <w:sz w:val="21"/>
                <w:szCs w:val="21"/>
                <w:lang w:val="en-US" w:eastAsia="zh-CN"/>
                <w14:textFill>
                  <w14:solidFill>
                    <w14:schemeClr w14:val="tx1"/>
                  </w14:solidFill>
                </w14:textFill>
              </w:rPr>
              <w:t>2</w:t>
            </w:r>
            <w:r>
              <w:rPr>
                <w:rFonts w:ascii="Times New Roman" w:hAnsi="Times New Roman" w:eastAsia="宋体"/>
                <w:b/>
                <w:color w:val="000000" w:themeColor="text1"/>
                <w:sz w:val="21"/>
                <w:szCs w:val="21"/>
                <w14:textFill>
                  <w14:solidFill>
                    <w14:schemeClr w14:val="tx1"/>
                  </w14:solidFill>
                </w14:textFill>
              </w:rPr>
              <w:t xml:space="preserve">   </w:t>
            </w:r>
            <w:r>
              <w:rPr>
                <w:rFonts w:hint="eastAsia" w:ascii="Times New Roman" w:hAnsi="Times New Roman" w:eastAsia="宋体"/>
                <w:b/>
                <w:color w:val="000000" w:themeColor="text1"/>
                <w:sz w:val="21"/>
                <w:szCs w:val="21"/>
                <w:lang w:val="en-US" w:eastAsia="zh-CN"/>
                <w14:textFill>
                  <w14:solidFill>
                    <w14:schemeClr w14:val="tx1"/>
                  </w14:solidFill>
                </w14:textFill>
              </w:rPr>
              <w:t>《城市污水再生利用 城市杂用水水质》（GB/T18920-2020）中车辆冲洗水质标准</w:t>
            </w:r>
          </w:p>
          <w:tbl>
            <w:tblPr>
              <w:tblStyle w:val="3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3"/>
              <w:gridCol w:w="4037"/>
              <w:gridCol w:w="4151"/>
            </w:tblGrid>
            <w:tr w14:paraId="0E9867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4" w:type="pct"/>
                  <w:shd w:val="clear" w:color="auto" w:fill="auto"/>
                  <w:vAlign w:val="center"/>
                </w:tcPr>
                <w:p w14:paraId="3FB45C0F">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val="0"/>
                      <w:color w:val="000000" w:themeColor="text1"/>
                      <w:kern w:val="0"/>
                      <w:sz w:val="21"/>
                      <w:szCs w:val="21"/>
                      <w14:textFill>
                        <w14:solidFill>
                          <w14:schemeClr w14:val="tx1"/>
                        </w14:solidFill>
                      </w14:textFill>
                    </w:rPr>
                  </w:pPr>
                  <w:r>
                    <w:rPr>
                      <w:rFonts w:hint="default" w:ascii="Times New Roman" w:hAnsi="Times New Roman" w:eastAsia="宋体" w:cs="Times New Roman"/>
                      <w:b/>
                      <w:bCs w:val="0"/>
                      <w:color w:val="000000" w:themeColor="text1"/>
                      <w:kern w:val="0"/>
                      <w:sz w:val="21"/>
                      <w:szCs w:val="21"/>
                      <w14:textFill>
                        <w14:solidFill>
                          <w14:schemeClr w14:val="tx1"/>
                        </w14:solidFill>
                      </w14:textFill>
                    </w:rPr>
                    <w:t>序号</w:t>
                  </w:r>
                </w:p>
              </w:tc>
              <w:tc>
                <w:tcPr>
                  <w:tcW w:w="2177" w:type="pct"/>
                  <w:shd w:val="clear" w:color="auto" w:fill="auto"/>
                  <w:vAlign w:val="center"/>
                </w:tcPr>
                <w:p w14:paraId="053C8DE9">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val="0"/>
                      <w:color w:val="000000" w:themeColor="text1"/>
                      <w:kern w:val="0"/>
                      <w:sz w:val="21"/>
                      <w:szCs w:val="21"/>
                      <w14:textFill>
                        <w14:solidFill>
                          <w14:schemeClr w14:val="tx1"/>
                        </w14:solidFill>
                      </w14:textFill>
                    </w:rPr>
                  </w:pPr>
                  <w:r>
                    <w:rPr>
                      <w:rFonts w:hint="default" w:ascii="Times New Roman" w:hAnsi="Times New Roman" w:eastAsia="宋体" w:cs="Times New Roman"/>
                      <w:b/>
                      <w:bCs w:val="0"/>
                      <w:color w:val="000000" w:themeColor="text1"/>
                      <w:kern w:val="0"/>
                      <w:sz w:val="21"/>
                      <w:szCs w:val="21"/>
                      <w14:textFill>
                        <w14:solidFill>
                          <w14:schemeClr w14:val="tx1"/>
                        </w14:solidFill>
                      </w14:textFill>
                    </w:rPr>
                    <w:t>项目指标</w:t>
                  </w:r>
                </w:p>
              </w:tc>
              <w:tc>
                <w:tcPr>
                  <w:tcW w:w="2238" w:type="pct"/>
                  <w:shd w:val="clear" w:color="auto" w:fill="auto"/>
                  <w:vAlign w:val="center"/>
                </w:tcPr>
                <w:p w14:paraId="7F1CCAAE">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val="0"/>
                      <w:color w:val="000000" w:themeColor="text1"/>
                      <w:kern w:val="0"/>
                      <w:sz w:val="21"/>
                      <w:szCs w:val="21"/>
                      <w14:textFill>
                        <w14:solidFill>
                          <w14:schemeClr w14:val="tx1"/>
                        </w14:solidFill>
                      </w14:textFill>
                    </w:rPr>
                  </w:pPr>
                  <w:r>
                    <w:rPr>
                      <w:rFonts w:hint="default" w:ascii="Times New Roman" w:hAnsi="Times New Roman" w:eastAsia="宋体" w:cs="Times New Roman"/>
                      <w:b/>
                      <w:bCs w:val="0"/>
                      <w:color w:val="000000" w:themeColor="text1"/>
                      <w:kern w:val="0"/>
                      <w:sz w:val="21"/>
                      <w:szCs w:val="21"/>
                      <w14:textFill>
                        <w14:solidFill>
                          <w14:schemeClr w14:val="tx1"/>
                        </w14:solidFill>
                      </w14:textFill>
                    </w:rPr>
                    <w:t>车辆冲洗</w:t>
                  </w:r>
                </w:p>
              </w:tc>
            </w:tr>
            <w:tr w14:paraId="5CCC7E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4" w:type="pct"/>
                  <w:shd w:val="clear" w:color="auto" w:fill="auto"/>
                  <w:vAlign w:val="center"/>
                </w:tcPr>
                <w:p w14:paraId="07C3AD5E">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1</w:t>
                  </w:r>
                </w:p>
              </w:tc>
              <w:tc>
                <w:tcPr>
                  <w:tcW w:w="2177" w:type="pct"/>
                  <w:shd w:val="clear" w:color="auto" w:fill="auto"/>
                  <w:vAlign w:val="center"/>
                </w:tcPr>
                <w:p w14:paraId="78DEA58B">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pH</w:t>
                  </w:r>
                </w:p>
              </w:tc>
              <w:tc>
                <w:tcPr>
                  <w:tcW w:w="2238" w:type="pct"/>
                  <w:shd w:val="clear" w:color="auto" w:fill="auto"/>
                  <w:vAlign w:val="center"/>
                </w:tcPr>
                <w:p w14:paraId="1081C0C2">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6.0</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14:textFill>
                        <w14:solidFill>
                          <w14:schemeClr w14:val="tx1"/>
                        </w14:solidFill>
                      </w14:textFill>
                    </w:rPr>
                    <w:t>9.0</w:t>
                  </w:r>
                </w:p>
              </w:tc>
            </w:tr>
            <w:tr w14:paraId="219D07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4" w:type="pct"/>
                  <w:shd w:val="clear" w:color="auto" w:fill="auto"/>
                  <w:vAlign w:val="center"/>
                </w:tcPr>
                <w:p w14:paraId="2C168081">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2</w:t>
                  </w:r>
                </w:p>
              </w:tc>
              <w:tc>
                <w:tcPr>
                  <w:tcW w:w="2177" w:type="pct"/>
                  <w:shd w:val="clear" w:color="auto" w:fill="auto"/>
                  <w:vAlign w:val="center"/>
                </w:tcPr>
                <w:p w14:paraId="764CAC9A">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色（度）≤</w:t>
                  </w:r>
                </w:p>
              </w:tc>
              <w:tc>
                <w:tcPr>
                  <w:tcW w:w="2238" w:type="pct"/>
                  <w:shd w:val="clear" w:color="auto" w:fill="auto"/>
                  <w:vAlign w:val="center"/>
                </w:tcPr>
                <w:p w14:paraId="768684AE">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15</w:t>
                  </w:r>
                </w:p>
              </w:tc>
            </w:tr>
            <w:tr w14:paraId="550F52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4" w:type="pct"/>
                  <w:shd w:val="clear" w:color="auto" w:fill="auto"/>
                  <w:vAlign w:val="center"/>
                </w:tcPr>
                <w:p w14:paraId="20323F42">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3</w:t>
                  </w:r>
                </w:p>
              </w:tc>
              <w:tc>
                <w:tcPr>
                  <w:tcW w:w="2177" w:type="pct"/>
                  <w:shd w:val="clear" w:color="auto" w:fill="auto"/>
                  <w:vAlign w:val="center"/>
                </w:tcPr>
                <w:p w14:paraId="42B180F9">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嗅</w:t>
                  </w:r>
                </w:p>
              </w:tc>
              <w:tc>
                <w:tcPr>
                  <w:tcW w:w="2238" w:type="pct"/>
                  <w:shd w:val="clear" w:color="auto" w:fill="auto"/>
                  <w:vAlign w:val="center"/>
                </w:tcPr>
                <w:p w14:paraId="2EAD9A90">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无不快感</w:t>
                  </w:r>
                </w:p>
              </w:tc>
            </w:tr>
            <w:tr w14:paraId="44F78B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584" w:type="pct"/>
                  <w:shd w:val="clear" w:color="auto" w:fill="auto"/>
                  <w:vAlign w:val="center"/>
                </w:tcPr>
                <w:p w14:paraId="47DA8182">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4</w:t>
                  </w:r>
                </w:p>
              </w:tc>
              <w:tc>
                <w:tcPr>
                  <w:tcW w:w="2177" w:type="pct"/>
                  <w:shd w:val="clear" w:color="auto" w:fill="auto"/>
                  <w:vAlign w:val="center"/>
                </w:tcPr>
                <w:p w14:paraId="24A72481">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浊度（NTU）≤</w:t>
                  </w:r>
                </w:p>
              </w:tc>
              <w:tc>
                <w:tcPr>
                  <w:tcW w:w="2238" w:type="pct"/>
                  <w:shd w:val="clear" w:color="auto" w:fill="auto"/>
                  <w:vAlign w:val="center"/>
                </w:tcPr>
                <w:p w14:paraId="3B303F42">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5</w:t>
                  </w:r>
                </w:p>
              </w:tc>
            </w:tr>
            <w:tr w14:paraId="737D90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584" w:type="pct"/>
                  <w:shd w:val="clear" w:color="auto" w:fill="auto"/>
                  <w:vAlign w:val="center"/>
                </w:tcPr>
                <w:p w14:paraId="1B42213A">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5</w:t>
                  </w:r>
                </w:p>
              </w:tc>
              <w:tc>
                <w:tcPr>
                  <w:tcW w:w="2177" w:type="pct"/>
                  <w:shd w:val="clear" w:color="auto" w:fill="auto"/>
                  <w:vAlign w:val="center"/>
                </w:tcPr>
                <w:p w14:paraId="5C9B8E50">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BOD</w:t>
                  </w:r>
                  <w:r>
                    <w:rPr>
                      <w:rFonts w:hint="default" w:ascii="Times New Roman" w:hAnsi="Times New Roman" w:eastAsia="宋体" w:cs="Times New Roman"/>
                      <w:color w:val="000000" w:themeColor="text1"/>
                      <w:kern w:val="0"/>
                      <w:sz w:val="21"/>
                      <w:szCs w:val="21"/>
                      <w:vertAlign w:val="subscript"/>
                      <w14:textFill>
                        <w14:solidFill>
                          <w14:schemeClr w14:val="tx1"/>
                        </w14:solidFill>
                      </w14:textFill>
                    </w:rPr>
                    <w:t>5</w:t>
                  </w:r>
                  <w:r>
                    <w:rPr>
                      <w:rFonts w:hint="default" w:ascii="Times New Roman" w:hAnsi="Times New Roman" w:eastAsia="宋体" w:cs="Times New Roman"/>
                      <w:color w:val="000000" w:themeColor="text1"/>
                      <w:kern w:val="0"/>
                      <w:sz w:val="21"/>
                      <w:szCs w:val="21"/>
                      <w14:textFill>
                        <w14:solidFill>
                          <w14:schemeClr w14:val="tx1"/>
                        </w14:solidFill>
                      </w14:textFill>
                    </w:rPr>
                    <w:t>（mg/L）≤</w:t>
                  </w:r>
                </w:p>
              </w:tc>
              <w:tc>
                <w:tcPr>
                  <w:tcW w:w="2238" w:type="pct"/>
                  <w:shd w:val="clear" w:color="auto" w:fill="auto"/>
                  <w:vAlign w:val="center"/>
                </w:tcPr>
                <w:p w14:paraId="46799B99">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10</w:t>
                  </w:r>
                </w:p>
              </w:tc>
            </w:tr>
            <w:tr w14:paraId="25AFEE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584" w:type="pct"/>
                  <w:shd w:val="clear" w:color="auto" w:fill="auto"/>
                  <w:vAlign w:val="center"/>
                </w:tcPr>
                <w:p w14:paraId="08A1F6CA">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6</w:t>
                  </w:r>
                </w:p>
              </w:tc>
              <w:tc>
                <w:tcPr>
                  <w:tcW w:w="2177" w:type="pct"/>
                  <w:shd w:val="clear" w:color="auto" w:fill="auto"/>
                  <w:vAlign w:val="center"/>
                </w:tcPr>
                <w:p w14:paraId="0BD10D2C">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氨氮（mg/L）≤</w:t>
                  </w:r>
                </w:p>
              </w:tc>
              <w:tc>
                <w:tcPr>
                  <w:tcW w:w="2238" w:type="pct"/>
                  <w:shd w:val="clear" w:color="auto" w:fill="auto"/>
                  <w:vAlign w:val="center"/>
                </w:tcPr>
                <w:p w14:paraId="1B1A3CAB">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5</w:t>
                  </w:r>
                </w:p>
              </w:tc>
            </w:tr>
            <w:tr w14:paraId="7490E7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584" w:type="pct"/>
                  <w:shd w:val="clear" w:color="auto" w:fill="auto"/>
                  <w:vAlign w:val="center"/>
                </w:tcPr>
                <w:p w14:paraId="400B97AA">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7</w:t>
                  </w:r>
                </w:p>
              </w:tc>
              <w:tc>
                <w:tcPr>
                  <w:tcW w:w="2177" w:type="pct"/>
                  <w:shd w:val="clear" w:color="auto" w:fill="auto"/>
                  <w:vAlign w:val="center"/>
                </w:tcPr>
                <w:p w14:paraId="3F15192E">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阴离子表面活性剂（mg/L）≤</w:t>
                  </w:r>
                </w:p>
              </w:tc>
              <w:tc>
                <w:tcPr>
                  <w:tcW w:w="2238" w:type="pct"/>
                  <w:shd w:val="clear" w:color="auto" w:fill="auto"/>
                  <w:vAlign w:val="center"/>
                </w:tcPr>
                <w:p w14:paraId="07D917C8">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0.5</w:t>
                  </w:r>
                </w:p>
              </w:tc>
            </w:tr>
            <w:tr w14:paraId="6018F9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584" w:type="pct"/>
                  <w:shd w:val="clear" w:color="auto" w:fill="auto"/>
                  <w:vAlign w:val="center"/>
                </w:tcPr>
                <w:p w14:paraId="372C674E">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8</w:t>
                  </w:r>
                </w:p>
              </w:tc>
              <w:tc>
                <w:tcPr>
                  <w:tcW w:w="2177" w:type="pct"/>
                  <w:shd w:val="clear" w:color="auto" w:fill="auto"/>
                  <w:vAlign w:val="center"/>
                </w:tcPr>
                <w:p w14:paraId="3BDFDC34">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铁</w:t>
                  </w:r>
                  <w:r>
                    <w:rPr>
                      <w:rFonts w:hint="default" w:ascii="Times New Roman" w:hAnsi="Times New Roman" w:eastAsia="宋体" w:cs="Times New Roman"/>
                      <w:color w:val="000000" w:themeColor="text1"/>
                      <w:kern w:val="0"/>
                      <w:sz w:val="21"/>
                      <w:szCs w:val="21"/>
                      <w14:textFill>
                        <w14:solidFill>
                          <w14:schemeClr w14:val="tx1"/>
                        </w14:solidFill>
                      </w14:textFill>
                    </w:rPr>
                    <w:t>（mg/L）≤</w:t>
                  </w:r>
                </w:p>
              </w:tc>
              <w:tc>
                <w:tcPr>
                  <w:tcW w:w="2238" w:type="pct"/>
                  <w:shd w:val="clear" w:color="auto" w:fill="auto"/>
                  <w:vAlign w:val="center"/>
                </w:tcPr>
                <w:p w14:paraId="3B0BAF32">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0.3</w:t>
                  </w:r>
                </w:p>
              </w:tc>
            </w:tr>
            <w:tr w14:paraId="0A3910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584" w:type="pct"/>
                  <w:shd w:val="clear" w:color="auto" w:fill="auto"/>
                  <w:vAlign w:val="center"/>
                </w:tcPr>
                <w:p w14:paraId="2559CB76">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9</w:t>
                  </w:r>
                </w:p>
              </w:tc>
              <w:tc>
                <w:tcPr>
                  <w:tcW w:w="2177" w:type="pct"/>
                  <w:shd w:val="clear" w:color="auto" w:fill="auto"/>
                  <w:vAlign w:val="center"/>
                </w:tcPr>
                <w:p w14:paraId="421EC5B6">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锰（mg/L）</w:t>
                  </w:r>
                  <w:r>
                    <w:rPr>
                      <w:rFonts w:hint="default" w:ascii="Times New Roman" w:hAnsi="Times New Roman" w:eastAsia="宋体" w:cs="Times New Roman"/>
                      <w:color w:val="000000" w:themeColor="text1"/>
                      <w:kern w:val="0"/>
                      <w:sz w:val="21"/>
                      <w:szCs w:val="21"/>
                      <w14:textFill>
                        <w14:solidFill>
                          <w14:schemeClr w14:val="tx1"/>
                        </w14:solidFill>
                      </w14:textFill>
                    </w:rPr>
                    <w:t>≤</w:t>
                  </w:r>
                </w:p>
              </w:tc>
              <w:tc>
                <w:tcPr>
                  <w:tcW w:w="2238" w:type="pct"/>
                  <w:shd w:val="clear" w:color="auto" w:fill="auto"/>
                  <w:vAlign w:val="center"/>
                </w:tcPr>
                <w:p w14:paraId="6B303C5F">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0.1</w:t>
                  </w:r>
                </w:p>
              </w:tc>
            </w:tr>
            <w:tr w14:paraId="21FDDF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4" w:type="pct"/>
                  <w:shd w:val="clear" w:color="auto" w:fill="auto"/>
                  <w:vAlign w:val="center"/>
                </w:tcPr>
                <w:p w14:paraId="679CC93B">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10</w:t>
                  </w:r>
                </w:p>
              </w:tc>
              <w:tc>
                <w:tcPr>
                  <w:tcW w:w="2177" w:type="pct"/>
                  <w:shd w:val="clear" w:color="auto" w:fill="auto"/>
                  <w:vAlign w:val="center"/>
                </w:tcPr>
                <w:p w14:paraId="04E0BFCB">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溶解性总固体（mg/L）≤</w:t>
                  </w:r>
                </w:p>
              </w:tc>
              <w:tc>
                <w:tcPr>
                  <w:tcW w:w="2238" w:type="pct"/>
                  <w:shd w:val="clear" w:color="auto" w:fill="auto"/>
                  <w:vAlign w:val="center"/>
                </w:tcPr>
                <w:p w14:paraId="3D2A7CAD">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1000</w:t>
                  </w:r>
                </w:p>
              </w:tc>
            </w:tr>
            <w:tr w14:paraId="7B2179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4" w:type="pct"/>
                  <w:shd w:val="clear" w:color="auto" w:fill="auto"/>
                  <w:vAlign w:val="center"/>
                </w:tcPr>
                <w:p w14:paraId="04E13886">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11</w:t>
                  </w:r>
                </w:p>
              </w:tc>
              <w:tc>
                <w:tcPr>
                  <w:tcW w:w="2177" w:type="pct"/>
                  <w:shd w:val="clear" w:color="auto" w:fill="auto"/>
                  <w:vAlign w:val="center"/>
                </w:tcPr>
                <w:p w14:paraId="4F421C8F">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溶解氧≥</w:t>
                  </w:r>
                </w:p>
              </w:tc>
              <w:tc>
                <w:tcPr>
                  <w:tcW w:w="2238" w:type="pct"/>
                  <w:shd w:val="clear" w:color="auto" w:fill="auto"/>
                  <w:vAlign w:val="center"/>
                </w:tcPr>
                <w:p w14:paraId="364E7669">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2.0</w:t>
                  </w:r>
                </w:p>
              </w:tc>
            </w:tr>
            <w:tr w14:paraId="244CA4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4" w:type="pct"/>
                  <w:shd w:val="clear" w:color="auto" w:fill="auto"/>
                  <w:vAlign w:val="center"/>
                </w:tcPr>
                <w:p w14:paraId="4E4012A6">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1</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2</w:t>
                  </w:r>
                </w:p>
              </w:tc>
              <w:tc>
                <w:tcPr>
                  <w:tcW w:w="2177" w:type="pct"/>
                  <w:shd w:val="clear" w:color="auto" w:fill="auto"/>
                  <w:vAlign w:val="center"/>
                </w:tcPr>
                <w:p w14:paraId="0B1845A5">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总氯≥</w:t>
                  </w:r>
                </w:p>
              </w:tc>
              <w:tc>
                <w:tcPr>
                  <w:tcW w:w="2238" w:type="pct"/>
                  <w:shd w:val="clear" w:color="auto" w:fill="auto"/>
                  <w:vAlign w:val="center"/>
                </w:tcPr>
                <w:p w14:paraId="3D348E87">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0.2</w:t>
                  </w:r>
                </w:p>
              </w:tc>
            </w:tr>
            <w:tr w14:paraId="7967C2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4" w:type="pct"/>
                  <w:shd w:val="clear" w:color="auto" w:fill="auto"/>
                  <w:vAlign w:val="center"/>
                </w:tcPr>
                <w:p w14:paraId="2B58BC61">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1</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3</w:t>
                  </w:r>
                </w:p>
              </w:tc>
              <w:tc>
                <w:tcPr>
                  <w:tcW w:w="2177" w:type="pct"/>
                  <w:shd w:val="clear" w:color="auto" w:fill="auto"/>
                  <w:vAlign w:val="center"/>
                </w:tcPr>
                <w:p w14:paraId="063FA74A">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大肠埃希氏菌（MPN/100ML）≤</w:t>
                  </w:r>
                </w:p>
              </w:tc>
              <w:tc>
                <w:tcPr>
                  <w:tcW w:w="2238" w:type="pct"/>
                  <w:shd w:val="clear" w:color="auto" w:fill="auto"/>
                  <w:vAlign w:val="center"/>
                </w:tcPr>
                <w:p w14:paraId="53017163">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无</w:t>
                  </w:r>
                </w:p>
              </w:tc>
            </w:tr>
          </w:tbl>
          <w:p w14:paraId="716BE52A">
            <w:pPr>
              <w:pStyle w:val="54"/>
              <w:keepNext w:val="0"/>
              <w:keepLines w:val="0"/>
              <w:pageBreakBefore w:val="0"/>
              <w:widowControl w:val="0"/>
              <w:numPr>
                <w:ilvl w:val="0"/>
                <w:numId w:val="0"/>
              </w:numPr>
              <w:kinsoku/>
              <w:wordWrap/>
              <w:overflowPunct/>
              <w:topLinePunct w:val="0"/>
              <w:autoSpaceDE/>
              <w:autoSpaceDN/>
              <w:bidi w:val="0"/>
              <w:adjustRightInd/>
              <w:snapToGrid/>
              <w:ind w:left="0" w:leftChars="0" w:firstLine="482" w:firstLineChars="200"/>
              <w:textAlignment w:val="auto"/>
              <w:rPr>
                <w:b/>
                <w:color w:val="00B050"/>
              </w:rPr>
            </w:pPr>
            <w:r>
              <w:rPr>
                <w:rFonts w:hint="eastAsia"/>
                <w:b/>
                <w:color w:val="00B050"/>
                <w:lang w:val="en-US" w:eastAsia="zh-CN"/>
              </w:rPr>
              <w:t>3、</w:t>
            </w:r>
            <w:r>
              <w:rPr>
                <w:b/>
                <w:color w:val="00B050"/>
              </w:rPr>
              <w:t>噪声</w:t>
            </w:r>
          </w:p>
          <w:p w14:paraId="2A69622D">
            <w:pPr>
              <w:spacing w:line="360" w:lineRule="auto"/>
              <w:ind w:firstLine="480" w:firstLineChars="200"/>
              <w:rPr>
                <w:rFonts w:hint="eastAsia"/>
                <w:sz w:val="24"/>
              </w:rPr>
            </w:pPr>
            <w:r>
              <w:rPr>
                <w:rFonts w:hint="eastAsia"/>
                <w:color w:val="00B050"/>
                <w:sz w:val="24"/>
                <w:lang w:val="en-GB" w:eastAsia="zh-CN"/>
              </w:rPr>
              <w:t>本项目</w:t>
            </w:r>
            <w:r>
              <w:rPr>
                <w:color w:val="00B050"/>
                <w:sz w:val="24"/>
                <w:lang w:val="en-GB"/>
              </w:rPr>
              <w:t>施工</w:t>
            </w:r>
            <w:r>
              <w:rPr>
                <w:rFonts w:hint="eastAsia"/>
                <w:color w:val="00B050"/>
                <w:sz w:val="24"/>
                <w:lang w:val="en-GB"/>
              </w:rPr>
              <w:t>期</w:t>
            </w:r>
            <w:r>
              <w:rPr>
                <w:color w:val="00B050"/>
                <w:sz w:val="24"/>
                <w:lang w:val="en-GB"/>
              </w:rPr>
              <w:t>场界噪声执行《建筑施工场界环境噪声排放标准》（GB12523-2011）</w:t>
            </w:r>
            <w:r>
              <w:rPr>
                <w:rFonts w:hint="eastAsia"/>
                <w:color w:val="00B050"/>
                <w:sz w:val="24"/>
                <w:lang w:val="en-GB" w:eastAsia="zh-CN"/>
              </w:rPr>
              <w:t>；</w:t>
            </w:r>
            <w:r>
              <w:rPr>
                <w:rFonts w:hint="eastAsia"/>
                <w:color w:val="00B050"/>
                <w:sz w:val="24"/>
                <w:lang w:val="en-GB"/>
              </w:rPr>
              <w:t>运营期</w:t>
            </w:r>
            <w:r>
              <w:rPr>
                <w:rFonts w:hint="eastAsia" w:ascii="Times New Roman" w:hAnsi="Times New Roman" w:eastAsia="宋体"/>
                <w:color w:val="00B050"/>
                <w:sz w:val="24"/>
              </w:rPr>
              <w:t>厂界</w:t>
            </w:r>
            <w:r>
              <w:rPr>
                <w:rFonts w:hint="eastAsia"/>
                <w:color w:val="00B050"/>
                <w:sz w:val="24"/>
                <w:lang w:val="en-US" w:eastAsia="zh-CN"/>
              </w:rPr>
              <w:t>东面通江大道</w:t>
            </w:r>
            <w:r>
              <w:rPr>
                <w:rFonts w:ascii="Times New Roman" w:hAnsi="Times New Roman" w:eastAsia="宋体"/>
                <w:color w:val="00B050"/>
                <w:sz w:val="24"/>
              </w:rPr>
              <w:t>一侧</w:t>
            </w:r>
            <w:r>
              <w:rPr>
                <w:rFonts w:hint="eastAsia" w:ascii="Times New Roman" w:hAnsi="Times New Roman" w:eastAsia="宋体"/>
                <w:color w:val="00B050"/>
                <w:sz w:val="24"/>
              </w:rPr>
              <w:t>35</w:t>
            </w:r>
            <w:r>
              <w:rPr>
                <w:rFonts w:ascii="Times New Roman" w:hAnsi="Times New Roman" w:eastAsia="宋体"/>
                <w:color w:val="00B050"/>
                <w:sz w:val="24"/>
              </w:rPr>
              <w:t>m</w:t>
            </w:r>
            <w:r>
              <w:rPr>
                <w:rFonts w:hint="eastAsia" w:ascii="Times New Roman" w:hAnsi="Times New Roman" w:eastAsia="宋体"/>
                <w:color w:val="00B050"/>
                <w:sz w:val="24"/>
              </w:rPr>
              <w:t>范围</w:t>
            </w:r>
            <w:r>
              <w:rPr>
                <w:rFonts w:ascii="Times New Roman" w:hAnsi="Times New Roman" w:eastAsia="宋体"/>
                <w:color w:val="00B050"/>
                <w:sz w:val="24"/>
              </w:rPr>
              <w:t>内</w:t>
            </w:r>
            <w:r>
              <w:rPr>
                <w:rFonts w:hint="eastAsia" w:ascii="Times New Roman" w:hAnsi="Times New Roman" w:eastAsia="宋体"/>
                <w:color w:val="00B050"/>
                <w:sz w:val="24"/>
              </w:rPr>
              <w:t>噪声执行《工业企业厂界环境噪声排放标准》（</w:t>
            </w:r>
            <w:r>
              <w:rPr>
                <w:rFonts w:ascii="Times New Roman" w:hAnsi="Times New Roman" w:eastAsia="宋体"/>
                <w:color w:val="00B050"/>
                <w:sz w:val="24"/>
              </w:rPr>
              <w:t>GB12348-2008）中4类标准</w:t>
            </w:r>
            <w:r>
              <w:rPr>
                <w:rFonts w:hint="eastAsia"/>
                <w:color w:val="00B050"/>
                <w:sz w:val="24"/>
                <w:lang w:val="en-US" w:eastAsia="zh-CN"/>
              </w:rPr>
              <w:t>限值</w:t>
            </w:r>
            <w:r>
              <w:rPr>
                <w:rFonts w:ascii="Times New Roman" w:hAnsi="Times New Roman" w:eastAsia="宋体"/>
                <w:color w:val="00B050"/>
                <w:sz w:val="24"/>
              </w:rPr>
              <w:t>，厂界</w:t>
            </w:r>
            <w:r>
              <w:rPr>
                <w:rFonts w:hint="eastAsia" w:ascii="Times New Roman" w:hAnsi="Times New Roman" w:eastAsia="宋体"/>
                <w:color w:val="00B050"/>
                <w:sz w:val="24"/>
              </w:rPr>
              <w:t>南</w:t>
            </w:r>
            <w:r>
              <w:rPr>
                <w:rFonts w:hint="eastAsia"/>
                <w:color w:val="00B050"/>
                <w:sz w:val="24"/>
                <w:lang w:val="en-US" w:eastAsia="zh-CN"/>
              </w:rPr>
              <w:t>面</w:t>
            </w:r>
            <w:r>
              <w:rPr>
                <w:rFonts w:hint="eastAsia"/>
                <w:color w:val="00B050"/>
                <w:sz w:val="24"/>
                <w:lang w:eastAsia="zh-CN"/>
              </w:rPr>
              <w:t>、</w:t>
            </w:r>
            <w:r>
              <w:rPr>
                <w:rFonts w:hint="eastAsia"/>
                <w:color w:val="00B050"/>
                <w:sz w:val="24"/>
                <w:lang w:val="en-US" w:eastAsia="zh-CN"/>
              </w:rPr>
              <w:t>西面</w:t>
            </w:r>
            <w:r>
              <w:rPr>
                <w:rFonts w:hint="eastAsia" w:ascii="Times New Roman" w:hAnsi="Times New Roman" w:eastAsia="宋体"/>
                <w:color w:val="00B050"/>
                <w:sz w:val="24"/>
              </w:rPr>
              <w:t>和</w:t>
            </w:r>
            <w:r>
              <w:rPr>
                <w:rFonts w:ascii="Times New Roman" w:hAnsi="Times New Roman" w:eastAsia="宋体"/>
                <w:color w:val="00B050"/>
                <w:sz w:val="24"/>
              </w:rPr>
              <w:t>北</w:t>
            </w:r>
            <w:r>
              <w:rPr>
                <w:rFonts w:hint="eastAsia"/>
                <w:color w:val="00B050"/>
                <w:sz w:val="24"/>
                <w:lang w:val="en-US" w:eastAsia="zh-CN"/>
              </w:rPr>
              <w:t>面</w:t>
            </w:r>
            <w:r>
              <w:rPr>
                <w:rFonts w:ascii="Times New Roman" w:hAnsi="Times New Roman" w:eastAsia="宋体"/>
                <w:color w:val="00B050"/>
                <w:sz w:val="24"/>
              </w:rPr>
              <w:t>噪声执行《工业企业厂界环境噪声排放标准》（GB12348-2008）中2类标准</w:t>
            </w:r>
            <w:r>
              <w:rPr>
                <w:rFonts w:hint="eastAsia"/>
                <w:color w:val="00B050"/>
                <w:sz w:val="24"/>
                <w:lang w:val="en-US" w:eastAsia="zh-CN"/>
              </w:rPr>
              <w:t>限值</w:t>
            </w:r>
            <w:r>
              <w:rPr>
                <w:rFonts w:hint="eastAsia"/>
                <w:color w:val="00B050"/>
                <w:sz w:val="24"/>
                <w:lang w:val="en-GB"/>
              </w:rPr>
              <w:t>，具体标准详见表</w:t>
            </w:r>
            <w:r>
              <w:rPr>
                <w:rFonts w:hint="eastAsia"/>
                <w:color w:val="00B050"/>
                <w:sz w:val="24"/>
              </w:rPr>
              <w:t>3-</w:t>
            </w:r>
            <w:r>
              <w:rPr>
                <w:rFonts w:hint="eastAsia"/>
                <w:color w:val="00B050"/>
                <w:sz w:val="24"/>
                <w:lang w:val="en-US" w:eastAsia="zh-CN"/>
              </w:rPr>
              <w:t>13</w:t>
            </w:r>
            <w:r>
              <w:rPr>
                <w:rFonts w:hint="eastAsia"/>
                <w:color w:val="00B050"/>
                <w:sz w:val="24"/>
              </w:rPr>
              <w:t>、</w:t>
            </w:r>
            <w:r>
              <w:rPr>
                <w:rFonts w:hint="eastAsia"/>
                <w:color w:val="00B050"/>
                <w:sz w:val="24"/>
                <w:lang w:val="en-US" w:eastAsia="zh-CN"/>
              </w:rPr>
              <w:t>表</w:t>
            </w:r>
            <w:r>
              <w:rPr>
                <w:rFonts w:hint="eastAsia"/>
                <w:color w:val="00B050"/>
                <w:sz w:val="24"/>
              </w:rPr>
              <w:t>3-</w:t>
            </w:r>
            <w:r>
              <w:rPr>
                <w:rFonts w:hint="eastAsia"/>
                <w:color w:val="00B050"/>
                <w:sz w:val="24"/>
                <w:lang w:val="en-US" w:eastAsia="zh-CN"/>
              </w:rPr>
              <w:t>14</w:t>
            </w:r>
            <w:r>
              <w:rPr>
                <w:rFonts w:hint="eastAsia"/>
                <w:color w:val="00B050"/>
                <w:sz w:val="24"/>
                <w:lang w:val="en-GB"/>
              </w:rPr>
              <w:t>。</w:t>
            </w:r>
          </w:p>
          <w:p w14:paraId="50D56C45">
            <w:pPr>
              <w:pStyle w:val="16"/>
              <w:keepNext w:val="0"/>
              <w:keepLines w:val="0"/>
              <w:pageBreakBefore w:val="0"/>
              <w:widowControl w:val="0"/>
              <w:tabs>
                <w:tab w:val="left" w:pos="3360"/>
              </w:tabs>
              <w:kinsoku/>
              <w:wordWrap/>
              <w:overflowPunct/>
              <w:topLinePunct w:val="0"/>
              <w:autoSpaceDE/>
              <w:autoSpaceDN/>
              <w:bidi w:val="0"/>
              <w:adjustRightInd/>
              <w:snapToGrid/>
              <w:spacing w:line="240" w:lineRule="auto"/>
              <w:ind w:firstLine="0" w:firstLineChars="0"/>
              <w:jc w:val="center"/>
              <w:textAlignment w:val="auto"/>
              <w:rPr>
                <w:rFonts w:hAnsi="Times New Roman"/>
                <w:b/>
                <w:szCs w:val="21"/>
              </w:rPr>
            </w:pPr>
            <w:r>
              <w:rPr>
                <w:rFonts w:hAnsi="Times New Roman"/>
                <w:b/>
                <w:szCs w:val="21"/>
              </w:rPr>
              <w:t>表</w:t>
            </w:r>
            <w:r>
              <w:rPr>
                <w:rFonts w:hint="default" w:ascii="Times New Roman" w:hAnsi="Times New Roman" w:cs="Times New Roman"/>
                <w:b/>
                <w:szCs w:val="21"/>
              </w:rPr>
              <w:t>3-</w:t>
            </w:r>
            <w:r>
              <w:rPr>
                <w:rFonts w:hint="eastAsia" w:ascii="Times New Roman" w:hAnsi="Times New Roman" w:cs="Times New Roman"/>
                <w:b/>
                <w:szCs w:val="21"/>
                <w:lang w:val="en-US" w:eastAsia="zh-CN"/>
              </w:rPr>
              <w:t>13</w:t>
            </w:r>
            <w:r>
              <w:rPr>
                <w:rFonts w:hAnsi="Times New Roman"/>
                <w:b/>
                <w:szCs w:val="21"/>
              </w:rPr>
              <w:t xml:space="preserve">   建筑施工场界环境噪声排放标准   </w:t>
            </w:r>
            <w:r>
              <w:rPr>
                <w:rFonts w:hint="eastAsia" w:hAnsi="Times New Roman"/>
                <w:b/>
                <w:szCs w:val="21"/>
              </w:rPr>
              <w:t xml:space="preserve"> </w:t>
            </w:r>
            <w:r>
              <w:rPr>
                <w:rFonts w:hAnsi="Times New Roman"/>
                <w:b/>
                <w:szCs w:val="21"/>
              </w:rPr>
              <w:t>单位：</w:t>
            </w:r>
            <w:r>
              <w:rPr>
                <w:rFonts w:hint="default" w:ascii="Times New Roman" w:hAnsi="Times New Roman" w:cs="Times New Roman"/>
                <w:b/>
                <w:szCs w:val="21"/>
              </w:rPr>
              <w:t>dB</w:t>
            </w:r>
            <w:r>
              <w:rPr>
                <w:rFonts w:hint="eastAsia" w:hAnsi="Times New Roman"/>
                <w:b/>
                <w:szCs w:val="21"/>
              </w:rPr>
              <w:t>（</w:t>
            </w:r>
            <w:r>
              <w:rPr>
                <w:rFonts w:hint="default" w:ascii="Times New Roman" w:hAnsi="Times New Roman" w:cs="Times New Roman"/>
                <w:b/>
                <w:szCs w:val="21"/>
              </w:rPr>
              <w:t>A</w:t>
            </w:r>
            <w:r>
              <w:rPr>
                <w:rFonts w:hint="eastAsia" w:hAnsi="Times New Roman"/>
                <w:b/>
                <w:szCs w:val="21"/>
              </w:rPr>
              <w:t>）</w:t>
            </w:r>
          </w:p>
          <w:tbl>
            <w:tblPr>
              <w:tblStyle w:val="35"/>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3452"/>
              <w:gridCol w:w="2912"/>
              <w:gridCol w:w="2907"/>
            </w:tblGrid>
            <w:tr w14:paraId="46B1986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3460" w:type="dxa"/>
                  <w:noWrap w:val="0"/>
                  <w:vAlign w:val="center"/>
                </w:tcPr>
                <w:p w14:paraId="2EEC209F">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b/>
                      <w:kern w:val="0"/>
                      <w:sz w:val="21"/>
                      <w:szCs w:val="21"/>
                    </w:rPr>
                  </w:pPr>
                  <w:r>
                    <w:rPr>
                      <w:b/>
                      <w:kern w:val="0"/>
                      <w:sz w:val="21"/>
                      <w:szCs w:val="21"/>
                    </w:rPr>
                    <w:t>标准</w:t>
                  </w:r>
                </w:p>
              </w:tc>
              <w:tc>
                <w:tcPr>
                  <w:tcW w:w="2919" w:type="dxa"/>
                  <w:noWrap w:val="0"/>
                  <w:vAlign w:val="center"/>
                </w:tcPr>
                <w:p w14:paraId="7934111B">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b/>
                      <w:kern w:val="0"/>
                      <w:sz w:val="21"/>
                      <w:szCs w:val="21"/>
                    </w:rPr>
                  </w:pPr>
                  <w:r>
                    <w:rPr>
                      <w:b/>
                      <w:kern w:val="0"/>
                      <w:sz w:val="21"/>
                      <w:szCs w:val="21"/>
                    </w:rPr>
                    <w:t>昼间</w:t>
                  </w:r>
                </w:p>
              </w:tc>
              <w:tc>
                <w:tcPr>
                  <w:tcW w:w="2914" w:type="dxa"/>
                  <w:noWrap w:val="0"/>
                  <w:vAlign w:val="center"/>
                </w:tcPr>
                <w:p w14:paraId="1B270B7D">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b/>
                      <w:kern w:val="0"/>
                      <w:sz w:val="21"/>
                      <w:szCs w:val="21"/>
                    </w:rPr>
                  </w:pPr>
                  <w:r>
                    <w:rPr>
                      <w:b/>
                      <w:kern w:val="0"/>
                      <w:sz w:val="21"/>
                      <w:szCs w:val="21"/>
                    </w:rPr>
                    <w:t>夜间</w:t>
                  </w:r>
                </w:p>
              </w:tc>
            </w:tr>
            <w:tr w14:paraId="565E35E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3460" w:type="dxa"/>
                  <w:noWrap w:val="0"/>
                  <w:vAlign w:val="center"/>
                </w:tcPr>
                <w:p w14:paraId="17D5C5D6">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kern w:val="0"/>
                      <w:sz w:val="21"/>
                      <w:szCs w:val="21"/>
                    </w:rPr>
                  </w:pPr>
                  <w:r>
                    <w:rPr>
                      <w:kern w:val="0"/>
                      <w:sz w:val="21"/>
                      <w:szCs w:val="21"/>
                    </w:rPr>
                    <w:t>《建筑施工场界环境噪声排放标准》（GB12523-2011）</w:t>
                  </w:r>
                </w:p>
              </w:tc>
              <w:tc>
                <w:tcPr>
                  <w:tcW w:w="2919" w:type="dxa"/>
                  <w:noWrap w:val="0"/>
                  <w:vAlign w:val="center"/>
                </w:tcPr>
                <w:p w14:paraId="6680EAD5">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kern w:val="0"/>
                      <w:sz w:val="21"/>
                      <w:szCs w:val="21"/>
                    </w:rPr>
                  </w:pPr>
                  <w:r>
                    <w:rPr>
                      <w:kern w:val="0"/>
                      <w:sz w:val="21"/>
                      <w:szCs w:val="21"/>
                    </w:rPr>
                    <w:t>70</w:t>
                  </w:r>
                </w:p>
              </w:tc>
              <w:tc>
                <w:tcPr>
                  <w:tcW w:w="2914" w:type="dxa"/>
                  <w:noWrap w:val="0"/>
                  <w:vAlign w:val="center"/>
                </w:tcPr>
                <w:p w14:paraId="756D04CD">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kern w:val="0"/>
                      <w:sz w:val="21"/>
                      <w:szCs w:val="21"/>
                    </w:rPr>
                  </w:pPr>
                  <w:r>
                    <w:rPr>
                      <w:kern w:val="0"/>
                      <w:sz w:val="21"/>
                      <w:szCs w:val="21"/>
                    </w:rPr>
                    <w:t>55</w:t>
                  </w:r>
                </w:p>
              </w:tc>
            </w:tr>
          </w:tbl>
          <w:p w14:paraId="049613FD">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b/>
                <w:kern w:val="0"/>
                <w:sz w:val="21"/>
                <w:szCs w:val="21"/>
              </w:rPr>
            </w:pPr>
            <w:r>
              <w:rPr>
                <w:b/>
                <w:kern w:val="0"/>
                <w:sz w:val="21"/>
                <w:szCs w:val="21"/>
              </w:rPr>
              <w:t>表</w:t>
            </w:r>
            <w:r>
              <w:rPr>
                <w:rFonts w:hint="eastAsia"/>
                <w:b/>
                <w:kern w:val="0"/>
                <w:sz w:val="21"/>
                <w:szCs w:val="21"/>
              </w:rPr>
              <w:t>3-</w:t>
            </w:r>
            <w:r>
              <w:rPr>
                <w:rFonts w:hint="eastAsia"/>
                <w:b/>
                <w:kern w:val="0"/>
                <w:sz w:val="21"/>
                <w:szCs w:val="21"/>
                <w:lang w:val="en-US" w:eastAsia="zh-CN"/>
              </w:rPr>
              <w:t>14</w:t>
            </w:r>
            <w:r>
              <w:rPr>
                <w:rFonts w:hint="eastAsia"/>
                <w:b/>
                <w:kern w:val="0"/>
                <w:sz w:val="21"/>
                <w:szCs w:val="21"/>
              </w:rPr>
              <w:t xml:space="preserve"> </w:t>
            </w:r>
            <w:r>
              <w:rPr>
                <w:b/>
                <w:kern w:val="0"/>
                <w:sz w:val="21"/>
                <w:szCs w:val="21"/>
              </w:rPr>
              <w:t xml:space="preserve"> </w:t>
            </w:r>
            <w:r>
              <w:rPr>
                <w:rFonts w:hint="eastAsia"/>
                <w:b/>
                <w:kern w:val="0"/>
                <w:sz w:val="21"/>
                <w:szCs w:val="21"/>
              </w:rPr>
              <w:t xml:space="preserve"> </w:t>
            </w:r>
            <w:r>
              <w:rPr>
                <w:b/>
                <w:kern w:val="0"/>
                <w:sz w:val="21"/>
                <w:szCs w:val="21"/>
              </w:rPr>
              <w:t xml:space="preserve">《工业企业厂界环境噪声排放标准》（GB12348-2008） </w:t>
            </w:r>
            <w:r>
              <w:rPr>
                <w:rFonts w:hint="eastAsia"/>
                <w:b/>
                <w:kern w:val="0"/>
                <w:sz w:val="21"/>
                <w:szCs w:val="21"/>
              </w:rPr>
              <w:t xml:space="preserve">   </w:t>
            </w:r>
            <w:r>
              <w:rPr>
                <w:b/>
                <w:kern w:val="0"/>
                <w:sz w:val="21"/>
                <w:szCs w:val="21"/>
              </w:rPr>
              <w:t>单位：dB（A）</w:t>
            </w:r>
          </w:p>
          <w:tbl>
            <w:tblPr>
              <w:tblStyle w:val="3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18"/>
              <w:gridCol w:w="3492"/>
              <w:gridCol w:w="3461"/>
            </w:tblGrid>
            <w:tr w14:paraId="22D19C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18" w:type="dxa"/>
                  <w:noWrap w:val="0"/>
                  <w:vAlign w:val="center"/>
                </w:tcPr>
                <w:p w14:paraId="19EEFD61">
                  <w:pPr>
                    <w:pStyle w:val="30"/>
                    <w:keepNext w:val="0"/>
                    <w:keepLines w:val="0"/>
                    <w:pageBreakBefore w:val="0"/>
                    <w:widowControl w:val="0"/>
                    <w:kinsoku/>
                    <w:wordWrap/>
                    <w:overflowPunct/>
                    <w:topLinePunct w:val="0"/>
                    <w:autoSpaceDE/>
                    <w:autoSpaceDN/>
                    <w:bidi w:val="0"/>
                    <w:adjustRightInd/>
                    <w:snapToGrid w:val="0"/>
                    <w:spacing w:line="240" w:lineRule="auto"/>
                    <w:ind w:left="422" w:hanging="422"/>
                    <w:textAlignment w:val="auto"/>
                    <w:rPr>
                      <w:b/>
                    </w:rPr>
                  </w:pPr>
                  <w:r>
                    <w:rPr>
                      <w:b/>
                    </w:rPr>
                    <w:t>类别</w:t>
                  </w:r>
                </w:p>
              </w:tc>
              <w:tc>
                <w:tcPr>
                  <w:tcW w:w="3492" w:type="dxa"/>
                  <w:noWrap w:val="0"/>
                  <w:vAlign w:val="center"/>
                </w:tcPr>
                <w:p w14:paraId="49BB6E8D">
                  <w:pPr>
                    <w:pStyle w:val="30"/>
                    <w:keepNext w:val="0"/>
                    <w:keepLines w:val="0"/>
                    <w:pageBreakBefore w:val="0"/>
                    <w:widowControl w:val="0"/>
                    <w:kinsoku/>
                    <w:wordWrap/>
                    <w:overflowPunct/>
                    <w:topLinePunct w:val="0"/>
                    <w:autoSpaceDE/>
                    <w:autoSpaceDN/>
                    <w:bidi w:val="0"/>
                    <w:adjustRightInd/>
                    <w:snapToGrid w:val="0"/>
                    <w:spacing w:line="240" w:lineRule="auto"/>
                    <w:ind w:left="422" w:hanging="422"/>
                    <w:textAlignment w:val="auto"/>
                    <w:rPr>
                      <w:b/>
                    </w:rPr>
                  </w:pPr>
                  <w:r>
                    <w:rPr>
                      <w:b/>
                    </w:rPr>
                    <w:t>昼间</w:t>
                  </w:r>
                </w:p>
              </w:tc>
              <w:tc>
                <w:tcPr>
                  <w:tcW w:w="3461" w:type="dxa"/>
                  <w:noWrap w:val="0"/>
                  <w:vAlign w:val="center"/>
                </w:tcPr>
                <w:p w14:paraId="6E47534B">
                  <w:pPr>
                    <w:pStyle w:val="30"/>
                    <w:keepNext w:val="0"/>
                    <w:keepLines w:val="0"/>
                    <w:pageBreakBefore w:val="0"/>
                    <w:widowControl w:val="0"/>
                    <w:kinsoku/>
                    <w:wordWrap/>
                    <w:overflowPunct/>
                    <w:topLinePunct w:val="0"/>
                    <w:autoSpaceDE/>
                    <w:autoSpaceDN/>
                    <w:bidi w:val="0"/>
                    <w:adjustRightInd/>
                    <w:snapToGrid w:val="0"/>
                    <w:spacing w:line="240" w:lineRule="auto"/>
                    <w:ind w:left="422" w:hanging="422"/>
                    <w:textAlignment w:val="auto"/>
                    <w:rPr>
                      <w:b/>
                    </w:rPr>
                  </w:pPr>
                  <w:r>
                    <w:rPr>
                      <w:b/>
                    </w:rPr>
                    <w:t>夜间</w:t>
                  </w:r>
                </w:p>
              </w:tc>
            </w:tr>
            <w:tr w14:paraId="71FE63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2318" w:type="dxa"/>
                  <w:noWrap w:val="0"/>
                  <w:vAlign w:val="center"/>
                </w:tcPr>
                <w:p w14:paraId="409B65B4">
                  <w:pPr>
                    <w:pStyle w:val="30"/>
                    <w:keepNext w:val="0"/>
                    <w:keepLines w:val="0"/>
                    <w:pageBreakBefore w:val="0"/>
                    <w:widowControl w:val="0"/>
                    <w:kinsoku/>
                    <w:wordWrap/>
                    <w:overflowPunct/>
                    <w:topLinePunct w:val="0"/>
                    <w:autoSpaceDE/>
                    <w:autoSpaceDN/>
                    <w:bidi w:val="0"/>
                    <w:adjustRightInd/>
                    <w:snapToGrid w:val="0"/>
                    <w:spacing w:line="240" w:lineRule="auto"/>
                    <w:ind w:left="420" w:hanging="420"/>
                    <w:textAlignment w:val="auto"/>
                    <w:rPr>
                      <w:bCs/>
                    </w:rPr>
                  </w:pPr>
                  <w:r>
                    <w:rPr>
                      <w:rFonts w:hint="eastAsia"/>
                      <w:bCs/>
                      <w:lang w:val="en-US" w:eastAsia="zh-CN"/>
                    </w:rPr>
                    <w:t>2</w:t>
                  </w:r>
                  <w:r>
                    <w:rPr>
                      <w:bCs/>
                    </w:rPr>
                    <w:t>类</w:t>
                  </w:r>
                </w:p>
              </w:tc>
              <w:tc>
                <w:tcPr>
                  <w:tcW w:w="3492" w:type="dxa"/>
                  <w:noWrap w:val="0"/>
                  <w:vAlign w:val="center"/>
                </w:tcPr>
                <w:p w14:paraId="04812A50">
                  <w:pPr>
                    <w:pStyle w:val="30"/>
                    <w:keepNext w:val="0"/>
                    <w:keepLines w:val="0"/>
                    <w:pageBreakBefore w:val="0"/>
                    <w:widowControl w:val="0"/>
                    <w:kinsoku/>
                    <w:wordWrap/>
                    <w:overflowPunct/>
                    <w:topLinePunct w:val="0"/>
                    <w:autoSpaceDE/>
                    <w:autoSpaceDN/>
                    <w:bidi w:val="0"/>
                    <w:adjustRightInd/>
                    <w:snapToGrid w:val="0"/>
                    <w:spacing w:line="240" w:lineRule="auto"/>
                    <w:ind w:left="420" w:hanging="420"/>
                    <w:textAlignment w:val="auto"/>
                    <w:rPr>
                      <w:rFonts w:hint="default" w:eastAsia="宋体"/>
                      <w:bCs/>
                      <w:lang w:val="en-US" w:eastAsia="zh-CN"/>
                    </w:rPr>
                  </w:pPr>
                  <w:r>
                    <w:rPr>
                      <w:rFonts w:hint="eastAsia"/>
                      <w:bCs/>
                      <w:lang w:val="en-US" w:eastAsia="zh-CN"/>
                    </w:rPr>
                    <w:t>60</w:t>
                  </w:r>
                </w:p>
              </w:tc>
              <w:tc>
                <w:tcPr>
                  <w:tcW w:w="3461" w:type="dxa"/>
                  <w:noWrap w:val="0"/>
                  <w:vAlign w:val="center"/>
                </w:tcPr>
                <w:p w14:paraId="7DCAE78C">
                  <w:pPr>
                    <w:pStyle w:val="30"/>
                    <w:keepNext w:val="0"/>
                    <w:keepLines w:val="0"/>
                    <w:pageBreakBefore w:val="0"/>
                    <w:widowControl w:val="0"/>
                    <w:kinsoku/>
                    <w:wordWrap/>
                    <w:overflowPunct/>
                    <w:topLinePunct w:val="0"/>
                    <w:autoSpaceDE/>
                    <w:autoSpaceDN/>
                    <w:bidi w:val="0"/>
                    <w:adjustRightInd/>
                    <w:snapToGrid w:val="0"/>
                    <w:spacing w:line="240" w:lineRule="auto"/>
                    <w:ind w:left="420" w:hanging="420"/>
                    <w:textAlignment w:val="auto"/>
                    <w:rPr>
                      <w:rFonts w:hint="default" w:eastAsia="宋体"/>
                      <w:bCs/>
                      <w:lang w:val="en-US" w:eastAsia="zh-CN"/>
                    </w:rPr>
                  </w:pPr>
                  <w:r>
                    <w:rPr>
                      <w:rFonts w:hint="eastAsia"/>
                      <w:bCs/>
                      <w:lang w:val="en-US" w:eastAsia="zh-CN"/>
                    </w:rPr>
                    <w:t>50</w:t>
                  </w:r>
                </w:p>
              </w:tc>
            </w:tr>
            <w:tr w14:paraId="51AE6E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2318" w:type="dxa"/>
                  <w:noWrap w:val="0"/>
                  <w:vAlign w:val="center"/>
                </w:tcPr>
                <w:p w14:paraId="6B6A2475">
                  <w:pPr>
                    <w:pStyle w:val="30"/>
                    <w:keepNext w:val="0"/>
                    <w:keepLines w:val="0"/>
                    <w:pageBreakBefore w:val="0"/>
                    <w:widowControl w:val="0"/>
                    <w:kinsoku/>
                    <w:wordWrap/>
                    <w:overflowPunct/>
                    <w:topLinePunct w:val="0"/>
                    <w:autoSpaceDE/>
                    <w:autoSpaceDN/>
                    <w:bidi w:val="0"/>
                    <w:adjustRightInd/>
                    <w:snapToGrid w:val="0"/>
                    <w:spacing w:line="240" w:lineRule="auto"/>
                    <w:ind w:left="420" w:hanging="420"/>
                    <w:textAlignment w:val="auto"/>
                    <w:rPr>
                      <w:rFonts w:hint="default"/>
                      <w:bCs/>
                      <w:lang w:val="en-US" w:eastAsia="zh-CN"/>
                    </w:rPr>
                  </w:pPr>
                  <w:r>
                    <w:rPr>
                      <w:rFonts w:hint="eastAsia"/>
                      <w:bCs/>
                      <w:lang w:val="en-US" w:eastAsia="zh-CN"/>
                    </w:rPr>
                    <w:t>4类</w:t>
                  </w:r>
                </w:p>
              </w:tc>
              <w:tc>
                <w:tcPr>
                  <w:tcW w:w="3492" w:type="dxa"/>
                  <w:noWrap w:val="0"/>
                  <w:vAlign w:val="center"/>
                </w:tcPr>
                <w:p w14:paraId="57B250C6">
                  <w:pPr>
                    <w:pStyle w:val="30"/>
                    <w:keepNext w:val="0"/>
                    <w:keepLines w:val="0"/>
                    <w:pageBreakBefore w:val="0"/>
                    <w:widowControl w:val="0"/>
                    <w:kinsoku/>
                    <w:wordWrap/>
                    <w:overflowPunct/>
                    <w:topLinePunct w:val="0"/>
                    <w:autoSpaceDE/>
                    <w:autoSpaceDN/>
                    <w:bidi w:val="0"/>
                    <w:adjustRightInd/>
                    <w:snapToGrid w:val="0"/>
                    <w:spacing w:line="240" w:lineRule="auto"/>
                    <w:ind w:left="420" w:hanging="420"/>
                    <w:textAlignment w:val="auto"/>
                    <w:rPr>
                      <w:rFonts w:hint="eastAsia"/>
                      <w:bCs/>
                      <w:lang w:val="en-US" w:eastAsia="zh-CN"/>
                    </w:rPr>
                  </w:pPr>
                  <w:r>
                    <w:rPr>
                      <w:rFonts w:ascii="Times New Roman" w:hAnsi="Times New Roman" w:eastAsia="等线" w:cs="Times New Roman"/>
                      <w:color w:val="000000" w:themeColor="text1"/>
                      <w:kern w:val="0"/>
                      <w:szCs w:val="21"/>
                      <w14:textFill>
                        <w14:solidFill>
                          <w14:schemeClr w14:val="tx1"/>
                        </w14:solidFill>
                      </w14:textFill>
                    </w:rPr>
                    <w:t>70</w:t>
                  </w:r>
                </w:p>
              </w:tc>
              <w:tc>
                <w:tcPr>
                  <w:tcW w:w="3461" w:type="dxa"/>
                  <w:noWrap w:val="0"/>
                  <w:vAlign w:val="center"/>
                </w:tcPr>
                <w:p w14:paraId="27AF08E2">
                  <w:pPr>
                    <w:pStyle w:val="30"/>
                    <w:keepNext w:val="0"/>
                    <w:keepLines w:val="0"/>
                    <w:pageBreakBefore w:val="0"/>
                    <w:widowControl w:val="0"/>
                    <w:kinsoku/>
                    <w:wordWrap/>
                    <w:overflowPunct/>
                    <w:topLinePunct w:val="0"/>
                    <w:autoSpaceDE/>
                    <w:autoSpaceDN/>
                    <w:bidi w:val="0"/>
                    <w:adjustRightInd/>
                    <w:snapToGrid w:val="0"/>
                    <w:spacing w:line="240" w:lineRule="auto"/>
                    <w:ind w:left="420" w:hanging="420"/>
                    <w:textAlignment w:val="auto"/>
                    <w:rPr>
                      <w:rFonts w:hint="default"/>
                      <w:bCs/>
                      <w:lang w:val="en-US" w:eastAsia="zh-CN"/>
                    </w:rPr>
                  </w:pPr>
                  <w:r>
                    <w:rPr>
                      <w:rFonts w:hint="eastAsia"/>
                      <w:bCs/>
                      <w:lang w:val="en-US" w:eastAsia="zh-CN"/>
                    </w:rPr>
                    <w:t>55</w:t>
                  </w:r>
                </w:p>
              </w:tc>
            </w:tr>
          </w:tbl>
          <w:p w14:paraId="24E74525">
            <w:pPr>
              <w:pStyle w:val="54"/>
              <w:keepNext w:val="0"/>
              <w:keepLines w:val="0"/>
              <w:pageBreakBefore w:val="0"/>
              <w:widowControl w:val="0"/>
              <w:numPr>
                <w:ilvl w:val="0"/>
                <w:numId w:val="0"/>
              </w:numPr>
              <w:kinsoku/>
              <w:wordWrap/>
              <w:overflowPunct/>
              <w:topLinePunct w:val="0"/>
              <w:autoSpaceDE/>
              <w:autoSpaceDN/>
              <w:bidi w:val="0"/>
              <w:adjustRightInd/>
              <w:snapToGrid/>
              <w:ind w:left="0" w:leftChars="0" w:firstLine="482" w:firstLineChars="200"/>
              <w:textAlignment w:val="auto"/>
              <w:rPr>
                <w:b/>
              </w:rPr>
            </w:pPr>
            <w:r>
              <w:rPr>
                <w:rFonts w:hint="eastAsia"/>
                <w:b/>
                <w:lang w:val="en-US" w:eastAsia="zh-CN"/>
              </w:rPr>
              <w:t>4、</w:t>
            </w:r>
            <w:r>
              <w:rPr>
                <w:b/>
              </w:rPr>
              <w:t>固体废物</w:t>
            </w:r>
          </w:p>
          <w:p w14:paraId="05BED19B">
            <w:pPr>
              <w:keepNext w:val="0"/>
              <w:keepLines w:val="0"/>
              <w:pageBreakBefore w:val="0"/>
              <w:widowControl w:val="0"/>
              <w:kinsoku/>
              <w:wordWrap w:val="0"/>
              <w:overflowPunct/>
              <w:topLinePunct w:val="0"/>
              <w:autoSpaceDE/>
              <w:autoSpaceDN/>
              <w:bidi w:val="0"/>
              <w:adjustRightInd/>
              <w:snapToGrid/>
              <w:ind w:firstLine="480"/>
              <w:textAlignment w:val="auto"/>
            </w:pPr>
            <w:r>
              <w:rPr>
                <w:rFonts w:hint="eastAsia"/>
                <w:color w:val="auto"/>
                <w:sz w:val="24"/>
                <w:lang w:val="en-US" w:eastAsia="zh-CN"/>
              </w:rPr>
              <w:t>本项目</w:t>
            </w:r>
            <w:r>
              <w:rPr>
                <w:rFonts w:ascii="Times New Roman" w:hAnsi="Times New Roman"/>
                <w:color w:val="auto"/>
                <w:sz w:val="24"/>
              </w:rPr>
              <w:t>一般</w:t>
            </w:r>
            <w:r>
              <w:rPr>
                <w:rFonts w:hint="eastAsia"/>
                <w:color w:val="auto"/>
                <w:sz w:val="24"/>
                <w:lang w:val="en-US" w:eastAsia="zh-CN"/>
              </w:rPr>
              <w:t>工业</w:t>
            </w:r>
            <w:r>
              <w:rPr>
                <w:rFonts w:ascii="Times New Roman" w:hAnsi="Times New Roman"/>
                <w:color w:val="auto"/>
                <w:sz w:val="24"/>
              </w:rPr>
              <w:t>固</w:t>
            </w:r>
            <w:r>
              <w:rPr>
                <w:rFonts w:hint="eastAsia"/>
                <w:color w:val="auto"/>
                <w:sz w:val="24"/>
                <w:lang w:val="en-US" w:eastAsia="zh-CN"/>
              </w:rPr>
              <w:t>体</w:t>
            </w:r>
            <w:r>
              <w:rPr>
                <w:rFonts w:ascii="Times New Roman" w:hAnsi="Times New Roman"/>
                <w:color w:val="auto"/>
                <w:sz w:val="24"/>
              </w:rPr>
              <w:t>废</w:t>
            </w:r>
            <w:r>
              <w:rPr>
                <w:rFonts w:hint="eastAsia"/>
                <w:color w:val="auto"/>
                <w:sz w:val="24"/>
                <w:lang w:val="en-US" w:eastAsia="zh-CN"/>
              </w:rPr>
              <w:t>物贮存过程应满足相应防渗漏、防雨淋、防扬尘等环境保护要求</w:t>
            </w:r>
            <w:r>
              <w:rPr>
                <w:rFonts w:hint="eastAsia"/>
                <w:color w:val="auto"/>
                <w:sz w:val="24"/>
                <w:lang w:eastAsia="zh-CN"/>
              </w:rPr>
              <w:t>；</w:t>
            </w:r>
            <w:r>
              <w:rPr>
                <w:rFonts w:ascii="Times New Roman" w:hAnsi="Times New Roman"/>
                <w:color w:val="auto"/>
                <w:sz w:val="24"/>
              </w:rPr>
              <w:t>危险废物临时贮存执行《危险废物贮存污染控制标准》（GB18597-20</w:t>
            </w:r>
            <w:r>
              <w:rPr>
                <w:rFonts w:hint="eastAsia"/>
                <w:color w:val="auto"/>
                <w:sz w:val="24"/>
                <w:lang w:val="en-US" w:eastAsia="zh-CN"/>
              </w:rPr>
              <w:t>23</w:t>
            </w:r>
            <w:r>
              <w:rPr>
                <w:rFonts w:ascii="Times New Roman" w:hAnsi="Times New Roman"/>
                <w:color w:val="auto"/>
                <w:sz w:val="24"/>
              </w:rPr>
              <w:t>）</w:t>
            </w:r>
            <w:r>
              <w:rPr>
                <w:rFonts w:hint="eastAsia"/>
                <w:color w:val="auto"/>
                <w:sz w:val="24"/>
                <w:lang w:eastAsia="zh-CN"/>
              </w:rPr>
              <w:t>；</w:t>
            </w:r>
            <w:r>
              <w:rPr>
                <w:rFonts w:ascii="Times New Roman" w:hAnsi="Times New Roman"/>
                <w:color w:val="auto"/>
                <w:sz w:val="24"/>
              </w:rPr>
              <w:t>生活垃圾处置按《中华人民共和国固体废物污染环境防治法》（20</w:t>
            </w:r>
            <w:r>
              <w:rPr>
                <w:rFonts w:hint="eastAsia" w:ascii="Times New Roman" w:hAnsi="Times New Roman"/>
                <w:color w:val="auto"/>
                <w:sz w:val="24"/>
                <w:lang w:val="en-US" w:eastAsia="zh-CN"/>
              </w:rPr>
              <w:t>20</w:t>
            </w:r>
            <w:r>
              <w:rPr>
                <w:rFonts w:ascii="Times New Roman" w:hAnsi="Times New Roman"/>
                <w:color w:val="auto"/>
                <w:sz w:val="24"/>
              </w:rPr>
              <w:t>年修订）</w:t>
            </w:r>
            <w:r>
              <w:rPr>
                <w:rFonts w:hint="eastAsia" w:ascii="宋体" w:hAnsi="宋体" w:eastAsia="宋体" w:cs="宋体"/>
                <w:color w:val="auto"/>
                <w:sz w:val="24"/>
              </w:rPr>
              <w:t>“</w:t>
            </w:r>
            <w:r>
              <w:rPr>
                <w:rFonts w:ascii="Times New Roman" w:hAnsi="Times New Roman"/>
                <w:color w:val="auto"/>
                <w:sz w:val="24"/>
              </w:rPr>
              <w:t>第</w:t>
            </w:r>
            <w:r>
              <w:rPr>
                <w:rFonts w:hint="eastAsia" w:ascii="Times New Roman" w:hAnsi="Times New Roman"/>
                <w:color w:val="auto"/>
                <w:sz w:val="24"/>
                <w:lang w:val="en-US" w:eastAsia="zh-CN"/>
              </w:rPr>
              <w:t>四章</w:t>
            </w:r>
            <w:r>
              <w:rPr>
                <w:rFonts w:ascii="Times New Roman" w:hAnsi="Times New Roman"/>
                <w:color w:val="auto"/>
                <w:sz w:val="24"/>
              </w:rPr>
              <w:t>”之规定执行。</w:t>
            </w:r>
          </w:p>
        </w:tc>
      </w:tr>
      <w:tr w14:paraId="6BC5F5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54" w:type="dxa"/>
            <w:vAlign w:val="center"/>
          </w:tcPr>
          <w:p w14:paraId="02AD7E71">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pPr>
            <w:r>
              <w:rPr>
                <w:rFonts w:hint="eastAsia"/>
              </w:rPr>
              <w:t>总量控制指标</w:t>
            </w:r>
          </w:p>
        </w:tc>
        <w:tc>
          <w:tcPr>
            <w:tcW w:w="9076" w:type="dxa"/>
            <w:vAlign w:val="center"/>
          </w:tcPr>
          <w:p w14:paraId="7013A8DF">
            <w:pPr>
              <w:keepNext w:val="0"/>
              <w:keepLines w:val="0"/>
              <w:pageBreakBefore w:val="0"/>
              <w:widowControl w:val="0"/>
              <w:tabs>
                <w:tab w:val="left" w:pos="2343"/>
              </w:tabs>
              <w:kinsoku/>
              <w:wordWrap/>
              <w:overflowPunct/>
              <w:topLinePunct w:val="0"/>
              <w:autoSpaceDE/>
              <w:autoSpaceDN/>
              <w:bidi w:val="0"/>
              <w:adjustRightInd/>
              <w:snapToGrid/>
              <w:spacing w:line="360" w:lineRule="auto"/>
              <w:ind w:firstLine="480" w:firstLineChars="200"/>
              <w:jc w:val="left"/>
              <w:textAlignment w:val="auto"/>
              <w:rPr>
                <w:color w:val="FF0000"/>
                <w:sz w:val="24"/>
              </w:rPr>
            </w:pPr>
            <w:r>
              <w:rPr>
                <w:color w:val="auto"/>
                <w:sz w:val="24"/>
              </w:rPr>
              <w:t>根据国家和地方的总量控制指标，本项目运营期总量控制指标有</w:t>
            </w:r>
            <w:r>
              <w:rPr>
                <w:rFonts w:hint="eastAsia"/>
              </w:rPr>
              <w:t>COD</w:t>
            </w:r>
            <w:r>
              <w:rPr>
                <w:rFonts w:hint="eastAsia"/>
                <w:vertAlign w:val="subscript"/>
                <w:lang w:val="en-US" w:eastAsia="zh-CN"/>
              </w:rPr>
              <w:t>Cr</w:t>
            </w:r>
            <w:r>
              <w:rPr>
                <w:color w:val="auto"/>
                <w:sz w:val="24"/>
              </w:rPr>
              <w:t>、NH</w:t>
            </w:r>
            <w:r>
              <w:rPr>
                <w:color w:val="auto"/>
                <w:sz w:val="24"/>
                <w:vertAlign w:val="subscript"/>
              </w:rPr>
              <w:t>3</w:t>
            </w:r>
            <w:r>
              <w:rPr>
                <w:color w:val="auto"/>
                <w:sz w:val="24"/>
              </w:rPr>
              <w:t>-N、</w:t>
            </w:r>
            <w:r>
              <w:rPr>
                <w:rFonts w:hint="eastAsia"/>
                <w:color w:val="auto"/>
                <w:sz w:val="24"/>
              </w:rPr>
              <w:t>VOCs</w:t>
            </w:r>
            <w:r>
              <w:rPr>
                <w:color w:val="auto"/>
                <w:sz w:val="24"/>
              </w:rPr>
              <w:t>。</w:t>
            </w:r>
          </w:p>
          <w:p w14:paraId="1A9A9390">
            <w:pPr>
              <w:keepNext w:val="0"/>
              <w:keepLines w:val="0"/>
              <w:pageBreakBefore w:val="0"/>
              <w:widowControl w:val="0"/>
              <w:tabs>
                <w:tab w:val="left" w:pos="2343"/>
              </w:tabs>
              <w:kinsoku/>
              <w:wordWrap/>
              <w:overflowPunct/>
              <w:topLinePunct w:val="0"/>
              <w:autoSpaceDE/>
              <w:autoSpaceDN/>
              <w:bidi w:val="0"/>
              <w:adjustRightInd/>
              <w:snapToGrid/>
              <w:spacing w:line="360" w:lineRule="auto"/>
              <w:ind w:firstLine="482" w:firstLineChars="200"/>
              <w:jc w:val="left"/>
              <w:textAlignment w:val="auto"/>
              <w:rPr>
                <w:color w:val="FF0000"/>
                <w:sz w:val="24"/>
              </w:rPr>
            </w:pPr>
            <w:r>
              <w:rPr>
                <w:rFonts w:hint="eastAsia"/>
                <w:b/>
                <w:bCs/>
                <w:color w:val="auto"/>
                <w:sz w:val="24"/>
              </w:rPr>
              <w:t>1、废水总量控制指标</w:t>
            </w:r>
          </w:p>
          <w:p w14:paraId="4615E11B">
            <w:pPr>
              <w:keepNext w:val="0"/>
              <w:keepLines w:val="0"/>
              <w:pageBreakBefore w:val="0"/>
              <w:widowControl w:val="0"/>
              <w:tabs>
                <w:tab w:val="left" w:pos="2343"/>
              </w:tabs>
              <w:kinsoku/>
              <w:wordWrap/>
              <w:overflowPunct/>
              <w:topLinePunct w:val="0"/>
              <w:autoSpaceDE/>
              <w:autoSpaceDN/>
              <w:bidi w:val="0"/>
              <w:adjustRightInd/>
              <w:snapToGrid/>
              <w:spacing w:line="360" w:lineRule="auto"/>
              <w:ind w:firstLine="480" w:firstLineChars="200"/>
              <w:textAlignment w:val="auto"/>
              <w:rPr>
                <w:color w:val="FF0000"/>
                <w:sz w:val="24"/>
              </w:rPr>
            </w:pPr>
            <w:r>
              <w:rPr>
                <w:rFonts w:hint="eastAsia"/>
                <w:color w:val="auto"/>
                <w:sz w:val="24"/>
                <w:lang w:val="en-GB"/>
              </w:rPr>
              <w:t>本</w:t>
            </w:r>
            <w:r>
              <w:rPr>
                <w:color w:val="auto"/>
                <w:sz w:val="24"/>
                <w:lang w:val="en-GB"/>
              </w:rPr>
              <w:t>项目外排废水</w:t>
            </w:r>
            <w:r>
              <w:rPr>
                <w:rFonts w:hint="eastAsia"/>
                <w:color w:val="auto"/>
                <w:sz w:val="24"/>
                <w:lang w:val="en-US" w:eastAsia="zh-CN"/>
              </w:rPr>
              <w:t>主要</w:t>
            </w:r>
            <w:r>
              <w:rPr>
                <w:color w:val="auto"/>
                <w:sz w:val="24"/>
                <w:lang w:val="en-GB"/>
              </w:rPr>
              <w:t>为生活污水，</w:t>
            </w:r>
            <w:r>
              <w:rPr>
                <w:rFonts w:hint="eastAsia"/>
                <w:color w:val="auto"/>
              </w:rPr>
              <w:t>生活污水经</w:t>
            </w:r>
            <w:r>
              <w:rPr>
                <w:rFonts w:hint="eastAsia"/>
                <w:color w:val="auto"/>
                <w:lang w:val="en-US" w:eastAsia="zh-CN"/>
              </w:rPr>
              <w:t>油水分离器+</w:t>
            </w:r>
            <w:r>
              <w:rPr>
                <w:rFonts w:hint="eastAsia"/>
                <w:color w:val="auto"/>
              </w:rPr>
              <w:t>化粪池预处理</w:t>
            </w:r>
            <w:r>
              <w:rPr>
                <w:rFonts w:hint="eastAsia"/>
                <w:color w:val="auto"/>
                <w:lang w:val="en-US" w:eastAsia="zh-CN"/>
              </w:rPr>
              <w:t>达红心村生活污水处理站接管标准</w:t>
            </w:r>
            <w:r>
              <w:rPr>
                <w:rFonts w:hint="eastAsia"/>
                <w:color w:val="auto"/>
                <w:lang w:eastAsia="zh-CN"/>
              </w:rPr>
              <w:t>，</w:t>
            </w:r>
            <w:r>
              <w:rPr>
                <w:rFonts w:hint="eastAsia"/>
                <w:color w:val="auto"/>
                <w:lang w:val="en-US" w:eastAsia="zh-CN"/>
              </w:rPr>
              <w:t>经污水管网</w:t>
            </w:r>
            <w:r>
              <w:rPr>
                <w:rFonts w:hint="eastAsia"/>
                <w:color w:val="auto"/>
              </w:rPr>
              <w:t>排入</w:t>
            </w:r>
            <w:r>
              <w:rPr>
                <w:rFonts w:hint="eastAsia"/>
                <w:color w:val="auto"/>
                <w:lang w:val="en-US" w:eastAsia="zh-CN"/>
              </w:rPr>
              <w:t>红心村生活污水处理站</w:t>
            </w:r>
            <w:r>
              <w:rPr>
                <w:rFonts w:hint="eastAsia"/>
                <w:color w:val="auto"/>
                <w:lang w:eastAsia="zh-CN"/>
              </w:rPr>
              <w:t>进一步处理</w:t>
            </w:r>
            <w:r>
              <w:rPr>
                <w:rFonts w:hint="eastAsia"/>
                <w:color w:val="auto"/>
                <w:lang w:val="en-US" w:eastAsia="zh-CN"/>
              </w:rPr>
              <w:t>后</w:t>
            </w:r>
            <w:r>
              <w:rPr>
                <w:rFonts w:hint="eastAsia"/>
                <w:color w:val="auto"/>
                <w:lang w:val="en-GB"/>
              </w:rPr>
              <w:t>，</w:t>
            </w:r>
            <w:r>
              <w:rPr>
                <w:rFonts w:hint="eastAsia"/>
                <w:color w:val="auto"/>
                <w:lang w:val="en-US" w:eastAsia="zh-CN"/>
              </w:rPr>
              <w:t>满足</w:t>
            </w:r>
            <w:r>
              <w:rPr>
                <w:rFonts w:hint="eastAsia"/>
                <w:color w:val="auto"/>
              </w:rPr>
              <w:t>《城镇污水处理厂污染物排放标准》</w:t>
            </w:r>
            <w:r>
              <w:rPr>
                <w:rFonts w:hint="eastAsia"/>
                <w:color w:val="auto"/>
                <w:lang w:eastAsia="zh-CN"/>
              </w:rPr>
              <w:t>（</w:t>
            </w:r>
            <w:r>
              <w:rPr>
                <w:rFonts w:hint="eastAsia"/>
                <w:color w:val="auto"/>
              </w:rPr>
              <w:t>GB18918-2002</w:t>
            </w:r>
            <w:r>
              <w:rPr>
                <w:rFonts w:hint="eastAsia"/>
                <w:color w:val="auto"/>
                <w:lang w:eastAsia="zh-CN"/>
              </w:rPr>
              <w:t>）</w:t>
            </w:r>
            <w:r>
              <w:rPr>
                <w:rFonts w:hint="eastAsia"/>
                <w:color w:val="auto"/>
                <w:lang w:val="en-US" w:eastAsia="zh-CN"/>
              </w:rPr>
              <w:t>及其修改单中</w:t>
            </w:r>
            <w:r>
              <w:rPr>
                <w:rFonts w:hint="eastAsia"/>
                <w:color w:val="auto"/>
              </w:rPr>
              <w:t>一级</w:t>
            </w:r>
            <w:r>
              <w:rPr>
                <w:rFonts w:hint="eastAsia"/>
                <w:color w:val="auto"/>
                <w:lang w:val="en-US" w:eastAsia="zh-CN"/>
              </w:rPr>
              <w:t>B</w:t>
            </w:r>
            <w:r>
              <w:rPr>
                <w:rFonts w:hint="eastAsia"/>
                <w:color w:val="auto"/>
              </w:rPr>
              <w:t>标准</w:t>
            </w:r>
            <w:r>
              <w:rPr>
                <w:rFonts w:hint="eastAsia"/>
                <w:color w:val="auto"/>
                <w:lang w:val="en-US" w:eastAsia="zh-CN"/>
              </w:rPr>
              <w:t>排放</w:t>
            </w:r>
            <w:r>
              <w:rPr>
                <w:rFonts w:hint="eastAsia" w:cs="Times New Roman"/>
                <w:color w:val="auto"/>
                <w:highlight w:val="none"/>
                <w:u w:val="none"/>
                <w:lang w:val="en-US" w:eastAsia="zh-CN"/>
              </w:rPr>
              <w:t>，最终排入赛城湖</w:t>
            </w:r>
            <w:r>
              <w:rPr>
                <w:rFonts w:hint="eastAsia"/>
                <w:color w:val="auto"/>
                <w:sz w:val="24"/>
              </w:rPr>
              <w:t>。</w:t>
            </w:r>
          </w:p>
          <w:p w14:paraId="41A7A5E4">
            <w:pPr>
              <w:tabs>
                <w:tab w:val="left" w:pos="2343"/>
              </w:tabs>
              <w:spacing w:line="360" w:lineRule="auto"/>
              <w:ind w:firstLine="480" w:firstLineChars="200"/>
              <w:rPr>
                <w:rFonts w:hint="eastAsia"/>
                <w:sz w:val="24"/>
                <w:lang w:val="en-GB"/>
              </w:rPr>
            </w:pPr>
            <w:r>
              <w:rPr>
                <w:sz w:val="24"/>
                <w:lang w:val="en-GB"/>
              </w:rPr>
              <w:t>控制指标</w:t>
            </w:r>
            <w:r>
              <w:rPr>
                <w:rFonts w:hint="eastAsia"/>
                <w:sz w:val="24"/>
                <w:lang w:val="en-GB"/>
              </w:rPr>
              <w:t>量：</w:t>
            </w:r>
          </w:p>
          <w:p w14:paraId="59EA95F5">
            <w:pPr>
              <w:tabs>
                <w:tab w:val="left" w:pos="2343"/>
              </w:tabs>
              <w:spacing w:line="360" w:lineRule="auto"/>
              <w:ind w:firstLine="480" w:firstLineChars="200"/>
              <w:rPr>
                <w:rFonts w:hint="eastAsia"/>
                <w:sz w:val="24"/>
                <w:lang w:val="en-GB"/>
              </w:rPr>
            </w:pPr>
            <w:r>
              <w:rPr>
                <w:rFonts w:hint="eastAsia"/>
              </w:rPr>
              <w:t>COD</w:t>
            </w:r>
            <w:r>
              <w:rPr>
                <w:rFonts w:hint="eastAsia"/>
                <w:vertAlign w:val="subscript"/>
                <w:lang w:val="en-US" w:eastAsia="zh-CN"/>
              </w:rPr>
              <w:t>Cr</w:t>
            </w:r>
            <w:r>
              <w:rPr>
                <w:rFonts w:hint="eastAsia"/>
                <w:sz w:val="24"/>
              </w:rPr>
              <w:t>=</w:t>
            </w:r>
            <w:r>
              <w:rPr>
                <w:rFonts w:hint="eastAsia"/>
                <w:sz w:val="24"/>
                <w:lang w:val="en-US" w:eastAsia="zh-CN"/>
              </w:rPr>
              <w:t>400.04</w:t>
            </w:r>
            <w:r>
              <w:rPr>
                <w:rFonts w:ascii="Arial" w:hAnsi="Arial" w:cs="Arial"/>
                <w:sz w:val="24"/>
              </w:rPr>
              <w:t>×</w:t>
            </w:r>
            <w:r>
              <w:rPr>
                <w:rFonts w:hint="eastAsia"/>
                <w:sz w:val="24"/>
                <w:lang w:val="en-US" w:eastAsia="zh-CN"/>
              </w:rPr>
              <w:t>60</w:t>
            </w:r>
            <w:r>
              <w:rPr>
                <w:rFonts w:ascii="Arial" w:hAnsi="Arial" w:cs="Arial"/>
                <w:sz w:val="24"/>
              </w:rPr>
              <w:t>×</w:t>
            </w:r>
            <w:r>
              <w:rPr>
                <w:rFonts w:hint="eastAsia"/>
                <w:sz w:val="24"/>
              </w:rPr>
              <w:t>10</w:t>
            </w:r>
            <w:r>
              <w:rPr>
                <w:rFonts w:hint="eastAsia"/>
                <w:sz w:val="24"/>
                <w:vertAlign w:val="superscript"/>
              </w:rPr>
              <w:t>-6</w:t>
            </w:r>
            <w:r>
              <w:rPr>
                <w:rFonts w:hint="eastAsia"/>
                <w:sz w:val="24"/>
              </w:rPr>
              <w:t>t/a=</w:t>
            </w:r>
            <w:r>
              <w:rPr>
                <w:rFonts w:hint="eastAsia"/>
                <w:sz w:val="24"/>
                <w:lang w:val="en-US" w:eastAsia="zh-CN"/>
              </w:rPr>
              <w:t>0.024</w:t>
            </w:r>
            <w:r>
              <w:rPr>
                <w:sz w:val="24"/>
                <w:lang w:val="en-GB"/>
              </w:rPr>
              <w:t>t/a</w:t>
            </w:r>
            <w:r>
              <w:rPr>
                <w:rFonts w:hint="eastAsia"/>
                <w:sz w:val="24"/>
                <w:lang w:val="en-GB"/>
              </w:rPr>
              <w:t>；</w:t>
            </w:r>
          </w:p>
          <w:p w14:paraId="0C9D9EE0">
            <w:pPr>
              <w:tabs>
                <w:tab w:val="left" w:pos="2343"/>
              </w:tabs>
              <w:spacing w:line="360" w:lineRule="auto"/>
              <w:ind w:firstLine="480" w:firstLineChars="200"/>
              <w:rPr>
                <w:rFonts w:hint="eastAsia"/>
                <w:sz w:val="24"/>
                <w:lang w:val="en-GB"/>
              </w:rPr>
            </w:pPr>
            <w:r>
              <w:rPr>
                <w:sz w:val="24"/>
                <w:lang w:val="en-GB"/>
              </w:rPr>
              <w:t>NH</w:t>
            </w:r>
            <w:r>
              <w:rPr>
                <w:sz w:val="24"/>
                <w:vertAlign w:val="subscript"/>
                <w:lang w:val="en-GB"/>
              </w:rPr>
              <w:t>3</w:t>
            </w:r>
            <w:r>
              <w:rPr>
                <w:sz w:val="24"/>
                <w:lang w:val="en-GB"/>
              </w:rPr>
              <w:t>-N</w:t>
            </w:r>
            <w:r>
              <w:rPr>
                <w:rFonts w:hint="eastAsia"/>
                <w:sz w:val="24"/>
              </w:rPr>
              <w:t>=</w:t>
            </w:r>
            <w:r>
              <w:rPr>
                <w:rFonts w:hint="eastAsia"/>
                <w:sz w:val="24"/>
                <w:lang w:val="en-US" w:eastAsia="zh-CN"/>
              </w:rPr>
              <w:t>400.04</w:t>
            </w:r>
            <w:r>
              <w:rPr>
                <w:rFonts w:ascii="Arial" w:hAnsi="Arial" w:cs="Arial"/>
                <w:sz w:val="24"/>
              </w:rPr>
              <w:t>×</w:t>
            </w:r>
            <w:r>
              <w:rPr>
                <w:rFonts w:hint="eastAsia"/>
                <w:sz w:val="24"/>
                <w:lang w:val="en-US" w:eastAsia="zh-CN"/>
              </w:rPr>
              <w:t>8</w:t>
            </w:r>
            <w:r>
              <w:rPr>
                <w:rFonts w:ascii="Arial" w:hAnsi="Arial" w:cs="Arial"/>
                <w:sz w:val="24"/>
              </w:rPr>
              <w:t>×</w:t>
            </w:r>
            <w:r>
              <w:rPr>
                <w:rFonts w:hint="eastAsia"/>
                <w:sz w:val="24"/>
              </w:rPr>
              <w:t>10</w:t>
            </w:r>
            <w:r>
              <w:rPr>
                <w:rFonts w:hint="eastAsia"/>
                <w:sz w:val="24"/>
                <w:vertAlign w:val="superscript"/>
              </w:rPr>
              <w:t>-6</w:t>
            </w:r>
            <w:r>
              <w:rPr>
                <w:rFonts w:hint="eastAsia"/>
                <w:sz w:val="24"/>
              </w:rPr>
              <w:t>t/a=0.00</w:t>
            </w:r>
            <w:r>
              <w:rPr>
                <w:rFonts w:hint="eastAsia"/>
                <w:sz w:val="24"/>
                <w:lang w:val="en-US" w:eastAsia="zh-CN"/>
              </w:rPr>
              <w:t>3</w:t>
            </w:r>
            <w:r>
              <w:rPr>
                <w:sz w:val="24"/>
                <w:lang w:val="en-GB"/>
              </w:rPr>
              <w:t>t/a</w:t>
            </w:r>
            <w:r>
              <w:rPr>
                <w:rFonts w:hint="eastAsia"/>
                <w:sz w:val="24"/>
                <w:lang w:val="en-GB"/>
              </w:rPr>
              <w:t>；</w:t>
            </w:r>
          </w:p>
          <w:p w14:paraId="11692E4A">
            <w:pPr>
              <w:tabs>
                <w:tab w:val="left" w:pos="2343"/>
              </w:tabs>
              <w:spacing w:line="360" w:lineRule="auto"/>
              <w:ind w:firstLine="480" w:firstLineChars="200"/>
              <w:rPr>
                <w:sz w:val="24"/>
                <w:lang w:val="en-GB"/>
              </w:rPr>
            </w:pPr>
            <w:r>
              <w:rPr>
                <w:rFonts w:hint="eastAsia"/>
                <w:sz w:val="24"/>
                <w:lang w:val="en-US" w:eastAsia="zh-CN"/>
              </w:rPr>
              <w:t>综上所述，本项目</w:t>
            </w:r>
            <w:r>
              <w:rPr>
                <w:rFonts w:hint="eastAsia"/>
              </w:rPr>
              <w:t>COD</w:t>
            </w:r>
            <w:r>
              <w:rPr>
                <w:rFonts w:hint="eastAsia"/>
                <w:vertAlign w:val="subscript"/>
                <w:lang w:val="en-US" w:eastAsia="zh-CN"/>
              </w:rPr>
              <w:t>Cr</w:t>
            </w:r>
            <w:r>
              <w:rPr>
                <w:rFonts w:hint="eastAsia"/>
                <w:sz w:val="24"/>
                <w:lang w:eastAsia="zh-CN"/>
              </w:rPr>
              <w:t>、</w:t>
            </w:r>
            <w:r>
              <w:rPr>
                <w:sz w:val="24"/>
                <w:lang w:val="en-GB"/>
              </w:rPr>
              <w:t>NH</w:t>
            </w:r>
            <w:r>
              <w:rPr>
                <w:sz w:val="24"/>
                <w:vertAlign w:val="subscript"/>
                <w:lang w:val="en-GB"/>
              </w:rPr>
              <w:t>3</w:t>
            </w:r>
            <w:r>
              <w:rPr>
                <w:sz w:val="24"/>
                <w:lang w:val="en-GB"/>
              </w:rPr>
              <w:t>-N</w:t>
            </w:r>
            <w:r>
              <w:rPr>
                <w:rFonts w:hint="eastAsia"/>
                <w:sz w:val="24"/>
              </w:rPr>
              <w:t>控制指标</w:t>
            </w:r>
            <w:r>
              <w:rPr>
                <w:sz w:val="24"/>
              </w:rPr>
              <w:t>量分别为</w:t>
            </w:r>
            <w:r>
              <w:rPr>
                <w:rFonts w:hint="eastAsia"/>
                <w:sz w:val="24"/>
                <w:lang w:val="en-US" w:eastAsia="zh-CN"/>
              </w:rPr>
              <w:t>0.024</w:t>
            </w:r>
            <w:r>
              <w:rPr>
                <w:sz w:val="24"/>
              </w:rPr>
              <w:t>t/a</w:t>
            </w:r>
            <w:r>
              <w:rPr>
                <w:rFonts w:hint="eastAsia"/>
                <w:sz w:val="24"/>
              </w:rPr>
              <w:t>、0.00</w:t>
            </w:r>
            <w:r>
              <w:rPr>
                <w:rFonts w:hint="eastAsia"/>
                <w:sz w:val="24"/>
                <w:lang w:val="en-US" w:eastAsia="zh-CN"/>
              </w:rPr>
              <w:t>3</w:t>
            </w:r>
            <w:r>
              <w:rPr>
                <w:sz w:val="24"/>
              </w:rPr>
              <w:t>t/a。</w:t>
            </w:r>
          </w:p>
          <w:p w14:paraId="778E768A">
            <w:pPr>
              <w:keepNext w:val="0"/>
              <w:keepLines w:val="0"/>
              <w:pageBreakBefore w:val="0"/>
              <w:widowControl w:val="0"/>
              <w:tabs>
                <w:tab w:val="left" w:pos="2343"/>
              </w:tabs>
              <w:kinsoku/>
              <w:wordWrap/>
              <w:overflowPunct/>
              <w:topLinePunct w:val="0"/>
              <w:autoSpaceDE/>
              <w:autoSpaceDN/>
              <w:bidi w:val="0"/>
              <w:adjustRightInd/>
              <w:snapToGrid/>
              <w:spacing w:line="360" w:lineRule="auto"/>
              <w:ind w:firstLine="482" w:firstLineChars="200"/>
              <w:jc w:val="left"/>
              <w:textAlignment w:val="auto"/>
              <w:rPr>
                <w:b/>
                <w:sz w:val="24"/>
              </w:rPr>
            </w:pPr>
            <w:r>
              <w:rPr>
                <w:rFonts w:hint="eastAsia"/>
                <w:b/>
                <w:sz w:val="24"/>
              </w:rPr>
              <w:t>2、废气总量控制指标</w:t>
            </w:r>
          </w:p>
          <w:p w14:paraId="01619EB4">
            <w:pPr>
              <w:keepNext w:val="0"/>
              <w:keepLines w:val="0"/>
              <w:pageBreakBefore w:val="0"/>
              <w:widowControl w:val="0"/>
              <w:tabs>
                <w:tab w:val="left" w:pos="2343"/>
              </w:tabs>
              <w:kinsoku/>
              <w:wordWrap/>
              <w:overflowPunct/>
              <w:topLinePunct w:val="0"/>
              <w:autoSpaceDE/>
              <w:autoSpaceDN/>
              <w:bidi w:val="0"/>
              <w:adjustRightInd/>
              <w:snapToGrid/>
              <w:spacing w:line="360" w:lineRule="auto"/>
              <w:ind w:firstLine="480" w:firstLineChars="200"/>
              <w:textAlignment w:val="auto"/>
              <w:rPr>
                <w:bCs/>
                <w:sz w:val="24"/>
              </w:rPr>
            </w:pPr>
            <w:r>
              <w:rPr>
                <w:rFonts w:hint="eastAsia"/>
                <w:bCs/>
                <w:sz w:val="24"/>
              </w:rPr>
              <w:t>本项目运营期废气主要</w:t>
            </w:r>
            <w:r>
              <w:rPr>
                <w:rFonts w:hint="eastAsia"/>
                <w:bCs/>
                <w:sz w:val="24"/>
                <w:lang w:val="en-US" w:eastAsia="zh-CN"/>
              </w:rPr>
              <w:t>为</w:t>
            </w:r>
            <w:r>
              <w:rPr>
                <w:rFonts w:hint="eastAsia" w:ascii="Times New Roman"/>
                <w:szCs w:val="22"/>
              </w:rPr>
              <w:t>储</w:t>
            </w:r>
            <w:r>
              <w:rPr>
                <w:rFonts w:hint="eastAsia" w:ascii="Times New Roman"/>
                <w:szCs w:val="22"/>
                <w:lang w:val="en-US" w:eastAsia="zh-CN"/>
              </w:rPr>
              <w:t>油</w:t>
            </w:r>
            <w:r>
              <w:rPr>
                <w:rFonts w:hint="eastAsia" w:ascii="Times New Roman"/>
                <w:szCs w:val="22"/>
              </w:rPr>
              <w:t>罐大小呼吸</w:t>
            </w:r>
            <w:r>
              <w:rPr>
                <w:rFonts w:hint="eastAsia" w:ascii="Times New Roman"/>
                <w:szCs w:val="22"/>
                <w:lang w:val="en-US" w:eastAsia="zh-CN"/>
              </w:rPr>
              <w:t>废气</w:t>
            </w:r>
            <w:r>
              <w:rPr>
                <w:rFonts w:hint="eastAsia" w:ascii="Times New Roman"/>
                <w:szCs w:val="22"/>
              </w:rPr>
              <w:t>（非甲烷总烃）、加油</w:t>
            </w:r>
            <w:r>
              <w:rPr>
                <w:rFonts w:hint="eastAsia" w:ascii="Times New Roman"/>
                <w:szCs w:val="22"/>
                <w:lang w:val="en-US" w:eastAsia="zh-CN"/>
              </w:rPr>
              <w:t>挥发油气</w:t>
            </w:r>
            <w:r>
              <w:rPr>
                <w:rFonts w:hint="eastAsia" w:ascii="Times New Roman"/>
                <w:szCs w:val="22"/>
              </w:rPr>
              <w:t>（非甲烷总烃）</w:t>
            </w:r>
            <w:r>
              <w:rPr>
                <w:rFonts w:hint="eastAsia" w:ascii="Times New Roman"/>
                <w:szCs w:val="22"/>
                <w:lang w:eastAsia="zh-CN"/>
              </w:rPr>
              <w:t>、</w:t>
            </w:r>
            <w:r>
              <w:rPr>
                <w:rFonts w:hint="eastAsia" w:ascii="Times New Roman"/>
                <w:szCs w:val="22"/>
              </w:rPr>
              <w:t>汽车尾气</w:t>
            </w:r>
            <w:r>
              <w:rPr>
                <w:rFonts w:hint="eastAsia" w:ascii="Times New Roman"/>
                <w:szCs w:val="22"/>
                <w:lang w:eastAsia="zh-CN"/>
              </w:rPr>
              <w:t>（CO、NOx、THC）</w:t>
            </w:r>
            <w:r>
              <w:rPr>
                <w:rFonts w:hint="eastAsia"/>
                <w:bCs/>
                <w:sz w:val="24"/>
              </w:rPr>
              <w:t>。根据</w:t>
            </w:r>
            <w:r>
              <w:rPr>
                <w:rFonts w:hint="eastAsia"/>
                <w:bCs/>
                <w:sz w:val="24"/>
                <w:lang w:val="en-US" w:eastAsia="zh-CN"/>
              </w:rPr>
              <w:t>废气源强</w:t>
            </w:r>
            <w:r>
              <w:rPr>
                <w:rFonts w:hint="eastAsia"/>
                <w:bCs/>
                <w:sz w:val="24"/>
              </w:rPr>
              <w:t>核算</w:t>
            </w:r>
            <w:r>
              <w:rPr>
                <w:rFonts w:hint="eastAsia"/>
                <w:bCs/>
                <w:sz w:val="24"/>
                <w:lang w:val="en-US" w:eastAsia="zh-CN"/>
              </w:rPr>
              <w:t>可知</w:t>
            </w:r>
            <w:r>
              <w:rPr>
                <w:rFonts w:hint="eastAsia"/>
                <w:bCs/>
                <w:sz w:val="24"/>
              </w:rPr>
              <w:t>，项目</w:t>
            </w:r>
            <w:r>
              <w:rPr>
                <w:rFonts w:hint="eastAsia" w:ascii="Times New Roman"/>
                <w:szCs w:val="22"/>
              </w:rPr>
              <w:t>非甲烷总烃</w:t>
            </w:r>
            <w:r>
              <w:rPr>
                <w:rFonts w:hint="eastAsia"/>
                <w:bCs/>
                <w:sz w:val="24"/>
              </w:rPr>
              <w:t>排放量为</w:t>
            </w:r>
            <w:r>
              <w:rPr>
                <w:rFonts w:hint="eastAsia"/>
                <w:bCs/>
                <w:sz w:val="24"/>
                <w:lang w:val="en-US" w:eastAsia="zh-CN"/>
              </w:rPr>
              <w:t>4.320</w:t>
            </w:r>
            <w:r>
              <w:rPr>
                <w:rFonts w:hint="eastAsia"/>
                <w:bCs/>
                <w:sz w:val="24"/>
              </w:rPr>
              <w:t>t/a，即</w:t>
            </w:r>
            <w:r>
              <w:rPr>
                <w:rFonts w:hint="eastAsia"/>
                <w:bCs/>
                <w:sz w:val="24"/>
                <w:lang w:val="en-US" w:eastAsia="zh-CN"/>
              </w:rPr>
              <w:t>VOCs</w:t>
            </w:r>
            <w:r>
              <w:rPr>
                <w:rFonts w:hint="eastAsia"/>
                <w:bCs/>
                <w:sz w:val="24"/>
              </w:rPr>
              <w:t>控制总量为</w:t>
            </w:r>
            <w:r>
              <w:rPr>
                <w:rFonts w:hint="eastAsia"/>
                <w:bCs/>
                <w:sz w:val="24"/>
                <w:lang w:val="en-US" w:eastAsia="zh-CN"/>
              </w:rPr>
              <w:t>4.320</w:t>
            </w:r>
            <w:r>
              <w:rPr>
                <w:rFonts w:hint="eastAsia"/>
                <w:bCs/>
                <w:sz w:val="24"/>
              </w:rPr>
              <w:t>t/a。</w:t>
            </w:r>
          </w:p>
          <w:p w14:paraId="409D1260">
            <w:pPr>
              <w:tabs>
                <w:tab w:val="left" w:pos="2343"/>
              </w:tabs>
              <w:spacing w:line="360" w:lineRule="auto"/>
              <w:ind w:firstLine="480" w:firstLineChars="200"/>
              <w:rPr>
                <w:rFonts w:hint="eastAsia"/>
                <w:bCs/>
                <w:sz w:val="24"/>
              </w:rPr>
            </w:pPr>
            <w:r>
              <w:rPr>
                <w:rFonts w:hint="eastAsia"/>
                <w:bCs/>
                <w:sz w:val="24"/>
              </w:rPr>
              <w:t>综上</w:t>
            </w:r>
            <w:r>
              <w:rPr>
                <w:rFonts w:hint="eastAsia"/>
                <w:bCs/>
                <w:sz w:val="24"/>
                <w:lang w:val="en-US" w:eastAsia="zh-CN"/>
              </w:rPr>
              <w:t>所述</w:t>
            </w:r>
            <w:r>
              <w:rPr>
                <w:rFonts w:hint="eastAsia"/>
                <w:bCs/>
                <w:sz w:val="24"/>
              </w:rPr>
              <w:t>，本项目废气</w:t>
            </w:r>
            <w:r>
              <w:rPr>
                <w:rFonts w:hint="eastAsia"/>
                <w:bCs/>
                <w:sz w:val="24"/>
                <w:lang w:val="en-US" w:eastAsia="zh-CN"/>
              </w:rPr>
              <w:t>总量</w:t>
            </w:r>
            <w:r>
              <w:rPr>
                <w:rFonts w:hint="eastAsia"/>
                <w:bCs/>
                <w:sz w:val="24"/>
              </w:rPr>
              <w:t>控制指标为：</w:t>
            </w:r>
            <w:r>
              <w:rPr>
                <w:rFonts w:hint="eastAsia"/>
                <w:bCs/>
                <w:sz w:val="24"/>
                <w:lang w:val="en-US" w:eastAsia="zh-CN"/>
              </w:rPr>
              <w:t>VOCs</w:t>
            </w:r>
            <w:r>
              <w:rPr>
                <w:rFonts w:hint="eastAsia"/>
                <w:bCs/>
                <w:sz w:val="24"/>
              </w:rPr>
              <w:t xml:space="preserve"> </w:t>
            </w:r>
            <w:r>
              <w:rPr>
                <w:rFonts w:hint="eastAsia"/>
                <w:bCs/>
                <w:sz w:val="24"/>
                <w:lang w:val="en-US" w:eastAsia="zh-CN"/>
              </w:rPr>
              <w:t>4.320t</w:t>
            </w:r>
            <w:r>
              <w:rPr>
                <w:rFonts w:hint="eastAsia"/>
                <w:bCs/>
                <w:sz w:val="24"/>
              </w:rPr>
              <w:t>/a。</w:t>
            </w:r>
            <w:r>
              <w:rPr>
                <w:rFonts w:hint="eastAsia"/>
                <w:bCs/>
                <w:color w:val="FF0000"/>
                <w:sz w:val="24"/>
                <w:lang w:val="en-US" w:eastAsia="zh-CN"/>
              </w:rPr>
              <w:t>VOCs总量控制指标通过排污权交易方式获取。</w:t>
            </w:r>
          </w:p>
          <w:p w14:paraId="5911AE9F">
            <w:pPr>
              <w:tabs>
                <w:tab w:val="left" w:pos="2343"/>
              </w:tabs>
              <w:spacing w:line="360" w:lineRule="auto"/>
              <w:ind w:firstLine="480" w:firstLineChars="200"/>
              <w:rPr>
                <w:rFonts w:hint="eastAsia" w:ascii="Times New Roman" w:hAnsi="Times New Roman" w:eastAsia="宋体" w:cs="Times New Roman"/>
                <w:bCs/>
                <w:sz w:val="24"/>
              </w:rPr>
            </w:pPr>
          </w:p>
          <w:p w14:paraId="5CEB1D1D">
            <w:pPr>
              <w:tabs>
                <w:tab w:val="left" w:pos="2343"/>
              </w:tabs>
              <w:spacing w:line="360" w:lineRule="auto"/>
              <w:ind w:firstLine="480" w:firstLineChars="200"/>
              <w:rPr>
                <w:rFonts w:hint="eastAsia" w:ascii="Times New Roman" w:hAnsi="Times New Roman" w:eastAsia="宋体" w:cs="Times New Roman"/>
                <w:bCs/>
                <w:sz w:val="24"/>
              </w:rPr>
            </w:pPr>
          </w:p>
          <w:p w14:paraId="01F1B4DF">
            <w:pPr>
              <w:tabs>
                <w:tab w:val="left" w:pos="2343"/>
              </w:tabs>
              <w:spacing w:line="360" w:lineRule="auto"/>
              <w:ind w:firstLine="480" w:firstLineChars="200"/>
              <w:rPr>
                <w:rFonts w:hint="eastAsia" w:ascii="Times New Roman" w:hAnsi="Times New Roman" w:eastAsia="宋体" w:cs="Times New Roman"/>
                <w:bCs/>
                <w:sz w:val="24"/>
              </w:rPr>
            </w:pPr>
          </w:p>
          <w:p w14:paraId="6EBA8F1C">
            <w:pPr>
              <w:tabs>
                <w:tab w:val="left" w:pos="2343"/>
              </w:tabs>
              <w:spacing w:line="360" w:lineRule="auto"/>
              <w:ind w:firstLine="480" w:firstLineChars="200"/>
              <w:rPr>
                <w:rFonts w:hint="eastAsia" w:ascii="Times New Roman" w:hAnsi="Times New Roman" w:eastAsia="宋体" w:cs="Times New Roman"/>
                <w:bCs/>
                <w:sz w:val="24"/>
              </w:rPr>
            </w:pPr>
          </w:p>
          <w:p w14:paraId="16BF534A">
            <w:pPr>
              <w:tabs>
                <w:tab w:val="left" w:pos="2343"/>
              </w:tabs>
              <w:spacing w:line="360" w:lineRule="auto"/>
              <w:ind w:firstLine="480" w:firstLineChars="200"/>
              <w:rPr>
                <w:rFonts w:hint="eastAsia" w:ascii="Times New Roman" w:hAnsi="Times New Roman" w:eastAsia="宋体" w:cs="Times New Roman"/>
                <w:bCs/>
                <w:sz w:val="24"/>
              </w:rPr>
            </w:pPr>
          </w:p>
          <w:p w14:paraId="16AE67F6">
            <w:pPr>
              <w:tabs>
                <w:tab w:val="left" w:pos="2343"/>
              </w:tabs>
              <w:spacing w:line="360" w:lineRule="auto"/>
              <w:ind w:firstLine="480" w:firstLineChars="200"/>
              <w:rPr>
                <w:rFonts w:hint="eastAsia" w:ascii="Times New Roman" w:hAnsi="Times New Roman" w:eastAsia="宋体" w:cs="Times New Roman"/>
                <w:bCs/>
                <w:sz w:val="24"/>
              </w:rPr>
            </w:pPr>
          </w:p>
          <w:p w14:paraId="6583C4EC">
            <w:pPr>
              <w:tabs>
                <w:tab w:val="left" w:pos="2343"/>
              </w:tabs>
              <w:spacing w:line="360" w:lineRule="auto"/>
              <w:ind w:firstLine="480" w:firstLineChars="200"/>
              <w:rPr>
                <w:rFonts w:hint="eastAsia" w:ascii="Times New Roman" w:hAnsi="Times New Roman" w:eastAsia="宋体" w:cs="Times New Roman"/>
                <w:bCs/>
                <w:sz w:val="24"/>
              </w:rPr>
            </w:pPr>
          </w:p>
          <w:p w14:paraId="5A028DAE">
            <w:pPr>
              <w:tabs>
                <w:tab w:val="left" w:pos="2343"/>
              </w:tabs>
              <w:spacing w:line="360" w:lineRule="auto"/>
              <w:ind w:firstLine="480" w:firstLineChars="200"/>
              <w:rPr>
                <w:rFonts w:hint="eastAsia" w:ascii="Times New Roman" w:hAnsi="Times New Roman" w:eastAsia="宋体" w:cs="Times New Roman"/>
                <w:bCs/>
                <w:sz w:val="24"/>
              </w:rPr>
            </w:pPr>
          </w:p>
          <w:p w14:paraId="24C3D3BF">
            <w:pPr>
              <w:tabs>
                <w:tab w:val="left" w:pos="2343"/>
              </w:tabs>
              <w:spacing w:line="360" w:lineRule="auto"/>
              <w:ind w:firstLine="480" w:firstLineChars="200"/>
              <w:rPr>
                <w:rFonts w:hint="eastAsia" w:ascii="Times New Roman" w:hAnsi="Times New Roman" w:eastAsia="宋体" w:cs="Times New Roman"/>
                <w:bCs/>
                <w:sz w:val="24"/>
              </w:rPr>
            </w:pPr>
          </w:p>
          <w:p w14:paraId="10458436">
            <w:pPr>
              <w:tabs>
                <w:tab w:val="left" w:pos="2343"/>
              </w:tabs>
              <w:spacing w:line="360" w:lineRule="auto"/>
              <w:ind w:firstLine="480" w:firstLineChars="200"/>
              <w:rPr>
                <w:rFonts w:hint="eastAsia" w:ascii="Times New Roman" w:hAnsi="Times New Roman" w:eastAsia="宋体" w:cs="Times New Roman"/>
                <w:bCs/>
                <w:sz w:val="24"/>
              </w:rPr>
            </w:pPr>
          </w:p>
          <w:p w14:paraId="4853A279">
            <w:pPr>
              <w:tabs>
                <w:tab w:val="left" w:pos="2343"/>
              </w:tabs>
              <w:spacing w:line="360" w:lineRule="auto"/>
              <w:ind w:firstLine="480" w:firstLineChars="200"/>
              <w:rPr>
                <w:rFonts w:hint="eastAsia" w:ascii="Times New Roman" w:hAnsi="Times New Roman" w:eastAsia="宋体" w:cs="Times New Roman"/>
                <w:bCs/>
                <w:sz w:val="24"/>
              </w:rPr>
            </w:pPr>
          </w:p>
          <w:p w14:paraId="3FCB34FF">
            <w:pPr>
              <w:tabs>
                <w:tab w:val="left" w:pos="2343"/>
              </w:tabs>
              <w:spacing w:line="360" w:lineRule="auto"/>
              <w:ind w:firstLine="480" w:firstLineChars="200"/>
              <w:rPr>
                <w:rFonts w:hint="eastAsia" w:ascii="Times New Roman" w:hAnsi="Times New Roman" w:eastAsia="宋体" w:cs="Times New Roman"/>
                <w:bCs/>
                <w:sz w:val="24"/>
              </w:rPr>
            </w:pPr>
          </w:p>
          <w:p w14:paraId="66660FCE">
            <w:pPr>
              <w:tabs>
                <w:tab w:val="left" w:pos="2343"/>
              </w:tabs>
              <w:spacing w:line="360" w:lineRule="auto"/>
              <w:ind w:firstLine="480" w:firstLineChars="200"/>
              <w:rPr>
                <w:rFonts w:hint="eastAsia" w:ascii="Times New Roman" w:hAnsi="Times New Roman" w:eastAsia="宋体" w:cs="Times New Roman"/>
                <w:bCs/>
                <w:sz w:val="24"/>
              </w:rPr>
            </w:pPr>
          </w:p>
          <w:p w14:paraId="20BDCAC6">
            <w:pPr>
              <w:tabs>
                <w:tab w:val="left" w:pos="2343"/>
              </w:tabs>
              <w:spacing w:line="360" w:lineRule="auto"/>
              <w:ind w:firstLine="480" w:firstLineChars="200"/>
              <w:rPr>
                <w:rFonts w:hint="eastAsia" w:ascii="Times New Roman" w:hAnsi="Times New Roman" w:eastAsia="宋体" w:cs="Times New Roman"/>
                <w:bCs/>
                <w:sz w:val="24"/>
              </w:rPr>
            </w:pPr>
          </w:p>
          <w:p w14:paraId="21D8EAAE">
            <w:pPr>
              <w:tabs>
                <w:tab w:val="left" w:pos="2343"/>
              </w:tabs>
              <w:spacing w:line="360" w:lineRule="auto"/>
              <w:ind w:firstLine="480" w:firstLineChars="200"/>
              <w:rPr>
                <w:rFonts w:hint="eastAsia" w:ascii="Times New Roman" w:hAnsi="Times New Roman" w:eastAsia="宋体" w:cs="Times New Roman"/>
                <w:bCs/>
                <w:sz w:val="24"/>
              </w:rPr>
            </w:pPr>
          </w:p>
          <w:p w14:paraId="55BD1C2D">
            <w:pPr>
              <w:tabs>
                <w:tab w:val="left" w:pos="2343"/>
              </w:tabs>
              <w:spacing w:line="360" w:lineRule="auto"/>
              <w:ind w:firstLine="480" w:firstLineChars="200"/>
              <w:rPr>
                <w:rFonts w:hint="eastAsia" w:ascii="Times New Roman" w:hAnsi="Times New Roman" w:eastAsia="宋体" w:cs="Times New Roman"/>
                <w:bCs/>
                <w:sz w:val="24"/>
              </w:rPr>
            </w:pPr>
          </w:p>
          <w:p w14:paraId="496D6F26">
            <w:pPr>
              <w:tabs>
                <w:tab w:val="left" w:pos="2343"/>
              </w:tabs>
              <w:spacing w:line="360" w:lineRule="auto"/>
              <w:ind w:firstLine="480" w:firstLineChars="200"/>
              <w:rPr>
                <w:rFonts w:hint="eastAsia" w:ascii="Times New Roman" w:hAnsi="Times New Roman" w:eastAsia="宋体" w:cs="Times New Roman"/>
                <w:bCs/>
                <w:sz w:val="24"/>
              </w:rPr>
            </w:pPr>
          </w:p>
          <w:p w14:paraId="1FBB41EC">
            <w:pPr>
              <w:tabs>
                <w:tab w:val="left" w:pos="2343"/>
              </w:tabs>
              <w:spacing w:line="360" w:lineRule="auto"/>
              <w:ind w:firstLine="480" w:firstLineChars="200"/>
              <w:rPr>
                <w:rFonts w:hint="eastAsia" w:ascii="Times New Roman" w:hAnsi="Times New Roman" w:eastAsia="宋体" w:cs="Times New Roman"/>
                <w:bCs/>
                <w:sz w:val="24"/>
              </w:rPr>
            </w:pPr>
          </w:p>
          <w:p w14:paraId="53C223E8">
            <w:pPr>
              <w:tabs>
                <w:tab w:val="left" w:pos="2343"/>
              </w:tabs>
              <w:spacing w:line="360" w:lineRule="auto"/>
              <w:ind w:firstLine="480" w:firstLineChars="200"/>
              <w:rPr>
                <w:rFonts w:hint="eastAsia" w:ascii="Times New Roman" w:hAnsi="Times New Roman" w:eastAsia="宋体" w:cs="Times New Roman"/>
                <w:bCs/>
                <w:sz w:val="24"/>
              </w:rPr>
            </w:pPr>
          </w:p>
          <w:p w14:paraId="3015A5F7">
            <w:pPr>
              <w:tabs>
                <w:tab w:val="left" w:pos="2343"/>
              </w:tabs>
              <w:spacing w:line="360" w:lineRule="auto"/>
              <w:ind w:firstLine="480" w:firstLineChars="200"/>
              <w:rPr>
                <w:rFonts w:hint="eastAsia" w:ascii="Times New Roman" w:hAnsi="Times New Roman" w:eastAsia="宋体" w:cs="Times New Roman"/>
                <w:bCs/>
                <w:sz w:val="24"/>
              </w:rPr>
            </w:pPr>
          </w:p>
          <w:p w14:paraId="456D2A51">
            <w:pPr>
              <w:tabs>
                <w:tab w:val="left" w:pos="2343"/>
              </w:tabs>
              <w:spacing w:line="360" w:lineRule="auto"/>
              <w:ind w:firstLine="480" w:firstLineChars="200"/>
              <w:rPr>
                <w:rFonts w:hint="eastAsia" w:ascii="Times New Roman" w:hAnsi="Times New Roman" w:eastAsia="宋体" w:cs="Times New Roman"/>
                <w:bCs/>
                <w:sz w:val="24"/>
              </w:rPr>
            </w:pPr>
          </w:p>
          <w:p w14:paraId="72179C12">
            <w:pPr>
              <w:tabs>
                <w:tab w:val="left" w:pos="2343"/>
              </w:tabs>
              <w:spacing w:line="360" w:lineRule="auto"/>
              <w:ind w:firstLine="480" w:firstLineChars="200"/>
            </w:pPr>
          </w:p>
        </w:tc>
      </w:tr>
    </w:tbl>
    <w:p w14:paraId="26DE462B">
      <w:pPr>
        <w:wordWrap w:val="0"/>
        <w:spacing w:line="240" w:lineRule="auto"/>
        <w:ind w:firstLine="0" w:firstLineChars="0"/>
        <w:jc w:val="center"/>
        <w:rPr>
          <w:rFonts w:cs="宋体"/>
        </w:rPr>
      </w:pPr>
      <w:r>
        <w:br w:type="page"/>
      </w:r>
    </w:p>
    <w:p w14:paraId="0DB34EEC">
      <w:pPr>
        <w:pStyle w:val="22"/>
        <w:keepNext w:val="0"/>
        <w:keepLines w:val="0"/>
        <w:pageBreakBefore w:val="0"/>
        <w:widowControl/>
        <w:kinsoku/>
        <w:wordWrap w:val="0"/>
        <w:overflowPunct/>
        <w:topLinePunct w:val="0"/>
        <w:autoSpaceDE/>
        <w:autoSpaceDN/>
        <w:bidi w:val="0"/>
        <w:adjustRightInd/>
        <w:snapToGrid/>
        <w:spacing w:before="0" w:beforeAutospacing="0" w:after="0" w:afterAutospacing="0" w:line="240" w:lineRule="auto"/>
        <w:ind w:firstLine="0" w:firstLineChars="0"/>
        <w:jc w:val="center"/>
        <w:textAlignment w:val="auto"/>
        <w:outlineLvl w:val="0"/>
        <w:rPr>
          <w:rFonts w:ascii="黑体" w:hAnsi="黑体" w:eastAsia="黑体"/>
          <w:snapToGrid w:val="0"/>
          <w:color w:val="000000" w:themeColor="text1"/>
          <w:sz w:val="30"/>
          <w:szCs w:val="30"/>
          <w14:textFill>
            <w14:solidFill>
              <w14:schemeClr w14:val="tx1"/>
            </w14:solidFill>
          </w14:textFill>
        </w:rPr>
      </w:pPr>
      <w:bookmarkStart w:id="7" w:name="_Toc32066"/>
      <w:r>
        <w:rPr>
          <w:rFonts w:hint="eastAsia" w:ascii="黑体" w:hAnsi="黑体" w:eastAsia="黑体"/>
          <w:snapToGrid w:val="0"/>
          <w:color w:val="000000" w:themeColor="text1"/>
          <w:sz w:val="30"/>
          <w:szCs w:val="30"/>
          <w14:textFill>
            <w14:solidFill>
              <w14:schemeClr w14:val="tx1"/>
            </w14:solidFill>
          </w14:textFill>
        </w:rPr>
        <w:t>四、主要环境影响和保护措施</w:t>
      </w:r>
      <w:bookmarkEnd w:id="7"/>
    </w:p>
    <w:tbl>
      <w:tblPr>
        <w:tblStyle w:val="35"/>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2"/>
        <w:gridCol w:w="9430"/>
      </w:tblGrid>
      <w:tr w14:paraId="7F1945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54" w:type="dxa"/>
            <w:tcMar>
              <w:left w:w="28" w:type="dxa"/>
              <w:right w:w="28" w:type="dxa"/>
            </w:tcMar>
            <w:vAlign w:val="center"/>
          </w:tcPr>
          <w:p w14:paraId="0B4A2ECB">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pPr>
            <w:r>
              <w:rPr>
                <w:rFonts w:hint="eastAsia"/>
              </w:rPr>
              <w:t>施工期环境保护措施</w:t>
            </w:r>
          </w:p>
        </w:tc>
        <w:tc>
          <w:tcPr>
            <w:tcW w:w="9495" w:type="dxa"/>
            <w:vAlign w:val="center"/>
          </w:tcPr>
          <w:p w14:paraId="6B7FBD40">
            <w:pPr>
              <w:pStyle w:val="93"/>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1、</w:t>
            </w:r>
            <w:r>
              <w:rPr>
                <w:rFonts w:hint="default" w:ascii="Times New Roman" w:hAnsi="Times New Roman" w:eastAsia="宋体" w:cs="Times New Roman"/>
                <w:b/>
                <w:bCs/>
                <w:lang w:val="en-US" w:eastAsia="zh-CN"/>
              </w:rPr>
              <w:t>废气防治措施</w:t>
            </w:r>
          </w:p>
          <w:p w14:paraId="22D2F250">
            <w:pPr>
              <w:pStyle w:val="93"/>
              <w:ind w:firstLine="480"/>
              <w:rPr>
                <w:rFonts w:hint="default" w:ascii="Times New Roman" w:hAnsi="Times New Roman" w:eastAsia="宋体" w:cs="Times New Roman"/>
                <w:lang w:eastAsia="zh-CN"/>
              </w:rPr>
            </w:pPr>
            <w:r>
              <w:rPr>
                <w:rFonts w:hint="default" w:ascii="Times New Roman" w:hAnsi="Times New Roman" w:eastAsia="宋体" w:cs="Times New Roman"/>
                <w:lang w:eastAsia="zh-CN"/>
              </w:rPr>
              <w:t>为了减轻施工期废气对周边环境影响，本</w:t>
            </w:r>
            <w:r>
              <w:rPr>
                <w:rFonts w:hint="eastAsia" w:ascii="Times New Roman" w:hAnsi="Times New Roman" w:eastAsia="宋体" w:cs="Times New Roman"/>
                <w:lang w:val="en-US" w:eastAsia="zh-CN"/>
              </w:rPr>
              <w:t>次</w:t>
            </w:r>
            <w:r>
              <w:rPr>
                <w:rFonts w:hint="default" w:ascii="Times New Roman" w:hAnsi="Times New Roman" w:eastAsia="宋体" w:cs="Times New Roman"/>
                <w:lang w:eastAsia="zh-CN"/>
              </w:rPr>
              <w:t>评价提出以下防治措施：</w:t>
            </w:r>
          </w:p>
          <w:p w14:paraId="69AD7708">
            <w:pPr>
              <w:pStyle w:val="14"/>
              <w:spacing w:after="0" w:line="360" w:lineRule="auto"/>
              <w:ind w:left="0" w:leftChars="0"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lang w:val="en-US" w:eastAsia="zh-CN"/>
              </w:rPr>
              <w:t>）对运输粉状物料的车辆，加盖遮挡</w:t>
            </w:r>
            <w:r>
              <w:rPr>
                <w:rFonts w:hint="eastAsia" w:ascii="Times New Roman" w:hAnsi="Times New Roman" w:eastAsia="宋体" w:cs="Times New Roman"/>
                <w:color w:val="auto"/>
                <w:sz w:val="24"/>
                <w:lang w:val="en-US" w:eastAsia="zh-CN"/>
              </w:rPr>
              <w:t>物</w:t>
            </w:r>
            <w:r>
              <w:rPr>
                <w:rFonts w:hint="default" w:ascii="Times New Roman" w:hAnsi="Times New Roman" w:eastAsia="宋体" w:cs="Times New Roman"/>
                <w:color w:val="auto"/>
                <w:sz w:val="24"/>
                <w:lang w:val="en-US" w:eastAsia="zh-CN"/>
              </w:rPr>
              <w:t>或者采用密闭运输的方式，减少沿途漏撒粉尘对环境的影响；</w:t>
            </w:r>
          </w:p>
          <w:p w14:paraId="19127ACA">
            <w:pPr>
              <w:pStyle w:val="14"/>
              <w:spacing w:after="0" w:line="360" w:lineRule="auto"/>
              <w:ind w:left="0" w:leftChars="0"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lang w:val="en-US" w:eastAsia="zh-CN"/>
              </w:rPr>
              <w:t>）对施工场地进行适量的洒水，可大大减少扬尘量；</w:t>
            </w:r>
          </w:p>
          <w:p w14:paraId="20AEAC11">
            <w:pPr>
              <w:pStyle w:val="14"/>
              <w:spacing w:after="0" w:line="360" w:lineRule="auto"/>
              <w:ind w:left="0" w:leftChars="0"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lang w:val="en-US" w:eastAsia="zh-CN"/>
              </w:rPr>
              <w:t>）减少建筑物料的露天堆放，尤其是粉状物料的堆放，在物料堆放处加盖遮挡物，避免扬尘的影响；</w:t>
            </w:r>
          </w:p>
          <w:p w14:paraId="27BCB356">
            <w:pPr>
              <w:pStyle w:val="14"/>
              <w:spacing w:after="0" w:line="360" w:lineRule="auto"/>
              <w:ind w:left="0" w:leftChars="0"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4</w:t>
            </w:r>
            <w:r>
              <w:rPr>
                <w:rFonts w:hint="default" w:ascii="Times New Roman" w:hAnsi="Times New Roman" w:eastAsia="宋体" w:cs="Times New Roman"/>
                <w:color w:val="auto"/>
                <w:sz w:val="24"/>
                <w:lang w:val="en-US" w:eastAsia="zh-CN"/>
              </w:rPr>
              <w:t>）在施工现场四周应修</w:t>
            </w:r>
            <w:r>
              <w:rPr>
                <w:rFonts w:hint="eastAsia" w:ascii="Times New Roman" w:hAnsi="Times New Roman" w:eastAsia="宋体" w:cs="Times New Roman"/>
                <w:color w:val="auto"/>
                <w:sz w:val="24"/>
                <w:lang w:val="en-US" w:eastAsia="zh-CN"/>
              </w:rPr>
              <w:t>建</w:t>
            </w:r>
            <w:r>
              <w:rPr>
                <w:rFonts w:hint="default" w:ascii="Times New Roman" w:hAnsi="Times New Roman" w:eastAsia="宋体" w:cs="Times New Roman"/>
                <w:color w:val="auto"/>
                <w:sz w:val="24"/>
                <w:lang w:val="en-US" w:eastAsia="zh-CN"/>
              </w:rPr>
              <w:t>不低于2.5m高围挡、</w:t>
            </w:r>
            <w:r>
              <w:rPr>
                <w:rFonts w:hint="eastAsia" w:ascii="Times New Roman" w:hAnsi="Times New Roman" w:eastAsia="宋体" w:cs="Times New Roman"/>
                <w:color w:val="auto"/>
                <w:sz w:val="24"/>
                <w:lang w:val="en-US" w:eastAsia="zh-CN"/>
              </w:rPr>
              <w:t>围护</w:t>
            </w:r>
            <w:r>
              <w:rPr>
                <w:rFonts w:hint="default" w:ascii="Times New Roman" w:hAnsi="Times New Roman" w:eastAsia="宋体" w:cs="Times New Roman"/>
                <w:color w:val="auto"/>
                <w:sz w:val="24"/>
                <w:lang w:val="en-US" w:eastAsia="zh-CN"/>
              </w:rPr>
              <w:t>防护墙或安装遮挡设施，实行封闭式施工</w:t>
            </w:r>
            <w:r>
              <w:rPr>
                <w:rFonts w:hint="eastAsia" w:ascii="Times New Roman" w:hAnsi="Times New Roman" w:eastAsia="宋体" w:cs="Times New Roman"/>
                <w:color w:val="auto"/>
                <w:sz w:val="24"/>
                <w:lang w:val="en-US" w:eastAsia="zh-CN"/>
              </w:rPr>
              <w:t>；</w:t>
            </w:r>
          </w:p>
          <w:p w14:paraId="0FD218F6">
            <w:pPr>
              <w:pStyle w:val="93"/>
              <w:ind w:firstLine="48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5</w:t>
            </w:r>
            <w:r>
              <w:rPr>
                <w:rFonts w:hint="default" w:ascii="Times New Roman" w:hAnsi="Times New Roman" w:eastAsia="宋体" w:cs="Times New Roman"/>
                <w:color w:val="auto"/>
                <w:sz w:val="24"/>
                <w:lang w:val="en-US" w:eastAsia="zh-CN"/>
              </w:rPr>
              <w:t>）施工机械产生的尾气主要是石油燃烧的产物，主要成分为CO、NO</w:t>
            </w:r>
            <w:r>
              <w:rPr>
                <w:rFonts w:hint="eastAsia" w:ascii="Times New Roman" w:hAnsi="Times New Roman" w:eastAsia="宋体" w:cs="Times New Roman"/>
                <w:color w:val="auto"/>
                <w:sz w:val="24"/>
                <w:vertAlign w:val="subscript"/>
                <w:lang w:val="en-US" w:eastAsia="zh-CN"/>
              </w:rPr>
              <w:t>X</w:t>
            </w:r>
            <w:r>
              <w:rPr>
                <w:rFonts w:hint="default" w:ascii="Times New Roman" w:hAnsi="Times New Roman" w:eastAsia="宋体" w:cs="Times New Roman"/>
                <w:color w:val="auto"/>
                <w:sz w:val="24"/>
                <w:lang w:val="en-US" w:eastAsia="zh-CN"/>
              </w:rPr>
              <w:t>、</w:t>
            </w:r>
            <w:r>
              <w:rPr>
                <w:rFonts w:hint="eastAsia" w:cs="Times New Roman"/>
                <w:color w:val="auto"/>
                <w:sz w:val="24"/>
                <w:lang w:val="en-US" w:eastAsia="zh-CN"/>
              </w:rPr>
              <w:t>T</w:t>
            </w:r>
            <w:r>
              <w:rPr>
                <w:rFonts w:hint="default" w:ascii="Times New Roman" w:hAnsi="Times New Roman" w:eastAsia="宋体" w:cs="Times New Roman"/>
                <w:color w:val="auto"/>
                <w:sz w:val="24"/>
                <w:lang w:val="en-US" w:eastAsia="zh-CN"/>
              </w:rPr>
              <w:t>HC等，该类气体属于无组织排放，产生量和施工机械的先进程度和数量有很大关系，建议采用先进的环保设备</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优质柴油，通过空气的稀释扩散可大大降低对环境的影响</w:t>
            </w:r>
            <w:r>
              <w:rPr>
                <w:rFonts w:hint="eastAsia" w:ascii="Times New Roman" w:hAnsi="Times New Roman" w:eastAsia="宋体" w:cs="Times New Roman"/>
                <w:color w:val="auto"/>
                <w:sz w:val="24"/>
                <w:lang w:val="en-US" w:eastAsia="zh-CN"/>
              </w:rPr>
              <w:t>；</w:t>
            </w:r>
          </w:p>
          <w:p w14:paraId="4256203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（6）</w:t>
            </w:r>
            <w:r>
              <w:rPr>
                <w:rFonts w:hint="default" w:ascii="Times New Roman" w:hAnsi="Times New Roman" w:eastAsia="宋体" w:cs="Times New Roman"/>
                <w:color w:val="auto"/>
                <w:kern w:val="2"/>
                <w:sz w:val="24"/>
                <w:szCs w:val="24"/>
                <w:lang w:val="en-US" w:eastAsia="zh-CN" w:bidi="ar-SA"/>
              </w:rPr>
              <w:t>为有效抑制工地扬尘，应严格对标</w:t>
            </w:r>
            <w:r>
              <w:rPr>
                <w:rFonts w:hint="eastAsia" w:ascii="宋体" w:hAnsi="宋体" w:eastAsia="宋体" w:cs="宋体"/>
                <w:color w:val="auto"/>
                <w:kern w:val="2"/>
                <w:sz w:val="24"/>
                <w:szCs w:val="24"/>
                <w:lang w:val="en-US" w:eastAsia="zh-CN" w:bidi="ar-SA"/>
              </w:rPr>
              <w:t>“八个百分百”</w:t>
            </w:r>
            <w:r>
              <w:rPr>
                <w:rFonts w:hint="default" w:ascii="Times New Roman" w:hAnsi="Times New Roman" w:eastAsia="宋体" w:cs="Times New Roman"/>
                <w:color w:val="auto"/>
                <w:kern w:val="2"/>
                <w:sz w:val="24"/>
                <w:szCs w:val="24"/>
                <w:lang w:val="en-US" w:eastAsia="zh-CN" w:bidi="ar-SA"/>
              </w:rPr>
              <w:t>，即</w:t>
            </w:r>
            <w:r>
              <w:rPr>
                <w:rFonts w:hint="eastAsia" w:ascii="宋体" w:hAnsi="宋体" w:eastAsia="宋体" w:cs="宋体"/>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工地周边100%围挡、物料堆放100%覆盖、出入车辆100%冲洗、施工现场地面100%硬化、拆迁工地100%湿法作业、渣土车辆100%密闭运输、视频监控全覆盖以及新型扬尘监测设备</w:t>
            </w:r>
            <w:r>
              <w:rPr>
                <w:rFonts w:hint="eastAsia" w:ascii="宋体" w:hAnsi="宋体" w:eastAsia="宋体" w:cs="宋体"/>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，要求建筑工地绿色施工。</w:t>
            </w:r>
          </w:p>
          <w:p w14:paraId="62E70F4F">
            <w:pPr>
              <w:keepNext w:val="0"/>
              <w:keepLines w:val="0"/>
              <w:pageBreakBefore w:val="0"/>
              <w:widowControl w:val="0"/>
              <w:kinsoku/>
              <w:wordWrap/>
              <w:overflowPunct/>
              <w:topLinePunct w:val="0"/>
              <w:autoSpaceDE/>
              <w:autoSpaceDN/>
              <w:bidi w:val="0"/>
              <w:adjustRightInd/>
              <w:snapToGrid/>
              <w:spacing w:line="360" w:lineRule="auto"/>
              <w:textAlignment w:val="auto"/>
              <w:rPr>
                <w:b/>
                <w:bCs/>
                <w:sz w:val="24"/>
              </w:rPr>
            </w:pPr>
            <w:r>
              <w:rPr>
                <w:rFonts w:hint="eastAsia"/>
                <w:b/>
                <w:bCs/>
                <w:sz w:val="24"/>
                <w:lang w:val="en-US" w:eastAsia="zh-CN"/>
              </w:rPr>
              <w:t>2</w:t>
            </w:r>
            <w:r>
              <w:rPr>
                <w:rFonts w:hint="eastAsia"/>
                <w:b/>
                <w:bCs/>
                <w:sz w:val="24"/>
              </w:rPr>
              <w:t>、</w:t>
            </w:r>
            <w:r>
              <w:rPr>
                <w:b/>
                <w:bCs/>
                <w:sz w:val="24"/>
              </w:rPr>
              <w:t>废水防治措施</w:t>
            </w:r>
          </w:p>
          <w:p w14:paraId="25F19D07">
            <w:pPr>
              <w:pStyle w:val="93"/>
              <w:ind w:firstLine="480"/>
              <w:rPr>
                <w:rFonts w:hint="eastAsia"/>
                <w:lang w:eastAsia="zh-CN"/>
              </w:rPr>
            </w:pPr>
            <w:r>
              <w:rPr>
                <w:rFonts w:hint="eastAsia"/>
                <w:lang w:eastAsia="zh-CN"/>
              </w:rPr>
              <w:t>为了减轻施工期废水对周边环境的影响，本次评价提出以下防治措施：</w:t>
            </w:r>
          </w:p>
          <w:p w14:paraId="14199341">
            <w:pPr>
              <w:pStyle w:val="93"/>
              <w:ind w:firstLine="480"/>
              <w:rPr>
                <w:rFonts w:hint="eastAsia"/>
                <w:lang w:eastAsia="zh-CN"/>
              </w:rPr>
            </w:pP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lang w:val="en-US" w:eastAsia="zh-CN"/>
              </w:rPr>
              <w:t>）</w:t>
            </w:r>
            <w:r>
              <w:rPr>
                <w:rFonts w:hint="eastAsia"/>
                <w:lang w:eastAsia="zh-CN"/>
              </w:rPr>
              <w:t>施工废水防治措施</w:t>
            </w:r>
          </w:p>
          <w:p w14:paraId="55D8AA5B">
            <w:pPr>
              <w:pStyle w:val="93"/>
              <w:ind w:firstLine="480"/>
              <w:rPr>
                <w:rFonts w:hint="eastAsia"/>
                <w:lang w:eastAsia="zh-CN"/>
              </w:rPr>
            </w:pPr>
            <w:r>
              <w:rPr>
                <w:rFonts w:hint="eastAsia"/>
                <w:lang w:eastAsia="zh-CN"/>
              </w:rPr>
              <w:t>施工废水包括开挖、钻孔产生的泥浆水和各种施工机械设备运转的冷却及洗涤用水。前者含有大量的泥沙，后者则会有一定量的油污。同时在设备安装过程中，因调试、清洗设备，也会产生一定量的含油废水。该部分废水产生量不大，通过在施工现场建造集水池、沉砂池、排水沟等水处理构筑物，对废水按不同的性质分类收集后处理，清洗废水主要含泥沙，经沉砂池后用于场地洒水、路面清洗等，含油废水经临时隔油</w:t>
            </w:r>
            <w:r>
              <w:rPr>
                <w:rFonts w:hint="eastAsia"/>
                <w:lang w:val="en-US" w:eastAsia="zh-CN"/>
              </w:rPr>
              <w:t>池</w:t>
            </w:r>
            <w:r>
              <w:rPr>
                <w:rFonts w:hint="eastAsia"/>
                <w:lang w:eastAsia="zh-CN"/>
              </w:rPr>
              <w:t>沉淀后回用。</w:t>
            </w:r>
          </w:p>
          <w:p w14:paraId="32C21B32">
            <w:pPr>
              <w:pStyle w:val="93"/>
              <w:ind w:firstLine="480"/>
              <w:rPr>
                <w:rFonts w:hint="eastAsia"/>
                <w:color w:val="auto"/>
                <w:lang w:eastAsia="zh-CN"/>
              </w:rPr>
            </w:pP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lang w:val="en-US" w:eastAsia="zh-CN"/>
              </w:rPr>
              <w:t>）</w:t>
            </w:r>
            <w:r>
              <w:rPr>
                <w:rFonts w:hint="eastAsia"/>
                <w:color w:val="auto"/>
                <w:lang w:eastAsia="zh-CN"/>
              </w:rPr>
              <w:t>生活污水防治措施</w:t>
            </w:r>
          </w:p>
          <w:p w14:paraId="44787968">
            <w:pPr>
              <w:pStyle w:val="93"/>
              <w:ind w:firstLine="480"/>
              <w:rPr>
                <w:rFonts w:hint="default"/>
                <w:lang w:val="en-US"/>
              </w:rPr>
            </w:pPr>
            <w:r>
              <w:rPr>
                <w:rFonts w:hint="eastAsia"/>
                <w:color w:val="auto"/>
                <w:lang w:eastAsia="zh-CN"/>
              </w:rPr>
              <w:t>生活污水主要由于施工人员的生活活动造成，主要包括清洗废水和冲厕水。项目施工人员生活污水</w:t>
            </w:r>
            <w:r>
              <w:rPr>
                <w:rFonts w:hint="eastAsia"/>
                <w:color w:val="auto"/>
                <w:lang w:val="en-US" w:eastAsia="zh-CN"/>
              </w:rPr>
              <w:t>经临时</w:t>
            </w:r>
            <w:r>
              <w:rPr>
                <w:rFonts w:hint="eastAsia"/>
                <w:color w:val="auto"/>
                <w:lang w:val="en-GB" w:eastAsia="zh-CN"/>
              </w:rPr>
              <w:t>化粪池</w:t>
            </w:r>
            <w:r>
              <w:rPr>
                <w:rFonts w:hint="eastAsia"/>
                <w:color w:val="auto"/>
                <w:szCs w:val="21"/>
                <w:lang w:val="en-US" w:eastAsia="zh-CN"/>
              </w:rPr>
              <w:t>预处理红心村生活污水处理站接管标准，经污水管网排入红心村生活污水处理站进一步处理后，满足《城镇污水处理厂污染物排放标准》（GB18918-2002）及其修改单中一级B标准排放</w:t>
            </w:r>
            <w:r>
              <w:rPr>
                <w:rFonts w:hint="eastAsia" w:cs="Times New Roman"/>
                <w:color w:val="auto"/>
                <w:highlight w:val="none"/>
                <w:u w:val="none"/>
                <w:lang w:val="en-US" w:eastAsia="zh-CN"/>
              </w:rPr>
              <w:t>，最终排入赛城湖</w:t>
            </w:r>
            <w:r>
              <w:rPr>
                <w:rFonts w:hint="eastAsia"/>
                <w:color w:val="auto"/>
                <w:szCs w:val="21"/>
                <w:lang w:val="en-US" w:eastAsia="zh-CN"/>
              </w:rPr>
              <w:t>。</w:t>
            </w:r>
          </w:p>
          <w:p w14:paraId="78679DE3">
            <w:pPr>
              <w:spacing w:line="360" w:lineRule="auto"/>
              <w:rPr>
                <w:b/>
                <w:bCs/>
                <w:sz w:val="24"/>
              </w:rPr>
            </w:pPr>
            <w:r>
              <w:rPr>
                <w:rFonts w:hint="eastAsia"/>
                <w:b/>
                <w:bCs/>
                <w:sz w:val="24"/>
                <w:lang w:val="en-US" w:eastAsia="zh-CN"/>
              </w:rPr>
              <w:t>3</w:t>
            </w:r>
            <w:r>
              <w:rPr>
                <w:rFonts w:hint="eastAsia"/>
                <w:b/>
                <w:bCs/>
                <w:sz w:val="24"/>
              </w:rPr>
              <w:t>、</w:t>
            </w:r>
            <w:r>
              <w:rPr>
                <w:b/>
                <w:bCs/>
                <w:sz w:val="24"/>
              </w:rPr>
              <w:t>噪声防治措施</w:t>
            </w:r>
          </w:p>
          <w:p w14:paraId="11093F91">
            <w:pPr>
              <w:pStyle w:val="93"/>
              <w:ind w:firstLine="480"/>
              <w:rPr>
                <w:rFonts w:hint="default"/>
                <w:lang w:eastAsia="zh-CN"/>
              </w:rPr>
            </w:pPr>
            <w:r>
              <w:rPr>
                <w:rFonts w:hint="eastAsia"/>
                <w:lang w:eastAsia="zh-CN"/>
              </w:rPr>
              <w:t>为了减轻</w:t>
            </w:r>
            <w:r>
              <w:rPr>
                <w:rFonts w:hint="default"/>
                <w:lang w:eastAsia="zh-CN"/>
              </w:rPr>
              <w:t>施工期噪声对周边</w:t>
            </w:r>
            <w:r>
              <w:rPr>
                <w:rFonts w:hint="eastAsia"/>
                <w:lang w:eastAsia="zh-CN"/>
              </w:rPr>
              <w:t>环境的</w:t>
            </w:r>
            <w:r>
              <w:rPr>
                <w:rFonts w:hint="default"/>
                <w:lang w:val="en-US" w:eastAsia="zh-CN"/>
              </w:rPr>
              <w:t>影响，</w:t>
            </w:r>
            <w:r>
              <w:rPr>
                <w:rFonts w:hint="eastAsia"/>
                <w:lang w:val="en-US" w:eastAsia="zh-CN"/>
              </w:rPr>
              <w:t>本次评价</w:t>
            </w:r>
            <w:r>
              <w:rPr>
                <w:rFonts w:hint="default"/>
                <w:lang w:val="en-US" w:eastAsia="zh-CN"/>
              </w:rPr>
              <w:t>提出以下防治措施：</w:t>
            </w:r>
          </w:p>
          <w:p w14:paraId="5A488AF2">
            <w:pPr>
              <w:pStyle w:val="93"/>
              <w:ind w:firstLine="480"/>
              <w:rPr>
                <w:rFonts w:hint="default"/>
                <w:lang w:eastAsia="zh-CN"/>
              </w:rPr>
            </w:pPr>
            <w:r>
              <w:rPr>
                <w:rFonts w:hint="default"/>
                <w:lang w:eastAsia="zh-CN"/>
              </w:rPr>
              <w:t>（</w:t>
            </w:r>
            <w:r>
              <w:rPr>
                <w:rFonts w:hint="default"/>
                <w:lang w:val="en-US" w:eastAsia="zh-CN"/>
              </w:rPr>
              <w:t>1</w:t>
            </w:r>
            <w:r>
              <w:rPr>
                <w:rFonts w:hint="default"/>
                <w:lang w:eastAsia="zh-CN"/>
              </w:rPr>
              <w:t>）合理安排施工期，减少施工噪声影响时间，禁止午休时间（12点至14点）及夜间（晚</w:t>
            </w:r>
            <w:r>
              <w:rPr>
                <w:rFonts w:hint="default"/>
                <w:lang w:val="en-US" w:eastAsia="zh-CN"/>
              </w:rPr>
              <w:t>8</w:t>
            </w:r>
            <w:r>
              <w:rPr>
                <w:rFonts w:hint="default"/>
                <w:lang w:eastAsia="zh-CN"/>
              </w:rPr>
              <w:t>点至次日早</w:t>
            </w:r>
            <w:r>
              <w:rPr>
                <w:rFonts w:hint="default"/>
                <w:lang w:val="en-US" w:eastAsia="zh-CN"/>
              </w:rPr>
              <w:t>8</w:t>
            </w:r>
            <w:r>
              <w:rPr>
                <w:rFonts w:hint="default"/>
                <w:lang w:eastAsia="zh-CN"/>
              </w:rPr>
              <w:t>点）施工</w:t>
            </w:r>
            <w:r>
              <w:rPr>
                <w:rFonts w:hint="eastAsia"/>
                <w:lang w:eastAsia="zh-CN"/>
              </w:rPr>
              <w:t>；</w:t>
            </w:r>
          </w:p>
          <w:p w14:paraId="0ED14200">
            <w:pPr>
              <w:pStyle w:val="93"/>
              <w:ind w:firstLine="480"/>
              <w:rPr>
                <w:rFonts w:hint="default"/>
                <w:lang w:eastAsia="zh-CN"/>
              </w:rPr>
            </w:pPr>
            <w:r>
              <w:rPr>
                <w:rFonts w:hint="default"/>
                <w:lang w:eastAsia="zh-CN"/>
              </w:rPr>
              <w:t>（</w:t>
            </w:r>
            <w:r>
              <w:rPr>
                <w:rFonts w:hint="default"/>
                <w:lang w:val="en-US" w:eastAsia="zh-CN"/>
              </w:rPr>
              <w:t>2</w:t>
            </w:r>
            <w:r>
              <w:rPr>
                <w:rFonts w:hint="default"/>
                <w:lang w:eastAsia="zh-CN"/>
              </w:rPr>
              <w:t>）选用低噪声的施工机械及施工工艺，从根本上降低源强。经调查分析，选低噪型运载车在行驶过程中的噪声声级比同类水平</w:t>
            </w:r>
            <w:r>
              <w:rPr>
                <w:rFonts w:hint="eastAsia"/>
                <w:lang w:eastAsia="zh-CN"/>
              </w:rPr>
              <w:t>其他</w:t>
            </w:r>
            <w:r>
              <w:rPr>
                <w:rFonts w:hint="default"/>
                <w:lang w:eastAsia="zh-CN"/>
              </w:rPr>
              <w:t>车辆降低10</w:t>
            </w:r>
            <w:r>
              <w:rPr>
                <w:rFonts w:hint="eastAsia" w:ascii="Times New Roman" w:hAnsi="Times New Roman" w:cs="Times New Roman"/>
                <w:lang w:val="en-US" w:eastAsia="zh-CN"/>
              </w:rPr>
              <w:t>~</w:t>
            </w:r>
            <w:r>
              <w:rPr>
                <w:rFonts w:hint="default"/>
                <w:lang w:eastAsia="zh-CN"/>
              </w:rPr>
              <w:t>15dB（A），不同型号混凝土搅拌机声级可相差5dB（A）。同时要加强检查、维护和保养机械设备，保持润滑，紧固各部件，减少运行</w:t>
            </w:r>
            <w:r>
              <w:rPr>
                <w:rFonts w:hint="eastAsia"/>
                <w:lang w:eastAsia="zh-CN"/>
              </w:rPr>
              <w:t>振</w:t>
            </w:r>
            <w:r>
              <w:rPr>
                <w:rFonts w:hint="default"/>
                <w:lang w:eastAsia="zh-CN"/>
              </w:rPr>
              <w:t>动噪声。整体设备应安放稳固，并与地面保持良好接触，有条件的应使用减振机座，降低噪声</w:t>
            </w:r>
            <w:r>
              <w:rPr>
                <w:rFonts w:hint="eastAsia"/>
                <w:lang w:eastAsia="zh-CN"/>
              </w:rPr>
              <w:t>；</w:t>
            </w:r>
          </w:p>
          <w:p w14:paraId="0251DDD4">
            <w:pPr>
              <w:pStyle w:val="93"/>
              <w:ind w:firstLine="480"/>
              <w:rPr>
                <w:rFonts w:hint="default"/>
                <w:lang w:eastAsia="zh-CN"/>
              </w:rPr>
            </w:pPr>
            <w:r>
              <w:rPr>
                <w:rFonts w:hint="default"/>
                <w:lang w:eastAsia="zh-CN"/>
              </w:rPr>
              <w:t>（</w:t>
            </w:r>
            <w:r>
              <w:rPr>
                <w:rFonts w:hint="eastAsia"/>
                <w:lang w:val="en-US" w:eastAsia="zh-CN"/>
              </w:rPr>
              <w:t>3</w:t>
            </w:r>
            <w:r>
              <w:rPr>
                <w:rFonts w:hint="default"/>
                <w:lang w:eastAsia="zh-CN"/>
              </w:rPr>
              <w:t>）引进施工设备时将设备噪声作为一项重要的选取指标，尽量选用带有隔声、消声装置的设备，并加强对施工设备的保养，严格操作规范</w:t>
            </w:r>
            <w:r>
              <w:rPr>
                <w:rFonts w:hint="eastAsia"/>
                <w:lang w:eastAsia="zh-CN"/>
              </w:rPr>
              <w:t>；</w:t>
            </w:r>
          </w:p>
          <w:p w14:paraId="5DA0F5BF">
            <w:pPr>
              <w:pStyle w:val="93"/>
              <w:ind w:firstLine="480"/>
            </w:pPr>
            <w:r>
              <w:rPr>
                <w:rFonts w:hint="default"/>
                <w:lang w:eastAsia="zh-CN"/>
              </w:rPr>
              <w:t>（</w:t>
            </w:r>
            <w:r>
              <w:rPr>
                <w:rFonts w:hint="eastAsia"/>
                <w:lang w:val="en-US" w:eastAsia="zh-CN"/>
              </w:rPr>
              <w:t>4</w:t>
            </w:r>
            <w:r>
              <w:rPr>
                <w:rFonts w:hint="default"/>
                <w:lang w:eastAsia="zh-CN"/>
              </w:rPr>
              <w:t>）制定合理的运输线路，车辆运输应尽量避开居民区。</w:t>
            </w:r>
          </w:p>
          <w:p w14:paraId="7F67DF4A">
            <w:pPr>
              <w:keepNext w:val="0"/>
              <w:keepLines w:val="0"/>
              <w:pageBreakBefore w:val="0"/>
              <w:widowControl w:val="0"/>
              <w:kinsoku/>
              <w:wordWrap/>
              <w:overflowPunct/>
              <w:topLinePunct w:val="0"/>
              <w:autoSpaceDE/>
              <w:autoSpaceDN/>
              <w:bidi w:val="0"/>
              <w:adjustRightInd/>
              <w:snapToGrid/>
              <w:spacing w:line="360" w:lineRule="auto"/>
              <w:textAlignment w:val="auto"/>
              <w:rPr>
                <w:b/>
                <w:bCs/>
                <w:sz w:val="24"/>
              </w:rPr>
            </w:pPr>
            <w:r>
              <w:rPr>
                <w:rFonts w:hint="eastAsia"/>
                <w:b/>
                <w:bCs/>
                <w:sz w:val="24"/>
                <w:lang w:val="en-US" w:eastAsia="zh-CN"/>
              </w:rPr>
              <w:t>4</w:t>
            </w:r>
            <w:r>
              <w:rPr>
                <w:rFonts w:hint="eastAsia"/>
                <w:b/>
                <w:bCs/>
                <w:sz w:val="24"/>
              </w:rPr>
              <w:t>、</w:t>
            </w:r>
            <w:r>
              <w:rPr>
                <w:b/>
                <w:bCs/>
                <w:sz w:val="24"/>
              </w:rPr>
              <w:t>固体废物防治措施</w:t>
            </w:r>
          </w:p>
          <w:p w14:paraId="2E586C94">
            <w:pPr>
              <w:pStyle w:val="14"/>
              <w:spacing w:after="0" w:line="360" w:lineRule="auto"/>
              <w:ind w:left="0" w:leftChars="0"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eastAsia="zh-CN"/>
              </w:rPr>
              <w:t>为了减轻</w:t>
            </w:r>
            <w:r>
              <w:rPr>
                <w:rFonts w:hint="default" w:ascii="Times New Roman" w:hAnsi="Times New Roman" w:eastAsia="宋体" w:cs="Times New Roman"/>
                <w:color w:val="auto"/>
                <w:sz w:val="24"/>
                <w:lang w:eastAsia="zh-CN"/>
              </w:rPr>
              <w:t>施工期</w:t>
            </w:r>
            <w:r>
              <w:rPr>
                <w:rFonts w:hint="eastAsia" w:ascii="Times New Roman" w:hAnsi="Times New Roman" w:eastAsia="宋体" w:cs="Times New Roman"/>
                <w:color w:val="auto"/>
                <w:sz w:val="24"/>
                <w:lang w:eastAsia="zh-CN"/>
              </w:rPr>
              <w:t>固废</w:t>
            </w:r>
            <w:r>
              <w:rPr>
                <w:rFonts w:hint="default" w:ascii="Times New Roman" w:hAnsi="Times New Roman" w:eastAsia="宋体" w:cs="Times New Roman"/>
                <w:color w:val="auto"/>
                <w:sz w:val="24"/>
                <w:lang w:eastAsia="zh-CN"/>
              </w:rPr>
              <w:t>对周边</w:t>
            </w:r>
            <w:r>
              <w:rPr>
                <w:rFonts w:hint="eastAsia" w:ascii="Times New Roman" w:hAnsi="Times New Roman" w:eastAsia="宋体" w:cs="Times New Roman"/>
                <w:color w:val="auto"/>
                <w:sz w:val="24"/>
                <w:lang w:eastAsia="zh-CN"/>
              </w:rPr>
              <w:t>环境的</w:t>
            </w:r>
            <w:r>
              <w:rPr>
                <w:rFonts w:hint="default" w:ascii="Times New Roman" w:hAnsi="Times New Roman" w:eastAsia="宋体" w:cs="Times New Roman"/>
                <w:color w:val="auto"/>
                <w:sz w:val="24"/>
                <w:lang w:val="en-US" w:eastAsia="zh-CN"/>
              </w:rPr>
              <w:t>影响</w:t>
            </w:r>
            <w:r>
              <w:rPr>
                <w:rFonts w:hint="eastAsia"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eastAsia="zh-CN"/>
              </w:rPr>
              <w:t>本次评价</w:t>
            </w:r>
            <w:r>
              <w:rPr>
                <w:rFonts w:hint="default" w:ascii="Times New Roman" w:hAnsi="Times New Roman" w:eastAsia="宋体" w:cs="Times New Roman"/>
                <w:color w:val="auto"/>
                <w:sz w:val="24"/>
                <w:lang w:eastAsia="zh-CN"/>
              </w:rPr>
              <w:t>提出以下防治措施：</w:t>
            </w:r>
          </w:p>
          <w:p w14:paraId="73ADD400">
            <w:pPr>
              <w:pStyle w:val="14"/>
              <w:spacing w:after="0" w:line="360" w:lineRule="auto"/>
              <w:ind w:left="0" w:leftChars="0" w:firstLine="480" w:firstLineChars="20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lang w:eastAsia="zh-CN"/>
              </w:rPr>
              <w:t>）建筑垃圾可用于厂区道路修整及平整场地，剩余部分不得与生活垃圾混装混运，应统一收集，交由市政渣土部门处理</w:t>
            </w:r>
            <w:r>
              <w:rPr>
                <w:rFonts w:hint="eastAsia" w:cs="Times New Roman"/>
                <w:color w:val="auto"/>
                <w:sz w:val="24"/>
                <w:lang w:eastAsia="zh-CN"/>
              </w:rPr>
              <w:t>；</w:t>
            </w:r>
          </w:p>
          <w:p w14:paraId="0AB26279">
            <w:pPr>
              <w:ind w:firstLine="48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eastAsia="zh-CN"/>
              </w:rPr>
              <w:t>施工人员</w:t>
            </w:r>
            <w:r>
              <w:rPr>
                <w:rFonts w:hint="default" w:ascii="Times New Roman" w:hAnsi="Times New Roman" w:eastAsia="宋体" w:cs="Times New Roman"/>
                <w:color w:val="auto"/>
                <w:sz w:val="24"/>
                <w:lang w:eastAsia="zh-CN"/>
              </w:rPr>
              <w:t>生活垃圾禁止随意堆弃，统一收集后，由环卫部门运至垃圾</w:t>
            </w:r>
            <w:r>
              <w:rPr>
                <w:rFonts w:hint="eastAsia" w:ascii="Times New Roman" w:hAnsi="Times New Roman" w:eastAsia="宋体" w:cs="Times New Roman"/>
                <w:color w:val="auto"/>
                <w:sz w:val="24"/>
                <w:lang w:eastAsia="zh-CN"/>
              </w:rPr>
              <w:t>填埋场</w:t>
            </w:r>
            <w:r>
              <w:rPr>
                <w:rFonts w:hint="default" w:ascii="Times New Roman" w:hAnsi="Times New Roman" w:eastAsia="宋体" w:cs="Times New Roman"/>
                <w:color w:val="auto"/>
                <w:sz w:val="24"/>
                <w:lang w:eastAsia="zh-CN"/>
              </w:rPr>
              <w:t>卫生填埋无害化处理，做到日产日清。</w:t>
            </w:r>
          </w:p>
          <w:p w14:paraId="3878EB1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bCs/>
                <w:color w:val="00B050"/>
                <w:sz w:val="24"/>
                <w:lang w:val="en-US" w:eastAsia="zh-CN"/>
              </w:rPr>
            </w:pPr>
            <w:r>
              <w:rPr>
                <w:rFonts w:hint="eastAsia" w:ascii="Times New Roman" w:hAnsi="Times New Roman" w:eastAsia="宋体" w:cs="Times New Roman"/>
                <w:b/>
                <w:bCs/>
                <w:color w:val="00B050"/>
                <w:sz w:val="24"/>
                <w:lang w:val="en-US" w:eastAsia="zh-CN"/>
              </w:rPr>
              <w:t>5、生态环境影响分析</w:t>
            </w:r>
          </w:p>
          <w:p w14:paraId="5FAA5FDD">
            <w:pPr>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eastAsia="宋体" w:cs="Times New Roman"/>
                <w:color w:val="00B050"/>
                <w:sz w:val="24"/>
                <w:lang w:val="en-US" w:eastAsia="zh-CN"/>
              </w:rPr>
            </w:pPr>
            <w:r>
              <w:rPr>
                <w:rFonts w:hint="eastAsia" w:ascii="Times New Roman" w:hAnsi="Times New Roman" w:eastAsia="宋体" w:cs="Times New Roman"/>
                <w:color w:val="00B050"/>
                <w:sz w:val="24"/>
                <w:lang w:val="en-US" w:eastAsia="zh-CN"/>
              </w:rPr>
              <w:t>本</w:t>
            </w:r>
            <w:r>
              <w:rPr>
                <w:rFonts w:hint="default" w:ascii="Times New Roman" w:hAnsi="Times New Roman" w:eastAsia="宋体" w:cs="Times New Roman"/>
                <w:color w:val="00B050"/>
                <w:sz w:val="24"/>
                <w:lang w:val="en-US" w:eastAsia="zh-CN"/>
              </w:rPr>
              <w:t>项目建设过程中对水土保持有一定的影响。施工过程中涉及到的填挖方及临时堆土等工程活动，都会影响地下水流形态，土壤也会被混凝土取代，并对该项目涉及范围内的水土保护产生不利影响。但由于该项目工程量不大，上述活动造成的影响不会很明显。在施工过程中应尽可能减少施工用地，开挖或堆土过后场地要恢复绿色植被，场地平整尽可能用原土回填。</w:t>
            </w:r>
          </w:p>
          <w:p w14:paraId="6AFE2302">
            <w:pPr>
              <w:keepNext w:val="0"/>
              <w:keepLines w:val="0"/>
              <w:pageBreakBefore w:val="0"/>
              <w:widowControl w:val="0"/>
              <w:kinsoku/>
              <w:wordWrap/>
              <w:overflowPunct/>
              <w:topLinePunct w:val="0"/>
              <w:autoSpaceDE/>
              <w:autoSpaceDN/>
              <w:bidi w:val="0"/>
              <w:adjustRightInd/>
              <w:snapToGrid/>
              <w:ind w:firstLine="480"/>
              <w:textAlignment w:val="auto"/>
              <w:rPr>
                <w:rFonts w:hint="default"/>
                <w:lang w:val="en-US"/>
              </w:rPr>
            </w:pPr>
            <w:r>
              <w:rPr>
                <w:rFonts w:hint="default" w:ascii="Times New Roman" w:hAnsi="Times New Roman" w:eastAsia="宋体" w:cs="Times New Roman"/>
                <w:color w:val="00B050"/>
                <w:sz w:val="24"/>
                <w:lang w:val="en-US" w:eastAsia="zh-CN"/>
              </w:rPr>
              <w:t>总的来说，项目建设对涉及区域内的生态环境及土地利用形式将会产生一定的影响。因此在施工过程中，一定要按生态规律要求，协调处理好项目建设和生态环境保护之间的关系。</w:t>
            </w:r>
          </w:p>
        </w:tc>
      </w:tr>
      <w:tr w14:paraId="0AD1BD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54" w:type="dxa"/>
            <w:tcMar>
              <w:left w:w="28" w:type="dxa"/>
              <w:right w:w="28" w:type="dxa"/>
            </w:tcMar>
            <w:vAlign w:val="center"/>
          </w:tcPr>
          <w:p w14:paraId="7C148EF3">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ascii="宋体" w:hAnsi="宋体"/>
                <w:bCs/>
              </w:rPr>
            </w:pPr>
            <w:r>
              <w:rPr>
                <w:rFonts w:hint="eastAsia" w:ascii="宋体" w:hAnsi="宋体"/>
                <w:bCs/>
              </w:rPr>
              <w:t>运营期环境影响和保护措施</w:t>
            </w:r>
          </w:p>
        </w:tc>
        <w:tc>
          <w:tcPr>
            <w:tcW w:w="9495" w:type="dxa"/>
            <w:vAlign w:val="center"/>
          </w:tcPr>
          <w:p w14:paraId="61362A5B">
            <w:pPr>
              <w:pStyle w:val="54"/>
              <w:keepNext w:val="0"/>
              <w:keepLines w:val="0"/>
              <w:pageBreakBefore w:val="0"/>
              <w:widowControl w:val="0"/>
              <w:numPr>
                <w:ilvl w:val="0"/>
                <w:numId w:val="0"/>
              </w:numPr>
              <w:kinsoku/>
              <w:wordWrap/>
              <w:overflowPunct/>
              <w:topLinePunct w:val="0"/>
              <w:autoSpaceDE/>
              <w:autoSpaceDN/>
              <w:bidi w:val="0"/>
              <w:adjustRightInd/>
              <w:snapToGrid/>
              <w:ind w:leftChars="0" w:firstLine="482" w:firstLineChars="200"/>
              <w:textAlignment w:val="auto"/>
              <w:rPr>
                <w:b/>
              </w:rPr>
            </w:pPr>
            <w:r>
              <w:rPr>
                <w:rFonts w:hint="eastAsia"/>
                <w:b/>
                <w:lang w:val="en-US" w:eastAsia="zh-CN"/>
              </w:rPr>
              <w:t>1、</w:t>
            </w:r>
            <w:r>
              <w:rPr>
                <w:b/>
              </w:rPr>
              <w:t>废气</w:t>
            </w:r>
          </w:p>
          <w:p w14:paraId="1D6200E1">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cs="Times New Roman"/>
              </w:rPr>
            </w:pPr>
            <w:r>
              <w:rPr>
                <w:b/>
                <w:bCs/>
                <w:sz w:val="24"/>
              </w:rPr>
              <w:t>（1）源强核算</w:t>
            </w:r>
          </w:p>
          <w:p w14:paraId="76761FEA">
            <w:pPr>
              <w:pStyle w:val="2"/>
              <w:keepNext w:val="0"/>
              <w:keepLines w:val="0"/>
              <w:pageBreakBefore w:val="0"/>
              <w:widowControl w:val="0"/>
              <w:kinsoku/>
              <w:wordWrap/>
              <w:overflowPunct/>
              <w:topLinePunct w:val="0"/>
              <w:autoSpaceDE w:val="0"/>
              <w:autoSpaceDN w:val="0"/>
              <w:bidi w:val="0"/>
              <w:adjustRightInd/>
              <w:snapToGrid/>
              <w:spacing w:before="0" w:after="0" w:line="360" w:lineRule="auto"/>
              <w:ind w:firstLine="480" w:firstLineChars="200"/>
              <w:textAlignment w:val="auto"/>
              <w:rPr>
                <w:rFonts w:hint="eastAsia" w:ascii="Times New Roman" w:hAnsi="Times New Roman" w:cs="Times New Roman"/>
              </w:rPr>
            </w:pPr>
            <w:r>
              <w:rPr>
                <w:rFonts w:hint="eastAsia" w:ascii="Times New Roman" w:hAnsi="Times New Roman" w:cs="Times New Roman"/>
                <w:lang w:val="en-US" w:eastAsia="zh-CN"/>
              </w:rPr>
              <w:t>本</w:t>
            </w:r>
            <w:r>
              <w:rPr>
                <w:rFonts w:hint="eastAsia" w:ascii="Times New Roman" w:hAnsi="Times New Roman" w:cs="Times New Roman"/>
              </w:rPr>
              <w:t>项目运营期废气主要</w:t>
            </w:r>
            <w:r>
              <w:rPr>
                <w:rFonts w:hint="eastAsia" w:ascii="Times New Roman"/>
                <w:szCs w:val="22"/>
              </w:rPr>
              <w:t>为储</w:t>
            </w:r>
            <w:r>
              <w:rPr>
                <w:rFonts w:hint="eastAsia" w:ascii="Times New Roman"/>
                <w:szCs w:val="22"/>
                <w:lang w:val="en-US" w:eastAsia="zh-CN"/>
              </w:rPr>
              <w:t>油</w:t>
            </w:r>
            <w:r>
              <w:rPr>
                <w:rFonts w:hint="eastAsia" w:ascii="Times New Roman"/>
                <w:szCs w:val="22"/>
              </w:rPr>
              <w:t>罐大小呼吸</w:t>
            </w:r>
            <w:r>
              <w:rPr>
                <w:rFonts w:hint="eastAsia" w:ascii="Times New Roman"/>
                <w:szCs w:val="22"/>
                <w:lang w:val="en-US" w:eastAsia="zh-CN"/>
              </w:rPr>
              <w:t>废气</w:t>
            </w:r>
            <w:r>
              <w:rPr>
                <w:rFonts w:hint="eastAsia" w:ascii="Times New Roman"/>
                <w:szCs w:val="22"/>
              </w:rPr>
              <w:t>（非甲烷总烃）、加油</w:t>
            </w:r>
            <w:r>
              <w:rPr>
                <w:rFonts w:hint="eastAsia" w:ascii="Times New Roman"/>
                <w:szCs w:val="22"/>
                <w:lang w:val="en-US" w:eastAsia="zh-CN"/>
              </w:rPr>
              <w:t>挥发油气</w:t>
            </w:r>
            <w:r>
              <w:rPr>
                <w:rFonts w:hint="eastAsia" w:ascii="Times New Roman"/>
                <w:szCs w:val="22"/>
              </w:rPr>
              <w:t>（非甲烷总烃）</w:t>
            </w:r>
            <w:r>
              <w:rPr>
                <w:rFonts w:hint="eastAsia" w:ascii="Times New Roman"/>
                <w:szCs w:val="22"/>
                <w:lang w:eastAsia="zh-CN"/>
              </w:rPr>
              <w:t>、</w:t>
            </w:r>
            <w:r>
              <w:rPr>
                <w:rFonts w:hint="eastAsia" w:ascii="Times New Roman"/>
                <w:szCs w:val="22"/>
              </w:rPr>
              <w:t>汽车尾气</w:t>
            </w:r>
            <w:r>
              <w:rPr>
                <w:rFonts w:hint="eastAsia" w:ascii="Times New Roman"/>
                <w:szCs w:val="22"/>
                <w:lang w:eastAsia="zh-CN"/>
              </w:rPr>
              <w:t>（CO、NOx、THC）</w:t>
            </w:r>
            <w:r>
              <w:rPr>
                <w:rFonts w:hint="eastAsia" w:ascii="Times New Roman" w:hAnsi="Times New Roman" w:cs="Times New Roman"/>
              </w:rPr>
              <w:t>。</w:t>
            </w:r>
          </w:p>
          <w:p w14:paraId="3C28B389">
            <w:pPr>
              <w:rPr>
                <w:rFonts w:hint="eastAsia" w:eastAsia="宋体"/>
                <w:lang w:val="en-US" w:eastAsia="zh-CN"/>
              </w:rPr>
            </w:pPr>
            <w:r>
              <w:rPr>
                <w:rFonts w:hint="eastAsia" w:cs="Times New Roman"/>
                <w:lang w:val="en-US" w:eastAsia="zh-CN"/>
              </w:rPr>
              <w:t>1）</w:t>
            </w:r>
            <w:r>
              <w:rPr>
                <w:rFonts w:hint="eastAsia" w:ascii="Times New Roman"/>
                <w:szCs w:val="22"/>
              </w:rPr>
              <w:t>储</w:t>
            </w:r>
            <w:r>
              <w:rPr>
                <w:rFonts w:hint="eastAsia" w:ascii="Times New Roman"/>
                <w:szCs w:val="22"/>
                <w:lang w:val="en-US" w:eastAsia="zh-CN"/>
              </w:rPr>
              <w:t>油</w:t>
            </w:r>
            <w:r>
              <w:rPr>
                <w:rFonts w:hint="eastAsia" w:ascii="Times New Roman"/>
                <w:szCs w:val="22"/>
              </w:rPr>
              <w:t>罐大小呼吸</w:t>
            </w:r>
            <w:r>
              <w:rPr>
                <w:rFonts w:hint="eastAsia" w:ascii="Times New Roman"/>
                <w:szCs w:val="22"/>
                <w:lang w:val="en-US" w:eastAsia="zh-CN"/>
              </w:rPr>
              <w:t>废气</w:t>
            </w:r>
            <w:r>
              <w:rPr>
                <w:rFonts w:hint="eastAsia" w:ascii="Times New Roman"/>
                <w:szCs w:val="22"/>
              </w:rPr>
              <w:t>（非甲烷总烃）</w:t>
            </w:r>
            <w:r>
              <w:rPr>
                <w:rFonts w:hint="eastAsia"/>
                <w:szCs w:val="22"/>
                <w:lang w:val="en-US" w:eastAsia="zh-CN"/>
              </w:rPr>
              <w:t>、</w:t>
            </w:r>
            <w:r>
              <w:rPr>
                <w:rFonts w:hint="eastAsia" w:ascii="Times New Roman"/>
                <w:szCs w:val="22"/>
              </w:rPr>
              <w:t>加油</w:t>
            </w:r>
            <w:r>
              <w:rPr>
                <w:rFonts w:hint="eastAsia" w:ascii="Times New Roman"/>
                <w:szCs w:val="22"/>
                <w:lang w:val="en-US" w:eastAsia="zh-CN"/>
              </w:rPr>
              <w:t>挥发油气</w:t>
            </w:r>
            <w:r>
              <w:rPr>
                <w:rFonts w:hint="eastAsia" w:ascii="Times New Roman"/>
                <w:szCs w:val="22"/>
              </w:rPr>
              <w:t>（非甲烷总烃）</w:t>
            </w:r>
          </w:p>
          <w:p w14:paraId="1C4B020B">
            <w:pPr>
              <w:widowControl w:val="0"/>
              <w:autoSpaceDE w:val="0"/>
              <w:autoSpaceDN w:val="0"/>
              <w:adjustRightInd w:val="0"/>
              <w:spacing w:line="360" w:lineRule="auto"/>
              <w:ind w:firstLine="480" w:firstLineChars="200"/>
              <w:rPr>
                <w:rFonts w:ascii="Times New Roman" w:hAnsi="Calibri" w:eastAsia="宋体" w:cs="Times New Roman"/>
                <w:color w:val="auto"/>
                <w:sz w:val="24"/>
                <w:szCs w:val="24"/>
                <w:lang w:val="en-US" w:eastAsia="zh-CN" w:bidi="ar-SA"/>
              </w:rPr>
            </w:pPr>
            <w:r>
              <w:rPr>
                <w:rFonts w:hint="eastAsia" w:ascii="Times New Roman" w:hAnsi="Times New Roman" w:eastAsia="宋体"/>
                <w:color w:val="000000" w:themeColor="text1"/>
                <w:sz w:val="24"/>
                <w14:textFill>
                  <w14:solidFill>
                    <w14:schemeClr w14:val="tx1"/>
                  </w14:solidFill>
                </w14:textFill>
              </w:rPr>
              <w:t>根据</w:t>
            </w:r>
            <w:r>
              <w:rPr>
                <w:rFonts w:hint="eastAsia"/>
                <w:color w:val="000000" w:themeColor="text1"/>
                <w:sz w:val="24"/>
                <w:lang w:val="en-US" w:eastAsia="zh-CN"/>
                <w14:textFill>
                  <w14:solidFill>
                    <w14:schemeClr w14:val="tx1"/>
                  </w14:solidFill>
                </w14:textFill>
              </w:rPr>
              <w:t>项目</w:t>
            </w:r>
            <w:r>
              <w:rPr>
                <w:rFonts w:hint="eastAsia" w:ascii="Times New Roman" w:hAnsi="Times New Roman" w:eastAsia="宋体"/>
                <w:color w:val="000000" w:themeColor="text1"/>
                <w:sz w:val="24"/>
                <w14:textFill>
                  <w14:solidFill>
                    <w14:schemeClr w14:val="tx1"/>
                  </w14:solidFill>
                </w14:textFill>
              </w:rPr>
              <w:t>工程分析</w:t>
            </w:r>
            <w:r>
              <w:rPr>
                <w:rFonts w:hint="eastAsia"/>
                <w:color w:val="000000" w:themeColor="text1"/>
                <w:sz w:val="24"/>
                <w:lang w:val="en-US" w:eastAsia="zh-CN"/>
                <w14:textFill>
                  <w14:solidFill>
                    <w14:schemeClr w14:val="tx1"/>
                  </w14:solidFill>
                </w14:textFill>
              </w:rPr>
              <w:t>可知</w:t>
            </w:r>
            <w:r>
              <w:rPr>
                <w:rFonts w:hint="eastAsia" w:ascii="Times New Roman" w:hAnsi="Times New Roman" w:eastAsia="宋体"/>
                <w:color w:val="000000" w:themeColor="text1"/>
                <w:sz w:val="24"/>
                <w14:textFill>
                  <w14:solidFill>
                    <w14:schemeClr w14:val="tx1"/>
                  </w14:solidFill>
                </w14:textFill>
              </w:rPr>
              <w:t>，</w:t>
            </w:r>
            <w:r>
              <w:rPr>
                <w:rFonts w:hint="eastAsia" w:ascii="Times New Roman" w:hAnsi="Times New Roman" w:cs="Times New Roman"/>
              </w:rPr>
              <w:t>项目</w:t>
            </w:r>
            <w:r>
              <w:rPr>
                <w:rFonts w:hint="eastAsia" w:ascii="Times New Roman" w:hAnsi="Times New Roman" w:eastAsia="宋体"/>
                <w:color w:val="000000" w:themeColor="text1"/>
                <w:sz w:val="24"/>
                <w14:textFill>
                  <w14:solidFill>
                    <w14:schemeClr w14:val="tx1"/>
                  </w14:solidFill>
                </w14:textFill>
              </w:rPr>
              <w:t>运营期废气主要为</w:t>
            </w:r>
            <w:r>
              <w:rPr>
                <w:rFonts w:hint="eastAsia" w:ascii="Times New Roman"/>
                <w:szCs w:val="22"/>
              </w:rPr>
              <w:t>储</w:t>
            </w:r>
            <w:r>
              <w:rPr>
                <w:rFonts w:hint="eastAsia" w:ascii="Times New Roman"/>
                <w:szCs w:val="22"/>
                <w:lang w:val="en-US" w:eastAsia="zh-CN"/>
              </w:rPr>
              <w:t>油</w:t>
            </w:r>
            <w:r>
              <w:rPr>
                <w:rFonts w:hint="eastAsia" w:ascii="Times New Roman"/>
                <w:szCs w:val="22"/>
              </w:rPr>
              <w:t>罐</w:t>
            </w:r>
            <w:r>
              <w:rPr>
                <w:rFonts w:hint="eastAsia" w:ascii="Times New Roman"/>
                <w:szCs w:val="22"/>
                <w:lang w:val="en-US" w:eastAsia="zh-CN"/>
              </w:rPr>
              <w:t>贮</w:t>
            </w:r>
            <w:r>
              <w:rPr>
                <w:rFonts w:hint="eastAsia"/>
                <w:color w:val="000000" w:themeColor="text1"/>
                <w:sz w:val="24"/>
                <w:lang w:val="en-US" w:eastAsia="zh-CN"/>
                <w14:textFill>
                  <w14:solidFill>
                    <w14:schemeClr w14:val="tx1"/>
                  </w14:solidFill>
                </w14:textFill>
              </w:rPr>
              <w:t>存油品过程中</w:t>
            </w:r>
            <w:r>
              <w:rPr>
                <w:rFonts w:ascii="Times New Roman" w:hAnsi="Times New Roman" w:eastAsia="宋体"/>
                <w:color w:val="000000" w:themeColor="text1"/>
                <w:sz w:val="24"/>
                <w14:textFill>
                  <w14:solidFill>
                    <w14:schemeClr w14:val="tx1"/>
                  </w14:solidFill>
                </w14:textFill>
              </w:rPr>
              <w:t>的</w:t>
            </w:r>
            <w:r>
              <w:rPr>
                <w:rFonts w:hint="eastAsia" w:ascii="Times New Roman" w:hAnsi="Times New Roman" w:eastAsia="宋体"/>
                <w:color w:val="000000" w:themeColor="text1"/>
                <w:sz w:val="24"/>
                <w14:textFill>
                  <w14:solidFill>
                    <w14:schemeClr w14:val="tx1"/>
                  </w14:solidFill>
                </w14:textFill>
              </w:rPr>
              <w:t>大小呼吸、油品</w:t>
            </w:r>
            <w:r>
              <w:rPr>
                <w:rFonts w:ascii="Times New Roman" w:hAnsi="Times New Roman" w:eastAsia="宋体"/>
                <w:color w:val="000000" w:themeColor="text1"/>
                <w:sz w:val="24"/>
                <w14:textFill>
                  <w14:solidFill>
                    <w14:schemeClr w14:val="tx1"/>
                  </w14:solidFill>
                </w14:textFill>
              </w:rPr>
              <w:t>卸车和油品</w:t>
            </w:r>
            <w:r>
              <w:rPr>
                <w:rFonts w:hint="eastAsia" w:ascii="Times New Roman" w:hAnsi="Times New Roman" w:eastAsia="宋体"/>
                <w:color w:val="000000" w:themeColor="text1"/>
                <w:sz w:val="24"/>
                <w14:textFill>
                  <w14:solidFill>
                    <w14:schemeClr w14:val="tx1"/>
                  </w14:solidFill>
                </w14:textFill>
              </w:rPr>
              <w:t>零售等工序排放的非甲烷总烃。根据《散装液态石油产品损耗》（</w:t>
            </w:r>
            <w:r>
              <w:rPr>
                <w:rFonts w:ascii="Times New Roman" w:hAnsi="Times New Roman" w:eastAsia="宋体"/>
                <w:color w:val="000000" w:themeColor="text1"/>
                <w:sz w:val="24"/>
                <w14:textFill>
                  <w14:solidFill>
                    <w14:schemeClr w14:val="tx1"/>
                  </w14:solidFill>
                </w14:textFill>
              </w:rPr>
              <w:t>GB11085-89）规定了散装液态石油产品接卸、贮存、零售的损耗，油品各种损耗规定</w:t>
            </w:r>
            <w:r>
              <w:rPr>
                <w:rFonts w:hint="eastAsia" w:ascii="Times New Roman" w:hAnsi="Times New Roman" w:eastAsia="宋体"/>
                <w:color w:val="000000" w:themeColor="text1"/>
                <w:sz w:val="24"/>
                <w:lang w:val="en-US" w:eastAsia="zh-CN"/>
                <w14:textFill>
                  <w14:solidFill>
                    <w14:schemeClr w14:val="tx1"/>
                  </w14:solidFill>
                </w14:textFill>
              </w:rPr>
              <w:t>详</w:t>
            </w:r>
            <w:r>
              <w:rPr>
                <w:rFonts w:ascii="Times New Roman" w:hAnsi="Times New Roman" w:eastAsia="宋体"/>
                <w:color w:val="000000" w:themeColor="text1"/>
                <w:sz w:val="24"/>
                <w14:textFill>
                  <w14:solidFill>
                    <w14:schemeClr w14:val="tx1"/>
                  </w14:solidFill>
                </w14:textFill>
              </w:rPr>
              <w:t>见表4</w:t>
            </w:r>
            <w:r>
              <w:rPr>
                <w:rFonts w:hint="eastAsia"/>
                <w:color w:val="000000" w:themeColor="text1"/>
                <w:sz w:val="24"/>
                <w:lang w:val="en-US" w:eastAsia="zh-CN"/>
                <w14:textFill>
                  <w14:solidFill>
                    <w14:schemeClr w14:val="tx1"/>
                  </w14:solidFill>
                </w14:textFill>
              </w:rPr>
              <w:t>.1</w:t>
            </w:r>
            <w:r>
              <w:rPr>
                <w:rFonts w:ascii="Times New Roman" w:hAnsi="Times New Roman" w:eastAsia="宋体"/>
                <w:color w:val="000000" w:themeColor="text1"/>
                <w:sz w:val="24"/>
                <w14:textFill>
                  <w14:solidFill>
                    <w14:schemeClr w14:val="tx1"/>
                  </w14:solidFill>
                </w14:textFill>
              </w:rPr>
              <w:t>-1~表4</w:t>
            </w:r>
            <w:r>
              <w:rPr>
                <w:rFonts w:hint="eastAsia"/>
                <w:color w:val="000000" w:themeColor="text1"/>
                <w:sz w:val="24"/>
                <w:lang w:val="en-US" w:eastAsia="zh-CN"/>
                <w14:textFill>
                  <w14:solidFill>
                    <w14:schemeClr w14:val="tx1"/>
                  </w14:solidFill>
                </w14:textFill>
              </w:rPr>
              <w:t>.1</w:t>
            </w:r>
            <w:r>
              <w:rPr>
                <w:rFonts w:ascii="Times New Roman" w:hAnsi="Times New Roman" w:eastAsia="宋体"/>
                <w:color w:val="000000" w:themeColor="text1"/>
                <w:sz w:val="24"/>
                <w14:textFill>
                  <w14:solidFill>
                    <w14:schemeClr w14:val="tx1"/>
                  </w14:solidFill>
                </w14:textFill>
              </w:rPr>
              <w:t>-3。</w:t>
            </w:r>
          </w:p>
          <w:p w14:paraId="1F10E0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b/>
                <w:color w:val="000000" w:themeColor="text1"/>
                <w:sz w:val="21"/>
                <w:szCs w:val="21"/>
                <w14:textFill>
                  <w14:solidFill>
                    <w14:schemeClr w14:val="tx1"/>
                  </w14:solidFill>
                </w14:textFill>
              </w:rPr>
            </w:pPr>
            <w:r>
              <w:rPr>
                <w:rFonts w:hint="eastAsia" w:ascii="Times New Roman" w:hAnsi="Times New Roman" w:eastAsia="宋体"/>
                <w:b/>
                <w:color w:val="000000" w:themeColor="text1"/>
                <w:sz w:val="21"/>
                <w:szCs w:val="21"/>
                <w14:textFill>
                  <w14:solidFill>
                    <w14:schemeClr w14:val="tx1"/>
                  </w14:solidFill>
                </w14:textFill>
              </w:rPr>
              <w:t>表</w:t>
            </w:r>
            <w:r>
              <w:rPr>
                <w:rFonts w:ascii="Times New Roman" w:hAnsi="Times New Roman" w:eastAsia="宋体"/>
                <w:b/>
                <w:color w:val="000000" w:themeColor="text1"/>
                <w:sz w:val="21"/>
                <w:szCs w:val="21"/>
                <w14:textFill>
                  <w14:solidFill>
                    <w14:schemeClr w14:val="tx1"/>
                  </w14:solidFill>
                </w14:textFill>
              </w:rPr>
              <w:t>4</w:t>
            </w:r>
            <w:r>
              <w:rPr>
                <w:rFonts w:hint="eastAsia"/>
                <w:b/>
                <w:color w:val="000000" w:themeColor="text1"/>
                <w:sz w:val="21"/>
                <w:szCs w:val="21"/>
                <w:lang w:val="en-US" w:eastAsia="zh-CN"/>
                <w14:textFill>
                  <w14:solidFill>
                    <w14:schemeClr w14:val="tx1"/>
                  </w14:solidFill>
                </w14:textFill>
              </w:rPr>
              <w:t>.1</w:t>
            </w:r>
            <w:r>
              <w:rPr>
                <w:rFonts w:ascii="Times New Roman" w:hAnsi="Times New Roman" w:eastAsia="宋体"/>
                <w:b/>
                <w:color w:val="000000" w:themeColor="text1"/>
                <w:sz w:val="21"/>
                <w:szCs w:val="21"/>
                <w14:textFill>
                  <w14:solidFill>
                    <w14:schemeClr w14:val="tx1"/>
                  </w14:solidFill>
                </w14:textFill>
              </w:rPr>
              <w:t>-1   贮存损耗率    单位：%</w:t>
            </w:r>
          </w:p>
          <w:tbl>
            <w:tblPr>
              <w:tblStyle w:val="3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55"/>
              <w:gridCol w:w="1537"/>
              <w:gridCol w:w="1539"/>
              <w:gridCol w:w="1920"/>
              <w:gridCol w:w="3063"/>
            </w:tblGrid>
            <w:tr w14:paraId="2D4052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627" w:type="pct"/>
                  <w:vMerge w:val="restart"/>
                  <w:shd w:val="clear" w:color="auto" w:fill="auto"/>
                  <w:vAlign w:val="center"/>
                </w:tcPr>
                <w:p w14:paraId="0D1F8016">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宋体"/>
                      <w:b/>
                      <w:bCs w:val="0"/>
                      <w:color w:val="000000" w:themeColor="text1"/>
                      <w:kern w:val="0"/>
                      <w:sz w:val="21"/>
                      <w:szCs w:val="21"/>
                      <w14:textFill>
                        <w14:solidFill>
                          <w14:schemeClr w14:val="tx1"/>
                        </w14:solidFill>
                      </w14:textFill>
                    </w:rPr>
                  </w:pPr>
                  <w:r>
                    <w:rPr>
                      <w:rFonts w:hint="eastAsia" w:ascii="Times New Roman" w:hAnsi="Times New Roman" w:eastAsia="宋体" w:cs="宋体"/>
                      <w:b/>
                      <w:bCs w:val="0"/>
                      <w:color w:val="000000" w:themeColor="text1"/>
                      <w:kern w:val="0"/>
                      <w:sz w:val="21"/>
                      <w:szCs w:val="21"/>
                      <w14:textFill>
                        <w14:solidFill>
                          <w14:schemeClr w14:val="tx1"/>
                        </w14:solidFill>
                      </w14:textFill>
                    </w:rPr>
                    <w:t>地区</w:t>
                  </w:r>
                </w:p>
              </w:tc>
              <w:tc>
                <w:tcPr>
                  <w:tcW w:w="2710" w:type="pct"/>
                  <w:gridSpan w:val="3"/>
                  <w:shd w:val="clear" w:color="auto" w:fill="auto"/>
                  <w:vAlign w:val="center"/>
                </w:tcPr>
                <w:p w14:paraId="4B2E9B29">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宋体"/>
                      <w:b/>
                      <w:bCs w:val="0"/>
                      <w:color w:val="000000" w:themeColor="text1"/>
                      <w:kern w:val="0"/>
                      <w:sz w:val="21"/>
                      <w:szCs w:val="21"/>
                      <w14:textFill>
                        <w14:solidFill>
                          <w14:schemeClr w14:val="tx1"/>
                        </w14:solidFill>
                      </w14:textFill>
                    </w:rPr>
                  </w:pPr>
                  <w:r>
                    <w:rPr>
                      <w:rFonts w:hint="eastAsia" w:ascii="Times New Roman" w:hAnsi="Times New Roman" w:eastAsia="宋体" w:cs="宋体"/>
                      <w:b/>
                      <w:bCs w:val="0"/>
                      <w:color w:val="000000" w:themeColor="text1"/>
                      <w:kern w:val="0"/>
                      <w:sz w:val="21"/>
                      <w:szCs w:val="21"/>
                      <w14:textFill>
                        <w14:solidFill>
                          <w14:schemeClr w14:val="tx1"/>
                        </w14:solidFill>
                      </w14:textFill>
                    </w:rPr>
                    <w:t>立式金属罐</w:t>
                  </w:r>
                </w:p>
              </w:tc>
              <w:tc>
                <w:tcPr>
                  <w:tcW w:w="1663" w:type="pct"/>
                  <w:shd w:val="clear" w:color="auto" w:fill="auto"/>
                  <w:vAlign w:val="center"/>
                </w:tcPr>
                <w:p w14:paraId="6CB6B89C">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宋体"/>
                      <w:b/>
                      <w:bCs w:val="0"/>
                      <w:color w:val="000000" w:themeColor="text1"/>
                      <w:kern w:val="0"/>
                      <w:sz w:val="21"/>
                      <w:szCs w:val="21"/>
                      <w14:textFill>
                        <w14:solidFill>
                          <w14:schemeClr w14:val="tx1"/>
                        </w14:solidFill>
                      </w14:textFill>
                    </w:rPr>
                  </w:pPr>
                  <w:r>
                    <w:rPr>
                      <w:rFonts w:hint="eastAsia" w:ascii="Times New Roman" w:hAnsi="Times New Roman" w:eastAsia="宋体" w:cs="宋体"/>
                      <w:b/>
                      <w:bCs w:val="0"/>
                      <w:color w:val="000000" w:themeColor="text1"/>
                      <w:kern w:val="0"/>
                      <w:sz w:val="21"/>
                      <w:szCs w:val="21"/>
                      <w14:textFill>
                        <w14:solidFill>
                          <w14:schemeClr w14:val="tx1"/>
                        </w14:solidFill>
                      </w14:textFill>
                    </w:rPr>
                    <w:t>隐蔽罐、浮顶罐</w:t>
                  </w:r>
                </w:p>
              </w:tc>
            </w:tr>
            <w:tr w14:paraId="20E9C7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7" w:type="pct"/>
                  <w:vMerge w:val="continue"/>
                  <w:vAlign w:val="center"/>
                </w:tcPr>
                <w:p w14:paraId="5C4D8527">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auto"/>
                    <w:rPr>
                      <w:rFonts w:ascii="Times New Roman" w:hAnsi="Times New Roman" w:eastAsia="宋体" w:cs="宋体"/>
                      <w:b/>
                      <w:bCs w:val="0"/>
                      <w:color w:val="000000" w:themeColor="text1"/>
                      <w:kern w:val="0"/>
                      <w:sz w:val="21"/>
                      <w:szCs w:val="21"/>
                      <w14:textFill>
                        <w14:solidFill>
                          <w14:schemeClr w14:val="tx1"/>
                        </w14:solidFill>
                      </w14:textFill>
                    </w:rPr>
                  </w:pPr>
                </w:p>
              </w:tc>
              <w:tc>
                <w:tcPr>
                  <w:tcW w:w="1669" w:type="pct"/>
                  <w:gridSpan w:val="2"/>
                  <w:shd w:val="clear" w:color="auto" w:fill="auto"/>
                  <w:vAlign w:val="center"/>
                </w:tcPr>
                <w:p w14:paraId="7572A90A">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宋体"/>
                      <w:b/>
                      <w:bCs w:val="0"/>
                      <w:color w:val="000000" w:themeColor="text1"/>
                      <w:kern w:val="0"/>
                      <w:sz w:val="21"/>
                      <w:szCs w:val="21"/>
                      <w14:textFill>
                        <w14:solidFill>
                          <w14:schemeClr w14:val="tx1"/>
                        </w14:solidFill>
                      </w14:textFill>
                    </w:rPr>
                  </w:pPr>
                  <w:r>
                    <w:rPr>
                      <w:rFonts w:hint="eastAsia" w:ascii="Times New Roman" w:hAnsi="Times New Roman" w:eastAsia="宋体" w:cs="宋体"/>
                      <w:b/>
                      <w:bCs w:val="0"/>
                      <w:color w:val="000000" w:themeColor="text1"/>
                      <w:kern w:val="0"/>
                      <w:sz w:val="21"/>
                      <w:szCs w:val="21"/>
                      <w14:textFill>
                        <w14:solidFill>
                          <w14:schemeClr w14:val="tx1"/>
                        </w14:solidFill>
                      </w14:textFill>
                    </w:rPr>
                    <w:t>汽油</w:t>
                  </w:r>
                </w:p>
              </w:tc>
              <w:tc>
                <w:tcPr>
                  <w:tcW w:w="1042" w:type="pct"/>
                  <w:shd w:val="clear" w:color="auto" w:fill="auto"/>
                  <w:vAlign w:val="center"/>
                </w:tcPr>
                <w:p w14:paraId="333FFFA3">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宋体"/>
                      <w:b/>
                      <w:bCs w:val="0"/>
                      <w:color w:val="000000" w:themeColor="text1"/>
                      <w:kern w:val="0"/>
                      <w:sz w:val="21"/>
                      <w:szCs w:val="21"/>
                      <w14:textFill>
                        <w14:solidFill>
                          <w14:schemeClr w14:val="tx1"/>
                        </w14:solidFill>
                      </w14:textFill>
                    </w:rPr>
                  </w:pPr>
                  <w:r>
                    <w:rPr>
                      <w:rFonts w:hint="eastAsia" w:ascii="Times New Roman" w:hAnsi="Times New Roman" w:eastAsia="宋体" w:cs="宋体"/>
                      <w:b/>
                      <w:bCs w:val="0"/>
                      <w:color w:val="000000" w:themeColor="text1"/>
                      <w:kern w:val="0"/>
                      <w:sz w:val="21"/>
                      <w:szCs w:val="21"/>
                      <w14:textFill>
                        <w14:solidFill>
                          <w14:schemeClr w14:val="tx1"/>
                        </w14:solidFill>
                      </w14:textFill>
                    </w:rPr>
                    <w:t>其他油</w:t>
                  </w:r>
                </w:p>
              </w:tc>
              <w:tc>
                <w:tcPr>
                  <w:tcW w:w="1663" w:type="pct"/>
                  <w:vMerge w:val="restart"/>
                  <w:shd w:val="clear" w:color="auto" w:fill="auto"/>
                  <w:vAlign w:val="center"/>
                </w:tcPr>
                <w:p w14:paraId="0C140467">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宋体"/>
                      <w:b/>
                      <w:bCs w:val="0"/>
                      <w:color w:val="000000" w:themeColor="text1"/>
                      <w:kern w:val="0"/>
                      <w:sz w:val="21"/>
                      <w:szCs w:val="21"/>
                      <w14:textFill>
                        <w14:solidFill>
                          <w14:schemeClr w14:val="tx1"/>
                        </w14:solidFill>
                      </w14:textFill>
                    </w:rPr>
                  </w:pPr>
                  <w:r>
                    <w:rPr>
                      <w:rFonts w:hint="eastAsia" w:ascii="Times New Roman" w:hAnsi="Times New Roman" w:eastAsia="宋体" w:cs="宋体"/>
                      <w:b/>
                      <w:bCs w:val="0"/>
                      <w:color w:val="000000" w:themeColor="text1"/>
                      <w:kern w:val="0"/>
                      <w:sz w:val="21"/>
                      <w:szCs w:val="21"/>
                      <w14:textFill>
                        <w14:solidFill>
                          <w14:schemeClr w14:val="tx1"/>
                        </w14:solidFill>
                      </w14:textFill>
                    </w:rPr>
                    <w:t>不分油品、季节</w:t>
                  </w:r>
                </w:p>
              </w:tc>
            </w:tr>
            <w:tr w14:paraId="3F3352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7" w:type="pct"/>
                  <w:vMerge w:val="continue"/>
                  <w:vAlign w:val="center"/>
                </w:tcPr>
                <w:p w14:paraId="270CC1E5">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auto"/>
                    <w:rPr>
                      <w:rFonts w:ascii="Times New Roman" w:hAnsi="Times New Roman" w:eastAsia="宋体" w:cs="宋体"/>
                      <w:bCs/>
                      <w:color w:val="000000" w:themeColor="text1"/>
                      <w:kern w:val="0"/>
                      <w:sz w:val="21"/>
                      <w:szCs w:val="21"/>
                      <w14:textFill>
                        <w14:solidFill>
                          <w14:schemeClr w14:val="tx1"/>
                        </w14:solidFill>
                      </w14:textFill>
                    </w:rPr>
                  </w:pPr>
                </w:p>
              </w:tc>
              <w:tc>
                <w:tcPr>
                  <w:tcW w:w="834" w:type="pct"/>
                  <w:shd w:val="clear" w:color="auto" w:fill="auto"/>
                  <w:vAlign w:val="center"/>
                </w:tcPr>
                <w:p w14:paraId="1457D215">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宋体"/>
                      <w:b/>
                      <w:bCs w:val="0"/>
                      <w:color w:val="000000" w:themeColor="text1"/>
                      <w:kern w:val="0"/>
                      <w:sz w:val="21"/>
                      <w:szCs w:val="21"/>
                      <w14:textFill>
                        <w14:solidFill>
                          <w14:schemeClr w14:val="tx1"/>
                        </w14:solidFill>
                      </w14:textFill>
                    </w:rPr>
                  </w:pPr>
                  <w:r>
                    <w:rPr>
                      <w:rFonts w:hint="eastAsia" w:ascii="Times New Roman" w:hAnsi="Times New Roman" w:eastAsia="宋体" w:cs="宋体"/>
                      <w:b/>
                      <w:bCs w:val="0"/>
                      <w:color w:val="000000" w:themeColor="text1"/>
                      <w:kern w:val="0"/>
                      <w:sz w:val="21"/>
                      <w:szCs w:val="21"/>
                      <w14:textFill>
                        <w14:solidFill>
                          <w14:schemeClr w14:val="tx1"/>
                        </w14:solidFill>
                      </w14:textFill>
                    </w:rPr>
                    <w:t>春冬季</w:t>
                  </w:r>
                </w:p>
              </w:tc>
              <w:tc>
                <w:tcPr>
                  <w:tcW w:w="834" w:type="pct"/>
                  <w:shd w:val="clear" w:color="auto" w:fill="auto"/>
                  <w:vAlign w:val="center"/>
                </w:tcPr>
                <w:p w14:paraId="493F390C">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宋体"/>
                      <w:b/>
                      <w:bCs w:val="0"/>
                      <w:color w:val="000000" w:themeColor="text1"/>
                      <w:kern w:val="0"/>
                      <w:sz w:val="21"/>
                      <w:szCs w:val="21"/>
                      <w14:textFill>
                        <w14:solidFill>
                          <w14:schemeClr w14:val="tx1"/>
                        </w14:solidFill>
                      </w14:textFill>
                    </w:rPr>
                  </w:pPr>
                  <w:r>
                    <w:rPr>
                      <w:rFonts w:hint="eastAsia" w:ascii="Times New Roman" w:hAnsi="Times New Roman" w:eastAsia="宋体" w:cs="宋体"/>
                      <w:b/>
                      <w:bCs w:val="0"/>
                      <w:color w:val="000000" w:themeColor="text1"/>
                      <w:kern w:val="0"/>
                      <w:sz w:val="21"/>
                      <w:szCs w:val="21"/>
                      <w14:textFill>
                        <w14:solidFill>
                          <w14:schemeClr w14:val="tx1"/>
                        </w14:solidFill>
                      </w14:textFill>
                    </w:rPr>
                    <w:t>夏秋季</w:t>
                  </w:r>
                </w:p>
              </w:tc>
              <w:tc>
                <w:tcPr>
                  <w:tcW w:w="1042" w:type="pct"/>
                  <w:shd w:val="clear" w:color="auto" w:fill="auto"/>
                  <w:vAlign w:val="center"/>
                </w:tcPr>
                <w:p w14:paraId="1C62B623">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宋体"/>
                      <w:b/>
                      <w:bCs w:val="0"/>
                      <w:color w:val="000000" w:themeColor="text1"/>
                      <w:kern w:val="0"/>
                      <w:sz w:val="21"/>
                      <w:szCs w:val="21"/>
                      <w14:textFill>
                        <w14:solidFill>
                          <w14:schemeClr w14:val="tx1"/>
                        </w14:solidFill>
                      </w14:textFill>
                    </w:rPr>
                  </w:pPr>
                  <w:r>
                    <w:rPr>
                      <w:rFonts w:hint="eastAsia" w:ascii="Times New Roman" w:hAnsi="Times New Roman" w:eastAsia="宋体" w:cs="宋体"/>
                      <w:b/>
                      <w:bCs w:val="0"/>
                      <w:color w:val="000000" w:themeColor="text1"/>
                      <w:kern w:val="0"/>
                      <w:sz w:val="21"/>
                      <w:szCs w:val="21"/>
                      <w14:textFill>
                        <w14:solidFill>
                          <w14:schemeClr w14:val="tx1"/>
                        </w14:solidFill>
                      </w14:textFill>
                    </w:rPr>
                    <w:t>不分季节</w:t>
                  </w:r>
                </w:p>
              </w:tc>
              <w:tc>
                <w:tcPr>
                  <w:tcW w:w="1663" w:type="pct"/>
                  <w:vMerge w:val="continue"/>
                  <w:vAlign w:val="center"/>
                </w:tcPr>
                <w:p w14:paraId="774240D6">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auto"/>
                    <w:rPr>
                      <w:rFonts w:ascii="Times New Roman" w:hAnsi="Times New Roman" w:eastAsia="宋体" w:cs="宋体"/>
                      <w:bCs/>
                      <w:color w:val="000000" w:themeColor="text1"/>
                      <w:kern w:val="0"/>
                      <w:sz w:val="21"/>
                      <w:szCs w:val="21"/>
                      <w14:textFill>
                        <w14:solidFill>
                          <w14:schemeClr w14:val="tx1"/>
                        </w14:solidFill>
                      </w14:textFill>
                    </w:rPr>
                  </w:pPr>
                </w:p>
              </w:tc>
            </w:tr>
            <w:tr w14:paraId="6379A1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7" w:type="pct"/>
                  <w:shd w:val="clear" w:color="auto" w:fill="auto"/>
                  <w:vAlign w:val="center"/>
                </w:tcPr>
                <w:p w14:paraId="49AFB212">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A</w:t>
                  </w:r>
                </w:p>
              </w:tc>
              <w:tc>
                <w:tcPr>
                  <w:tcW w:w="834" w:type="pct"/>
                  <w:shd w:val="clear" w:color="auto" w:fill="auto"/>
                  <w:vAlign w:val="center"/>
                </w:tcPr>
                <w:p w14:paraId="7FD2B8CE">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0.11</w:t>
                  </w:r>
                </w:p>
              </w:tc>
              <w:tc>
                <w:tcPr>
                  <w:tcW w:w="834" w:type="pct"/>
                  <w:shd w:val="clear" w:color="auto" w:fill="auto"/>
                  <w:vAlign w:val="center"/>
                </w:tcPr>
                <w:p w14:paraId="671C3128">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0.21</w:t>
                  </w:r>
                </w:p>
              </w:tc>
              <w:tc>
                <w:tcPr>
                  <w:tcW w:w="1042" w:type="pct"/>
                  <w:vMerge w:val="restart"/>
                  <w:shd w:val="clear" w:color="auto" w:fill="auto"/>
                  <w:vAlign w:val="center"/>
                </w:tcPr>
                <w:p w14:paraId="2A1052C5">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0.01</w:t>
                  </w:r>
                </w:p>
              </w:tc>
              <w:tc>
                <w:tcPr>
                  <w:tcW w:w="1663" w:type="pct"/>
                  <w:vMerge w:val="restart"/>
                  <w:shd w:val="clear" w:color="auto" w:fill="auto"/>
                  <w:vAlign w:val="center"/>
                </w:tcPr>
                <w:p w14:paraId="47171471">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0.01</w:t>
                  </w:r>
                </w:p>
              </w:tc>
            </w:tr>
            <w:tr w14:paraId="05404C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7" w:type="pct"/>
                  <w:vMerge w:val="restart"/>
                  <w:shd w:val="clear" w:color="auto" w:fill="auto"/>
                  <w:vAlign w:val="center"/>
                </w:tcPr>
                <w:p w14:paraId="0691AF07">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B</w:t>
                  </w:r>
                </w:p>
              </w:tc>
              <w:tc>
                <w:tcPr>
                  <w:tcW w:w="834" w:type="pct"/>
                  <w:shd w:val="clear" w:color="auto" w:fill="auto"/>
                  <w:vAlign w:val="center"/>
                </w:tcPr>
                <w:p w14:paraId="42F0BC70">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0</w:t>
                  </w:r>
                </w:p>
              </w:tc>
              <w:tc>
                <w:tcPr>
                  <w:tcW w:w="834" w:type="pct"/>
                  <w:vMerge w:val="restart"/>
                  <w:shd w:val="clear" w:color="auto" w:fill="auto"/>
                  <w:vAlign w:val="center"/>
                </w:tcPr>
                <w:p w14:paraId="50513B7B">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0.12</w:t>
                  </w:r>
                </w:p>
              </w:tc>
              <w:tc>
                <w:tcPr>
                  <w:tcW w:w="1042" w:type="pct"/>
                  <w:vMerge w:val="continue"/>
                  <w:vAlign w:val="center"/>
                </w:tcPr>
                <w:p w14:paraId="66E308E8">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auto"/>
                    <w:rPr>
                      <w:rFonts w:ascii="Times New Roman" w:hAnsi="Times New Roman" w:eastAsia="宋体" w:cs="Times New Roman"/>
                      <w:color w:val="000000" w:themeColor="text1"/>
                      <w:kern w:val="0"/>
                      <w:sz w:val="21"/>
                      <w:szCs w:val="21"/>
                      <w14:textFill>
                        <w14:solidFill>
                          <w14:schemeClr w14:val="tx1"/>
                        </w14:solidFill>
                      </w14:textFill>
                    </w:rPr>
                  </w:pPr>
                </w:p>
              </w:tc>
              <w:tc>
                <w:tcPr>
                  <w:tcW w:w="1663" w:type="pct"/>
                  <w:vMerge w:val="continue"/>
                  <w:vAlign w:val="center"/>
                </w:tcPr>
                <w:p w14:paraId="2107C1D5">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auto"/>
                    <w:rPr>
                      <w:rFonts w:ascii="Times New Roman" w:hAnsi="Times New Roman" w:eastAsia="宋体" w:cs="Times New Roman"/>
                      <w:color w:val="000000" w:themeColor="text1"/>
                      <w:kern w:val="0"/>
                      <w:sz w:val="21"/>
                      <w:szCs w:val="21"/>
                      <w14:textFill>
                        <w14:solidFill>
                          <w14:schemeClr w14:val="tx1"/>
                        </w14:solidFill>
                      </w14:textFill>
                    </w:rPr>
                  </w:pPr>
                </w:p>
              </w:tc>
            </w:tr>
            <w:tr w14:paraId="3E5974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7" w:type="pct"/>
                  <w:vMerge w:val="continue"/>
                  <w:vAlign w:val="center"/>
                </w:tcPr>
                <w:p w14:paraId="67B7EC56">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auto"/>
                    <w:rPr>
                      <w:rFonts w:ascii="Times New Roman" w:hAnsi="Times New Roman" w:eastAsia="宋体" w:cs="Times New Roman"/>
                      <w:color w:val="000000" w:themeColor="text1"/>
                      <w:kern w:val="0"/>
                      <w:sz w:val="21"/>
                      <w:szCs w:val="21"/>
                      <w14:textFill>
                        <w14:solidFill>
                          <w14:schemeClr w14:val="tx1"/>
                        </w14:solidFill>
                      </w14:textFill>
                    </w:rPr>
                  </w:pPr>
                </w:p>
              </w:tc>
              <w:tc>
                <w:tcPr>
                  <w:tcW w:w="834" w:type="pct"/>
                  <w:shd w:val="clear" w:color="auto" w:fill="auto"/>
                  <w:vAlign w:val="center"/>
                </w:tcPr>
                <w:p w14:paraId="6DD5426D">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5</w:t>
                  </w:r>
                </w:p>
              </w:tc>
              <w:tc>
                <w:tcPr>
                  <w:tcW w:w="834" w:type="pct"/>
                  <w:vMerge w:val="continue"/>
                  <w:vAlign w:val="center"/>
                </w:tcPr>
                <w:p w14:paraId="7A7B8DD4">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auto"/>
                    <w:rPr>
                      <w:rFonts w:ascii="Times New Roman" w:hAnsi="Times New Roman" w:eastAsia="宋体" w:cs="Times New Roman"/>
                      <w:color w:val="000000" w:themeColor="text1"/>
                      <w:kern w:val="0"/>
                      <w:sz w:val="21"/>
                      <w:szCs w:val="21"/>
                      <w14:textFill>
                        <w14:solidFill>
                          <w14:schemeClr w14:val="tx1"/>
                        </w14:solidFill>
                      </w14:textFill>
                    </w:rPr>
                  </w:pPr>
                </w:p>
              </w:tc>
              <w:tc>
                <w:tcPr>
                  <w:tcW w:w="1042" w:type="pct"/>
                  <w:vMerge w:val="continue"/>
                  <w:vAlign w:val="center"/>
                </w:tcPr>
                <w:p w14:paraId="6981D352">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auto"/>
                    <w:rPr>
                      <w:rFonts w:ascii="Times New Roman" w:hAnsi="Times New Roman" w:eastAsia="宋体" w:cs="Times New Roman"/>
                      <w:color w:val="000000" w:themeColor="text1"/>
                      <w:kern w:val="0"/>
                      <w:sz w:val="21"/>
                      <w:szCs w:val="21"/>
                      <w14:textFill>
                        <w14:solidFill>
                          <w14:schemeClr w14:val="tx1"/>
                        </w14:solidFill>
                      </w14:textFill>
                    </w:rPr>
                  </w:pPr>
                </w:p>
              </w:tc>
              <w:tc>
                <w:tcPr>
                  <w:tcW w:w="1663" w:type="pct"/>
                  <w:vMerge w:val="continue"/>
                  <w:vAlign w:val="center"/>
                </w:tcPr>
                <w:p w14:paraId="662D8625">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auto"/>
                    <w:rPr>
                      <w:rFonts w:ascii="Times New Roman" w:hAnsi="Times New Roman" w:eastAsia="宋体" w:cs="Times New Roman"/>
                      <w:color w:val="000000" w:themeColor="text1"/>
                      <w:kern w:val="0"/>
                      <w:sz w:val="21"/>
                      <w:szCs w:val="21"/>
                      <w14:textFill>
                        <w14:solidFill>
                          <w14:schemeClr w14:val="tx1"/>
                        </w14:solidFill>
                      </w14:textFill>
                    </w:rPr>
                  </w:pPr>
                </w:p>
              </w:tc>
            </w:tr>
            <w:tr w14:paraId="64823D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7" w:type="pct"/>
                  <w:shd w:val="clear" w:color="auto" w:fill="auto"/>
                  <w:vAlign w:val="center"/>
                </w:tcPr>
                <w:p w14:paraId="3E524A92">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C</w:t>
                  </w:r>
                </w:p>
              </w:tc>
              <w:tc>
                <w:tcPr>
                  <w:tcW w:w="834" w:type="pct"/>
                  <w:shd w:val="clear" w:color="auto" w:fill="auto"/>
                  <w:vAlign w:val="center"/>
                </w:tcPr>
                <w:p w14:paraId="4597A1F4">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0.03</w:t>
                  </w:r>
                </w:p>
              </w:tc>
              <w:tc>
                <w:tcPr>
                  <w:tcW w:w="834" w:type="pct"/>
                  <w:shd w:val="clear" w:color="auto" w:fill="auto"/>
                  <w:vAlign w:val="center"/>
                </w:tcPr>
                <w:p w14:paraId="4269BB6F">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0.09</w:t>
                  </w:r>
                </w:p>
              </w:tc>
              <w:tc>
                <w:tcPr>
                  <w:tcW w:w="1042" w:type="pct"/>
                  <w:vMerge w:val="continue"/>
                  <w:vAlign w:val="center"/>
                </w:tcPr>
                <w:p w14:paraId="18EF166A">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auto"/>
                    <w:rPr>
                      <w:rFonts w:ascii="Times New Roman" w:hAnsi="Times New Roman" w:eastAsia="宋体" w:cs="Times New Roman"/>
                      <w:color w:val="000000" w:themeColor="text1"/>
                      <w:kern w:val="0"/>
                      <w:sz w:val="21"/>
                      <w:szCs w:val="21"/>
                      <w14:textFill>
                        <w14:solidFill>
                          <w14:schemeClr w14:val="tx1"/>
                        </w14:solidFill>
                      </w14:textFill>
                    </w:rPr>
                  </w:pPr>
                </w:p>
              </w:tc>
              <w:tc>
                <w:tcPr>
                  <w:tcW w:w="1663" w:type="pct"/>
                  <w:vMerge w:val="continue"/>
                  <w:vAlign w:val="center"/>
                </w:tcPr>
                <w:p w14:paraId="7C6F07CC">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auto"/>
                    <w:rPr>
                      <w:rFonts w:ascii="Times New Roman" w:hAnsi="Times New Roman" w:eastAsia="宋体" w:cs="Times New Roman"/>
                      <w:color w:val="000000" w:themeColor="text1"/>
                      <w:kern w:val="0"/>
                      <w:sz w:val="21"/>
                      <w:szCs w:val="21"/>
                      <w14:textFill>
                        <w14:solidFill>
                          <w14:schemeClr w14:val="tx1"/>
                        </w14:solidFill>
                      </w14:textFill>
                    </w:rPr>
                  </w:pPr>
                </w:p>
              </w:tc>
            </w:tr>
          </w:tbl>
          <w:p w14:paraId="624BD43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宋体"/>
                <w:b/>
                <w:color w:val="000000" w:themeColor="text1"/>
                <w:sz w:val="21"/>
                <w:szCs w:val="21"/>
                <w14:textFill>
                  <w14:solidFill>
                    <w14:schemeClr w14:val="tx1"/>
                  </w14:solidFill>
                </w14:textFill>
              </w:rPr>
            </w:pPr>
            <w:r>
              <w:rPr>
                <w:rFonts w:hint="eastAsia" w:ascii="Times New Roman" w:hAnsi="Times New Roman" w:eastAsia="宋体"/>
                <w:b/>
                <w:color w:val="000000" w:themeColor="text1"/>
                <w:sz w:val="21"/>
                <w:szCs w:val="21"/>
                <w14:textFill>
                  <w14:solidFill>
                    <w14:schemeClr w14:val="tx1"/>
                  </w14:solidFill>
                </w14:textFill>
              </w:rPr>
              <w:t>注：卧式罐的贮存损耗率可以忽略不计。</w:t>
            </w:r>
          </w:p>
          <w:p w14:paraId="5A32A5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b/>
                <w:color w:val="000000" w:themeColor="text1"/>
                <w:szCs w:val="21"/>
                <w14:textFill>
                  <w14:solidFill>
                    <w14:schemeClr w14:val="tx1"/>
                  </w14:solidFill>
                </w14:textFill>
              </w:rPr>
            </w:pPr>
            <w:r>
              <w:rPr>
                <w:rFonts w:hint="eastAsia" w:ascii="Times New Roman" w:hAnsi="Times New Roman" w:eastAsia="宋体"/>
                <w:b/>
                <w:color w:val="000000" w:themeColor="text1"/>
                <w:sz w:val="21"/>
                <w:szCs w:val="21"/>
                <w14:textFill>
                  <w14:solidFill>
                    <w14:schemeClr w14:val="tx1"/>
                  </w14:solidFill>
                </w14:textFill>
              </w:rPr>
              <w:t>表</w:t>
            </w:r>
            <w:r>
              <w:rPr>
                <w:rFonts w:ascii="Times New Roman" w:hAnsi="Times New Roman" w:eastAsia="宋体"/>
                <w:b/>
                <w:color w:val="000000" w:themeColor="text1"/>
                <w:sz w:val="21"/>
                <w:szCs w:val="21"/>
                <w14:textFill>
                  <w14:solidFill>
                    <w14:schemeClr w14:val="tx1"/>
                  </w14:solidFill>
                </w14:textFill>
              </w:rPr>
              <w:t>4</w:t>
            </w:r>
            <w:r>
              <w:rPr>
                <w:rFonts w:hint="eastAsia"/>
                <w:b/>
                <w:color w:val="000000" w:themeColor="text1"/>
                <w:sz w:val="21"/>
                <w:szCs w:val="21"/>
                <w:lang w:val="en-US" w:eastAsia="zh-CN"/>
                <w14:textFill>
                  <w14:solidFill>
                    <w14:schemeClr w14:val="tx1"/>
                  </w14:solidFill>
                </w14:textFill>
              </w:rPr>
              <w:t>.1</w:t>
            </w:r>
            <w:r>
              <w:rPr>
                <w:rFonts w:ascii="Times New Roman" w:hAnsi="Times New Roman" w:eastAsia="宋体"/>
                <w:b/>
                <w:color w:val="000000" w:themeColor="text1"/>
                <w:sz w:val="21"/>
                <w:szCs w:val="21"/>
                <w14:textFill>
                  <w14:solidFill>
                    <w14:schemeClr w14:val="tx1"/>
                  </w14:solidFill>
                </w14:textFill>
              </w:rPr>
              <w:t xml:space="preserve">-2   </w:t>
            </w:r>
            <w:r>
              <w:rPr>
                <w:rFonts w:hint="eastAsia" w:ascii="Times New Roman" w:hAnsi="Times New Roman" w:eastAsia="宋体"/>
                <w:b/>
                <w:color w:val="000000" w:themeColor="text1"/>
                <w:sz w:val="21"/>
                <w:szCs w:val="21"/>
                <w14:textFill>
                  <w14:solidFill>
                    <w14:schemeClr w14:val="tx1"/>
                  </w14:solidFill>
                </w14:textFill>
              </w:rPr>
              <w:t>卸车</w:t>
            </w:r>
            <w:r>
              <w:rPr>
                <w:rFonts w:ascii="Times New Roman" w:hAnsi="Times New Roman" w:eastAsia="宋体"/>
                <w:b/>
                <w:color w:val="000000" w:themeColor="text1"/>
                <w:sz w:val="21"/>
                <w:szCs w:val="21"/>
                <w14:textFill>
                  <w14:solidFill>
                    <w14:schemeClr w14:val="tx1"/>
                  </w14:solidFill>
                </w14:textFill>
              </w:rPr>
              <w:t xml:space="preserve">损耗率   </w:t>
            </w:r>
            <w:r>
              <w:rPr>
                <w:rFonts w:hint="eastAsia" w:ascii="Times New Roman" w:hAnsi="Times New Roman" w:eastAsia="宋体"/>
                <w:b/>
                <w:color w:val="000000" w:themeColor="text1"/>
                <w:sz w:val="21"/>
                <w:szCs w:val="21"/>
                <w:lang w:val="en-US" w:eastAsia="zh-CN"/>
                <w14:textFill>
                  <w14:solidFill>
                    <w14:schemeClr w14:val="tx1"/>
                  </w14:solidFill>
                </w14:textFill>
              </w:rPr>
              <w:t xml:space="preserve"> </w:t>
            </w:r>
            <w:r>
              <w:rPr>
                <w:rFonts w:ascii="Times New Roman" w:hAnsi="Times New Roman" w:eastAsia="宋体"/>
                <w:b/>
                <w:color w:val="000000" w:themeColor="text1"/>
                <w:sz w:val="21"/>
                <w:szCs w:val="21"/>
                <w14:textFill>
                  <w14:solidFill>
                    <w14:schemeClr w14:val="tx1"/>
                  </w14:solidFill>
                </w14:textFill>
              </w:rPr>
              <w:t>单位：%</w:t>
            </w:r>
          </w:p>
          <w:tbl>
            <w:tblPr>
              <w:tblStyle w:val="3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83"/>
              <w:gridCol w:w="1843"/>
              <w:gridCol w:w="1843"/>
              <w:gridCol w:w="2302"/>
              <w:gridCol w:w="1843"/>
            </w:tblGrid>
            <w:tr w14:paraId="10BC49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1" w:type="pct"/>
                  <w:vMerge w:val="restart"/>
                  <w:shd w:val="clear" w:color="auto" w:fill="auto"/>
                  <w:vAlign w:val="center"/>
                </w:tcPr>
                <w:p w14:paraId="0575C92A">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宋体"/>
                      <w:b/>
                      <w:bCs w:val="0"/>
                      <w:color w:val="000000" w:themeColor="text1"/>
                      <w:kern w:val="0"/>
                      <w:sz w:val="21"/>
                      <w:szCs w:val="21"/>
                      <w14:textFill>
                        <w14:solidFill>
                          <w14:schemeClr w14:val="tx1"/>
                        </w14:solidFill>
                      </w14:textFill>
                    </w:rPr>
                  </w:pPr>
                  <w:r>
                    <w:rPr>
                      <w:rFonts w:hint="eastAsia" w:ascii="Times New Roman" w:hAnsi="Times New Roman" w:eastAsia="宋体" w:cs="宋体"/>
                      <w:b/>
                      <w:bCs w:val="0"/>
                      <w:color w:val="000000" w:themeColor="text1"/>
                      <w:kern w:val="0"/>
                      <w:sz w:val="21"/>
                      <w:szCs w:val="21"/>
                      <w14:textFill>
                        <w14:solidFill>
                          <w14:schemeClr w14:val="tx1"/>
                        </w14:solidFill>
                      </w14:textFill>
                    </w:rPr>
                    <w:t>地区</w:t>
                  </w:r>
                </w:p>
              </w:tc>
              <w:tc>
                <w:tcPr>
                  <w:tcW w:w="2000" w:type="pct"/>
                  <w:gridSpan w:val="2"/>
                  <w:shd w:val="clear" w:color="auto" w:fill="auto"/>
                  <w:vAlign w:val="center"/>
                </w:tcPr>
                <w:p w14:paraId="05BD056F">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宋体"/>
                      <w:b/>
                      <w:bCs w:val="0"/>
                      <w:color w:val="000000" w:themeColor="text1"/>
                      <w:kern w:val="0"/>
                      <w:sz w:val="21"/>
                      <w:szCs w:val="21"/>
                      <w14:textFill>
                        <w14:solidFill>
                          <w14:schemeClr w14:val="tx1"/>
                        </w14:solidFill>
                      </w14:textFill>
                    </w:rPr>
                  </w:pPr>
                  <w:r>
                    <w:rPr>
                      <w:rFonts w:hint="eastAsia" w:ascii="Times New Roman" w:hAnsi="Times New Roman" w:eastAsia="宋体" w:cs="宋体"/>
                      <w:b/>
                      <w:bCs w:val="0"/>
                      <w:color w:val="000000" w:themeColor="text1"/>
                      <w:kern w:val="0"/>
                      <w:sz w:val="21"/>
                      <w:szCs w:val="21"/>
                      <w14:textFill>
                        <w14:solidFill>
                          <w14:schemeClr w14:val="tx1"/>
                        </w14:solidFill>
                      </w14:textFill>
                    </w:rPr>
                    <w:t>汽油</w:t>
                  </w:r>
                </w:p>
              </w:tc>
              <w:tc>
                <w:tcPr>
                  <w:tcW w:w="1249" w:type="pct"/>
                  <w:shd w:val="clear" w:color="auto" w:fill="auto"/>
                  <w:vAlign w:val="center"/>
                </w:tcPr>
                <w:p w14:paraId="4E412679">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宋体"/>
                      <w:b/>
                      <w:bCs w:val="0"/>
                      <w:color w:val="000000" w:themeColor="text1"/>
                      <w:kern w:val="0"/>
                      <w:sz w:val="21"/>
                      <w:szCs w:val="21"/>
                      <w14:textFill>
                        <w14:solidFill>
                          <w14:schemeClr w14:val="tx1"/>
                        </w14:solidFill>
                      </w14:textFill>
                    </w:rPr>
                  </w:pPr>
                  <w:r>
                    <w:rPr>
                      <w:rFonts w:hint="eastAsia" w:ascii="Times New Roman" w:hAnsi="Times New Roman" w:eastAsia="宋体" w:cs="宋体"/>
                      <w:b/>
                      <w:bCs w:val="0"/>
                      <w:color w:val="000000" w:themeColor="text1"/>
                      <w:kern w:val="0"/>
                      <w:sz w:val="21"/>
                      <w:szCs w:val="21"/>
                      <w14:textFill>
                        <w14:solidFill>
                          <w14:schemeClr w14:val="tx1"/>
                        </w14:solidFill>
                      </w14:textFill>
                    </w:rPr>
                    <w:t>煤、柴油</w:t>
                  </w:r>
                </w:p>
              </w:tc>
              <w:tc>
                <w:tcPr>
                  <w:tcW w:w="1000" w:type="pct"/>
                  <w:shd w:val="clear" w:color="auto" w:fill="auto"/>
                  <w:vAlign w:val="center"/>
                </w:tcPr>
                <w:p w14:paraId="1500F5D4">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宋体"/>
                      <w:b/>
                      <w:bCs w:val="0"/>
                      <w:color w:val="000000" w:themeColor="text1"/>
                      <w:kern w:val="0"/>
                      <w:sz w:val="21"/>
                      <w:szCs w:val="21"/>
                      <w14:textFill>
                        <w14:solidFill>
                          <w14:schemeClr w14:val="tx1"/>
                        </w14:solidFill>
                      </w14:textFill>
                    </w:rPr>
                  </w:pPr>
                  <w:r>
                    <w:rPr>
                      <w:rFonts w:hint="eastAsia" w:ascii="Times New Roman" w:hAnsi="Times New Roman" w:eastAsia="宋体" w:cs="宋体"/>
                      <w:b/>
                      <w:bCs w:val="0"/>
                      <w:color w:val="000000" w:themeColor="text1"/>
                      <w:kern w:val="0"/>
                      <w:sz w:val="21"/>
                      <w:szCs w:val="21"/>
                      <w14:textFill>
                        <w14:solidFill>
                          <w14:schemeClr w14:val="tx1"/>
                        </w14:solidFill>
                      </w14:textFill>
                    </w:rPr>
                    <w:t>润滑油</w:t>
                  </w:r>
                </w:p>
              </w:tc>
            </w:tr>
            <w:tr w14:paraId="61A4DA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1" w:type="pct"/>
                  <w:vMerge w:val="continue"/>
                  <w:vAlign w:val="center"/>
                </w:tcPr>
                <w:p w14:paraId="350646BE">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auto"/>
                    <w:rPr>
                      <w:rFonts w:ascii="Times New Roman" w:hAnsi="Times New Roman" w:eastAsia="宋体" w:cs="宋体"/>
                      <w:b/>
                      <w:bCs w:val="0"/>
                      <w:color w:val="000000" w:themeColor="text1"/>
                      <w:kern w:val="0"/>
                      <w:sz w:val="21"/>
                      <w:szCs w:val="21"/>
                      <w14:textFill>
                        <w14:solidFill>
                          <w14:schemeClr w14:val="tx1"/>
                        </w14:solidFill>
                      </w14:textFill>
                    </w:rPr>
                  </w:pPr>
                </w:p>
              </w:tc>
              <w:tc>
                <w:tcPr>
                  <w:tcW w:w="1000" w:type="pct"/>
                  <w:shd w:val="clear" w:color="auto" w:fill="auto"/>
                  <w:vAlign w:val="center"/>
                </w:tcPr>
                <w:p w14:paraId="1B796513">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宋体"/>
                      <w:b/>
                      <w:bCs w:val="0"/>
                      <w:color w:val="000000" w:themeColor="text1"/>
                      <w:kern w:val="0"/>
                      <w:sz w:val="21"/>
                      <w:szCs w:val="21"/>
                      <w14:textFill>
                        <w14:solidFill>
                          <w14:schemeClr w14:val="tx1"/>
                        </w14:solidFill>
                      </w14:textFill>
                    </w:rPr>
                  </w:pPr>
                  <w:r>
                    <w:rPr>
                      <w:rFonts w:hint="eastAsia" w:ascii="Times New Roman" w:hAnsi="Times New Roman" w:eastAsia="宋体" w:cs="宋体"/>
                      <w:b/>
                      <w:bCs w:val="0"/>
                      <w:color w:val="000000" w:themeColor="text1"/>
                      <w:kern w:val="0"/>
                      <w:sz w:val="21"/>
                      <w:szCs w:val="21"/>
                      <w14:textFill>
                        <w14:solidFill>
                          <w14:schemeClr w14:val="tx1"/>
                        </w14:solidFill>
                      </w14:textFill>
                    </w:rPr>
                    <w:t>浮顶罐</w:t>
                  </w:r>
                </w:p>
              </w:tc>
              <w:tc>
                <w:tcPr>
                  <w:tcW w:w="1000" w:type="pct"/>
                  <w:shd w:val="clear" w:color="auto" w:fill="auto"/>
                  <w:vAlign w:val="center"/>
                </w:tcPr>
                <w:p w14:paraId="50D65CE5">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宋体"/>
                      <w:b/>
                      <w:bCs w:val="0"/>
                      <w:color w:val="000000" w:themeColor="text1"/>
                      <w:kern w:val="0"/>
                      <w:sz w:val="21"/>
                      <w:szCs w:val="21"/>
                      <w14:textFill>
                        <w14:solidFill>
                          <w14:schemeClr w14:val="tx1"/>
                        </w14:solidFill>
                      </w14:textFill>
                    </w:rPr>
                  </w:pPr>
                  <w:r>
                    <w:rPr>
                      <w:rFonts w:hint="eastAsia" w:ascii="Times New Roman" w:hAnsi="Times New Roman" w:eastAsia="宋体" w:cs="宋体"/>
                      <w:b/>
                      <w:bCs w:val="0"/>
                      <w:color w:val="000000" w:themeColor="text1"/>
                      <w:kern w:val="0"/>
                      <w:sz w:val="21"/>
                      <w:szCs w:val="21"/>
                      <w14:textFill>
                        <w14:solidFill>
                          <w14:schemeClr w14:val="tx1"/>
                        </w14:solidFill>
                      </w14:textFill>
                    </w:rPr>
                    <w:t>其他罐</w:t>
                  </w:r>
                </w:p>
              </w:tc>
              <w:tc>
                <w:tcPr>
                  <w:tcW w:w="2249" w:type="pct"/>
                  <w:gridSpan w:val="2"/>
                  <w:shd w:val="clear" w:color="auto" w:fill="auto"/>
                  <w:vAlign w:val="center"/>
                </w:tcPr>
                <w:p w14:paraId="780A9028">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宋体"/>
                      <w:b/>
                      <w:bCs w:val="0"/>
                      <w:color w:val="000000" w:themeColor="text1"/>
                      <w:kern w:val="0"/>
                      <w:sz w:val="21"/>
                      <w:szCs w:val="21"/>
                      <w14:textFill>
                        <w14:solidFill>
                          <w14:schemeClr w14:val="tx1"/>
                        </w14:solidFill>
                      </w14:textFill>
                    </w:rPr>
                  </w:pPr>
                  <w:r>
                    <w:rPr>
                      <w:rFonts w:hint="eastAsia" w:ascii="Times New Roman" w:hAnsi="Times New Roman" w:eastAsia="宋体" w:cs="宋体"/>
                      <w:b/>
                      <w:bCs w:val="0"/>
                      <w:color w:val="000000" w:themeColor="text1"/>
                      <w:kern w:val="0"/>
                      <w:sz w:val="21"/>
                      <w:szCs w:val="21"/>
                      <w14:textFill>
                        <w14:solidFill>
                          <w14:schemeClr w14:val="tx1"/>
                        </w14:solidFill>
                      </w14:textFill>
                    </w:rPr>
                    <w:t>不分罐形</w:t>
                  </w:r>
                </w:p>
              </w:tc>
            </w:tr>
            <w:tr w14:paraId="57A32F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1" w:type="pct"/>
                  <w:shd w:val="clear" w:color="auto" w:fill="auto"/>
                  <w:vAlign w:val="center"/>
                </w:tcPr>
                <w:p w14:paraId="0F58994D">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A</w:t>
                  </w:r>
                </w:p>
              </w:tc>
              <w:tc>
                <w:tcPr>
                  <w:tcW w:w="1000" w:type="pct"/>
                  <w:vMerge w:val="restart"/>
                  <w:shd w:val="clear" w:color="auto" w:fill="auto"/>
                  <w:vAlign w:val="center"/>
                </w:tcPr>
                <w:p w14:paraId="23F43992">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0.01</w:t>
                  </w:r>
                </w:p>
              </w:tc>
              <w:tc>
                <w:tcPr>
                  <w:tcW w:w="1000" w:type="pct"/>
                  <w:shd w:val="clear" w:color="auto" w:fill="auto"/>
                  <w:vAlign w:val="center"/>
                </w:tcPr>
                <w:p w14:paraId="16123F3D">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0.23</w:t>
                  </w:r>
                </w:p>
              </w:tc>
              <w:tc>
                <w:tcPr>
                  <w:tcW w:w="1249" w:type="pct"/>
                  <w:vMerge w:val="restart"/>
                  <w:shd w:val="clear" w:color="auto" w:fill="auto"/>
                  <w:vAlign w:val="center"/>
                </w:tcPr>
                <w:p w14:paraId="13D811E7">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0.05</w:t>
                  </w:r>
                </w:p>
              </w:tc>
              <w:tc>
                <w:tcPr>
                  <w:tcW w:w="1000" w:type="pct"/>
                  <w:vMerge w:val="restart"/>
                  <w:shd w:val="clear" w:color="auto" w:fill="auto"/>
                  <w:vAlign w:val="center"/>
                </w:tcPr>
                <w:p w14:paraId="50D2E2C1">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0.04</w:t>
                  </w:r>
                </w:p>
              </w:tc>
            </w:tr>
            <w:tr w14:paraId="426EC9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1" w:type="pct"/>
                  <w:shd w:val="clear" w:color="auto" w:fill="auto"/>
                  <w:vAlign w:val="center"/>
                </w:tcPr>
                <w:p w14:paraId="410A6C49">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B</w:t>
                  </w:r>
                </w:p>
              </w:tc>
              <w:tc>
                <w:tcPr>
                  <w:tcW w:w="1000" w:type="pct"/>
                  <w:vMerge w:val="continue"/>
                  <w:vAlign w:val="center"/>
                </w:tcPr>
                <w:p w14:paraId="1D0B08F4">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auto"/>
                    <w:rPr>
                      <w:rFonts w:ascii="Times New Roman" w:hAnsi="Times New Roman" w:eastAsia="宋体" w:cs="Times New Roman"/>
                      <w:color w:val="000000" w:themeColor="text1"/>
                      <w:kern w:val="0"/>
                      <w:sz w:val="21"/>
                      <w:szCs w:val="21"/>
                      <w14:textFill>
                        <w14:solidFill>
                          <w14:schemeClr w14:val="tx1"/>
                        </w14:solidFill>
                      </w14:textFill>
                    </w:rPr>
                  </w:pPr>
                </w:p>
              </w:tc>
              <w:tc>
                <w:tcPr>
                  <w:tcW w:w="1000" w:type="pct"/>
                  <w:shd w:val="clear" w:color="auto" w:fill="auto"/>
                  <w:vAlign w:val="center"/>
                </w:tcPr>
                <w:p w14:paraId="65113FE2">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0.2</w:t>
                  </w:r>
                </w:p>
              </w:tc>
              <w:tc>
                <w:tcPr>
                  <w:tcW w:w="1249" w:type="pct"/>
                  <w:vMerge w:val="continue"/>
                  <w:vAlign w:val="center"/>
                </w:tcPr>
                <w:p w14:paraId="611625C0">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auto"/>
                    <w:rPr>
                      <w:rFonts w:ascii="Times New Roman" w:hAnsi="Times New Roman" w:eastAsia="宋体" w:cs="Times New Roman"/>
                      <w:color w:val="000000" w:themeColor="text1"/>
                      <w:kern w:val="0"/>
                      <w:sz w:val="21"/>
                      <w:szCs w:val="21"/>
                      <w14:textFill>
                        <w14:solidFill>
                          <w14:schemeClr w14:val="tx1"/>
                        </w14:solidFill>
                      </w14:textFill>
                    </w:rPr>
                  </w:pPr>
                </w:p>
              </w:tc>
              <w:tc>
                <w:tcPr>
                  <w:tcW w:w="1000" w:type="pct"/>
                  <w:vMerge w:val="continue"/>
                  <w:vAlign w:val="center"/>
                </w:tcPr>
                <w:p w14:paraId="3F3243FF">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auto"/>
                    <w:rPr>
                      <w:rFonts w:ascii="Times New Roman" w:hAnsi="Times New Roman" w:eastAsia="宋体" w:cs="Times New Roman"/>
                      <w:color w:val="000000" w:themeColor="text1"/>
                      <w:kern w:val="0"/>
                      <w:sz w:val="21"/>
                      <w:szCs w:val="21"/>
                      <w14:textFill>
                        <w14:solidFill>
                          <w14:schemeClr w14:val="tx1"/>
                        </w14:solidFill>
                      </w14:textFill>
                    </w:rPr>
                  </w:pPr>
                </w:p>
              </w:tc>
            </w:tr>
            <w:tr w14:paraId="29DE83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1" w:type="pct"/>
                  <w:shd w:val="clear" w:color="auto" w:fill="auto"/>
                  <w:vAlign w:val="center"/>
                </w:tcPr>
                <w:p w14:paraId="776BF517">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C</w:t>
                  </w:r>
                </w:p>
              </w:tc>
              <w:tc>
                <w:tcPr>
                  <w:tcW w:w="1000" w:type="pct"/>
                  <w:vMerge w:val="continue"/>
                  <w:vAlign w:val="center"/>
                </w:tcPr>
                <w:p w14:paraId="0F1C08B2">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auto"/>
                    <w:rPr>
                      <w:rFonts w:ascii="Times New Roman" w:hAnsi="Times New Roman" w:eastAsia="宋体" w:cs="Times New Roman"/>
                      <w:color w:val="000000" w:themeColor="text1"/>
                      <w:kern w:val="0"/>
                      <w:sz w:val="21"/>
                      <w:szCs w:val="21"/>
                      <w14:textFill>
                        <w14:solidFill>
                          <w14:schemeClr w14:val="tx1"/>
                        </w14:solidFill>
                      </w14:textFill>
                    </w:rPr>
                  </w:pPr>
                </w:p>
              </w:tc>
              <w:tc>
                <w:tcPr>
                  <w:tcW w:w="1000" w:type="pct"/>
                  <w:shd w:val="clear" w:color="auto" w:fill="auto"/>
                  <w:vAlign w:val="center"/>
                </w:tcPr>
                <w:p w14:paraId="37575B2E">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0.13</w:t>
                  </w:r>
                </w:p>
              </w:tc>
              <w:tc>
                <w:tcPr>
                  <w:tcW w:w="1249" w:type="pct"/>
                  <w:vMerge w:val="continue"/>
                  <w:vAlign w:val="center"/>
                </w:tcPr>
                <w:p w14:paraId="40B70EDA">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auto"/>
                    <w:rPr>
                      <w:rFonts w:ascii="Times New Roman" w:hAnsi="Times New Roman" w:eastAsia="宋体" w:cs="Times New Roman"/>
                      <w:color w:val="000000" w:themeColor="text1"/>
                      <w:kern w:val="0"/>
                      <w:sz w:val="21"/>
                      <w:szCs w:val="21"/>
                      <w14:textFill>
                        <w14:solidFill>
                          <w14:schemeClr w14:val="tx1"/>
                        </w14:solidFill>
                      </w14:textFill>
                    </w:rPr>
                  </w:pPr>
                </w:p>
              </w:tc>
              <w:tc>
                <w:tcPr>
                  <w:tcW w:w="1000" w:type="pct"/>
                  <w:vMerge w:val="continue"/>
                  <w:vAlign w:val="center"/>
                </w:tcPr>
                <w:p w14:paraId="69D21B36">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auto"/>
                    <w:rPr>
                      <w:rFonts w:ascii="Times New Roman" w:hAnsi="Times New Roman" w:eastAsia="宋体" w:cs="Times New Roman"/>
                      <w:color w:val="000000" w:themeColor="text1"/>
                      <w:kern w:val="0"/>
                      <w:sz w:val="21"/>
                      <w:szCs w:val="21"/>
                      <w14:textFill>
                        <w14:solidFill>
                          <w14:schemeClr w14:val="tx1"/>
                        </w14:solidFill>
                      </w14:textFill>
                    </w:rPr>
                  </w:pPr>
                </w:p>
              </w:tc>
            </w:tr>
          </w:tbl>
          <w:p w14:paraId="650A16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b/>
                <w:color w:val="000000" w:themeColor="text1"/>
                <w:szCs w:val="21"/>
                <w14:textFill>
                  <w14:solidFill>
                    <w14:schemeClr w14:val="tx1"/>
                  </w14:solidFill>
                </w14:textFill>
              </w:rPr>
            </w:pPr>
            <w:r>
              <w:rPr>
                <w:rFonts w:hint="eastAsia" w:ascii="Times New Roman" w:hAnsi="Times New Roman" w:eastAsia="宋体"/>
                <w:b/>
                <w:color w:val="000000" w:themeColor="text1"/>
                <w:sz w:val="21"/>
                <w:szCs w:val="21"/>
                <w14:textFill>
                  <w14:solidFill>
                    <w14:schemeClr w14:val="tx1"/>
                  </w14:solidFill>
                </w14:textFill>
              </w:rPr>
              <w:t>表</w:t>
            </w:r>
            <w:r>
              <w:rPr>
                <w:rFonts w:ascii="Times New Roman" w:hAnsi="Times New Roman" w:eastAsia="宋体"/>
                <w:b/>
                <w:color w:val="000000" w:themeColor="text1"/>
                <w:sz w:val="21"/>
                <w:szCs w:val="21"/>
                <w14:textFill>
                  <w14:solidFill>
                    <w14:schemeClr w14:val="tx1"/>
                  </w14:solidFill>
                </w14:textFill>
              </w:rPr>
              <w:t>4</w:t>
            </w:r>
            <w:r>
              <w:rPr>
                <w:rFonts w:hint="eastAsia"/>
                <w:b/>
                <w:color w:val="000000" w:themeColor="text1"/>
                <w:sz w:val="21"/>
                <w:szCs w:val="21"/>
                <w:lang w:val="en-US" w:eastAsia="zh-CN"/>
                <w14:textFill>
                  <w14:solidFill>
                    <w14:schemeClr w14:val="tx1"/>
                  </w14:solidFill>
                </w14:textFill>
              </w:rPr>
              <w:t>.1</w:t>
            </w:r>
            <w:r>
              <w:rPr>
                <w:rFonts w:ascii="Times New Roman" w:hAnsi="Times New Roman" w:eastAsia="宋体"/>
                <w:b/>
                <w:color w:val="000000" w:themeColor="text1"/>
                <w:sz w:val="21"/>
                <w:szCs w:val="21"/>
                <w14:textFill>
                  <w14:solidFill>
                    <w14:schemeClr w14:val="tx1"/>
                  </w14:solidFill>
                </w14:textFill>
              </w:rPr>
              <w:t xml:space="preserve">-3   </w:t>
            </w:r>
            <w:r>
              <w:rPr>
                <w:rFonts w:hint="eastAsia" w:ascii="Times New Roman" w:hAnsi="Times New Roman" w:eastAsia="宋体"/>
                <w:b/>
                <w:color w:val="000000" w:themeColor="text1"/>
                <w:sz w:val="21"/>
                <w:szCs w:val="21"/>
                <w14:textFill>
                  <w14:solidFill>
                    <w14:schemeClr w14:val="tx1"/>
                  </w14:solidFill>
                </w14:textFill>
              </w:rPr>
              <w:t>零售</w:t>
            </w:r>
            <w:r>
              <w:rPr>
                <w:rFonts w:ascii="Times New Roman" w:hAnsi="Times New Roman" w:eastAsia="宋体"/>
                <w:b/>
                <w:color w:val="000000" w:themeColor="text1"/>
                <w:sz w:val="21"/>
                <w:szCs w:val="21"/>
                <w14:textFill>
                  <w14:solidFill>
                    <w14:schemeClr w14:val="tx1"/>
                  </w14:solidFill>
                </w14:textFill>
              </w:rPr>
              <w:t>损耗率    单位：%</w:t>
            </w:r>
          </w:p>
          <w:tbl>
            <w:tblPr>
              <w:tblStyle w:val="3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20"/>
              <w:gridCol w:w="1152"/>
              <w:gridCol w:w="1152"/>
              <w:gridCol w:w="1152"/>
              <w:gridCol w:w="1920"/>
              <w:gridCol w:w="1918"/>
            </w:tblGrid>
            <w:tr w14:paraId="0B57B1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42" w:type="pct"/>
                  <w:shd w:val="clear" w:color="auto" w:fill="auto"/>
                  <w:vAlign w:val="center"/>
                </w:tcPr>
                <w:p w14:paraId="331D87F5">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宋体" w:hAnsi="宋体" w:eastAsia="宋体" w:cs="宋体"/>
                      <w:b/>
                      <w:bCs/>
                      <w:color w:val="000000" w:themeColor="text1"/>
                      <w:kern w:val="0"/>
                      <w:sz w:val="21"/>
                      <w:szCs w:val="21"/>
                      <w14:textFill>
                        <w14:solidFill>
                          <w14:schemeClr w14:val="tx1"/>
                        </w14:solidFill>
                      </w14:textFill>
                    </w:rPr>
                  </w:pPr>
                  <w:r>
                    <w:rPr>
                      <w:rFonts w:hint="eastAsia" w:ascii="宋体" w:hAnsi="宋体" w:eastAsia="宋体" w:cs="宋体"/>
                      <w:b/>
                      <w:bCs/>
                      <w:color w:val="000000" w:themeColor="text1"/>
                      <w:kern w:val="0"/>
                      <w:sz w:val="21"/>
                      <w:szCs w:val="21"/>
                      <w14:textFill>
                        <w14:solidFill>
                          <w14:schemeClr w14:val="tx1"/>
                        </w14:solidFill>
                      </w14:textFill>
                    </w:rPr>
                    <w:t>零售方式</w:t>
                  </w:r>
                </w:p>
              </w:tc>
              <w:tc>
                <w:tcPr>
                  <w:tcW w:w="1875" w:type="pct"/>
                  <w:gridSpan w:val="3"/>
                  <w:shd w:val="clear" w:color="auto" w:fill="auto"/>
                  <w:vAlign w:val="center"/>
                </w:tcPr>
                <w:p w14:paraId="7664C1F4">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宋体" w:hAnsi="宋体" w:eastAsia="宋体" w:cs="宋体"/>
                      <w:b/>
                      <w:bCs/>
                      <w:color w:val="000000" w:themeColor="text1"/>
                      <w:kern w:val="0"/>
                      <w:sz w:val="21"/>
                      <w:szCs w:val="21"/>
                      <w14:textFill>
                        <w14:solidFill>
                          <w14:schemeClr w14:val="tx1"/>
                        </w14:solidFill>
                      </w14:textFill>
                    </w:rPr>
                  </w:pPr>
                  <w:r>
                    <w:rPr>
                      <w:rFonts w:hint="eastAsia" w:ascii="宋体" w:hAnsi="宋体" w:eastAsia="宋体" w:cs="宋体"/>
                      <w:b/>
                      <w:bCs/>
                      <w:color w:val="000000" w:themeColor="text1"/>
                      <w:kern w:val="0"/>
                      <w:sz w:val="21"/>
                      <w:szCs w:val="21"/>
                      <w14:textFill>
                        <w14:solidFill>
                          <w14:schemeClr w14:val="tx1"/>
                        </w14:solidFill>
                      </w14:textFill>
                    </w:rPr>
                    <w:t>加油机付油</w:t>
                  </w:r>
                </w:p>
              </w:tc>
              <w:tc>
                <w:tcPr>
                  <w:tcW w:w="1042" w:type="pct"/>
                  <w:shd w:val="clear" w:color="auto" w:fill="auto"/>
                  <w:vAlign w:val="center"/>
                </w:tcPr>
                <w:p w14:paraId="40446917">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宋体" w:hAnsi="宋体" w:eastAsia="宋体" w:cs="宋体"/>
                      <w:b/>
                      <w:bCs/>
                      <w:color w:val="000000" w:themeColor="text1"/>
                      <w:kern w:val="0"/>
                      <w:sz w:val="21"/>
                      <w:szCs w:val="21"/>
                      <w14:textFill>
                        <w14:solidFill>
                          <w14:schemeClr w14:val="tx1"/>
                        </w14:solidFill>
                      </w14:textFill>
                    </w:rPr>
                  </w:pPr>
                  <w:r>
                    <w:rPr>
                      <w:rFonts w:hint="eastAsia" w:ascii="宋体" w:hAnsi="宋体" w:eastAsia="宋体" w:cs="宋体"/>
                      <w:b/>
                      <w:bCs/>
                      <w:color w:val="000000" w:themeColor="text1"/>
                      <w:kern w:val="0"/>
                      <w:sz w:val="21"/>
                      <w:szCs w:val="21"/>
                      <w14:textFill>
                        <w14:solidFill>
                          <w14:schemeClr w14:val="tx1"/>
                        </w14:solidFill>
                      </w14:textFill>
                    </w:rPr>
                    <w:t>量提付油</w:t>
                  </w:r>
                </w:p>
              </w:tc>
              <w:tc>
                <w:tcPr>
                  <w:tcW w:w="1042" w:type="pct"/>
                  <w:shd w:val="clear" w:color="auto" w:fill="auto"/>
                  <w:vAlign w:val="center"/>
                </w:tcPr>
                <w:p w14:paraId="1924759B">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宋体" w:hAnsi="宋体" w:eastAsia="宋体" w:cs="宋体"/>
                      <w:b/>
                      <w:bCs/>
                      <w:color w:val="000000" w:themeColor="text1"/>
                      <w:kern w:val="0"/>
                      <w:sz w:val="21"/>
                      <w:szCs w:val="21"/>
                      <w14:textFill>
                        <w14:solidFill>
                          <w14:schemeClr w14:val="tx1"/>
                        </w14:solidFill>
                      </w14:textFill>
                    </w:rPr>
                  </w:pPr>
                  <w:r>
                    <w:rPr>
                      <w:rFonts w:hint="eastAsia" w:ascii="宋体" w:hAnsi="宋体" w:eastAsia="宋体" w:cs="宋体"/>
                      <w:b/>
                      <w:bCs/>
                      <w:color w:val="000000" w:themeColor="text1"/>
                      <w:kern w:val="0"/>
                      <w:sz w:val="21"/>
                      <w:szCs w:val="21"/>
                      <w14:textFill>
                        <w14:solidFill>
                          <w14:schemeClr w14:val="tx1"/>
                        </w14:solidFill>
                      </w14:textFill>
                    </w:rPr>
                    <w:t>称量付油</w:t>
                  </w:r>
                </w:p>
              </w:tc>
            </w:tr>
            <w:tr w14:paraId="3BA1A3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42" w:type="pct"/>
                  <w:shd w:val="clear" w:color="auto" w:fill="auto"/>
                  <w:vAlign w:val="center"/>
                </w:tcPr>
                <w:p w14:paraId="06F04B24">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油品</w:t>
                  </w:r>
                </w:p>
              </w:tc>
              <w:tc>
                <w:tcPr>
                  <w:tcW w:w="625" w:type="pct"/>
                  <w:shd w:val="clear" w:color="auto" w:fill="auto"/>
                  <w:vAlign w:val="center"/>
                </w:tcPr>
                <w:p w14:paraId="0DAB63B1">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汽油</w:t>
                  </w:r>
                </w:p>
              </w:tc>
              <w:tc>
                <w:tcPr>
                  <w:tcW w:w="625" w:type="pct"/>
                  <w:shd w:val="clear" w:color="auto" w:fill="auto"/>
                  <w:vAlign w:val="center"/>
                </w:tcPr>
                <w:p w14:paraId="2C7C92A4">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煤油</w:t>
                  </w:r>
                </w:p>
              </w:tc>
              <w:tc>
                <w:tcPr>
                  <w:tcW w:w="625" w:type="pct"/>
                  <w:shd w:val="clear" w:color="auto" w:fill="auto"/>
                  <w:vAlign w:val="center"/>
                </w:tcPr>
                <w:p w14:paraId="33EF8A08">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柴油</w:t>
                  </w:r>
                </w:p>
              </w:tc>
              <w:tc>
                <w:tcPr>
                  <w:tcW w:w="1042" w:type="pct"/>
                  <w:shd w:val="clear" w:color="auto" w:fill="auto"/>
                  <w:vAlign w:val="center"/>
                </w:tcPr>
                <w:p w14:paraId="4538A3D0">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煤油</w:t>
                  </w:r>
                </w:p>
              </w:tc>
              <w:tc>
                <w:tcPr>
                  <w:tcW w:w="1042" w:type="pct"/>
                  <w:shd w:val="clear" w:color="auto" w:fill="auto"/>
                  <w:vAlign w:val="center"/>
                </w:tcPr>
                <w:p w14:paraId="325BA6E0">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润滑油</w:t>
                  </w:r>
                </w:p>
              </w:tc>
            </w:tr>
            <w:tr w14:paraId="4DCB0C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42" w:type="pct"/>
                  <w:shd w:val="clear" w:color="auto" w:fill="auto"/>
                  <w:vAlign w:val="center"/>
                </w:tcPr>
                <w:p w14:paraId="2120B826">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损耗率</w:t>
                  </w:r>
                </w:p>
              </w:tc>
              <w:tc>
                <w:tcPr>
                  <w:tcW w:w="625" w:type="pct"/>
                  <w:shd w:val="clear" w:color="auto" w:fill="auto"/>
                  <w:vAlign w:val="center"/>
                </w:tcPr>
                <w:p w14:paraId="025B28C1">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等线" w:cs="Times New Roman"/>
                      <w:color w:val="000000" w:themeColor="text1"/>
                      <w:kern w:val="0"/>
                      <w:sz w:val="21"/>
                      <w:szCs w:val="21"/>
                      <w14:textFill>
                        <w14:solidFill>
                          <w14:schemeClr w14:val="tx1"/>
                        </w14:solidFill>
                      </w14:textFill>
                    </w:rPr>
                  </w:pPr>
                  <w:r>
                    <w:rPr>
                      <w:rFonts w:ascii="Times New Roman" w:hAnsi="Times New Roman" w:eastAsia="等线" w:cs="Times New Roman"/>
                      <w:color w:val="000000" w:themeColor="text1"/>
                      <w:kern w:val="0"/>
                      <w:sz w:val="21"/>
                      <w:szCs w:val="21"/>
                      <w14:textFill>
                        <w14:solidFill>
                          <w14:schemeClr w14:val="tx1"/>
                        </w14:solidFill>
                      </w14:textFill>
                    </w:rPr>
                    <w:t>0.29</w:t>
                  </w:r>
                </w:p>
              </w:tc>
              <w:tc>
                <w:tcPr>
                  <w:tcW w:w="625" w:type="pct"/>
                  <w:shd w:val="clear" w:color="auto" w:fill="auto"/>
                  <w:vAlign w:val="center"/>
                </w:tcPr>
                <w:p w14:paraId="65953ABB">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等线" w:cs="Times New Roman"/>
                      <w:color w:val="000000" w:themeColor="text1"/>
                      <w:kern w:val="0"/>
                      <w:sz w:val="21"/>
                      <w:szCs w:val="21"/>
                      <w14:textFill>
                        <w14:solidFill>
                          <w14:schemeClr w14:val="tx1"/>
                        </w14:solidFill>
                      </w14:textFill>
                    </w:rPr>
                  </w:pPr>
                  <w:r>
                    <w:rPr>
                      <w:rFonts w:ascii="Times New Roman" w:hAnsi="Times New Roman" w:eastAsia="等线" w:cs="Times New Roman"/>
                      <w:color w:val="000000" w:themeColor="text1"/>
                      <w:kern w:val="0"/>
                      <w:sz w:val="21"/>
                      <w:szCs w:val="21"/>
                      <w14:textFill>
                        <w14:solidFill>
                          <w14:schemeClr w14:val="tx1"/>
                        </w14:solidFill>
                      </w14:textFill>
                    </w:rPr>
                    <w:t>0.12</w:t>
                  </w:r>
                </w:p>
              </w:tc>
              <w:tc>
                <w:tcPr>
                  <w:tcW w:w="625" w:type="pct"/>
                  <w:shd w:val="clear" w:color="auto" w:fill="auto"/>
                  <w:vAlign w:val="center"/>
                </w:tcPr>
                <w:p w14:paraId="192A88B2">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等线" w:cs="Times New Roman"/>
                      <w:color w:val="000000" w:themeColor="text1"/>
                      <w:kern w:val="0"/>
                      <w:sz w:val="21"/>
                      <w:szCs w:val="21"/>
                      <w14:textFill>
                        <w14:solidFill>
                          <w14:schemeClr w14:val="tx1"/>
                        </w14:solidFill>
                      </w14:textFill>
                    </w:rPr>
                  </w:pPr>
                  <w:r>
                    <w:rPr>
                      <w:rFonts w:ascii="Times New Roman" w:hAnsi="Times New Roman" w:eastAsia="等线" w:cs="Times New Roman"/>
                      <w:color w:val="000000" w:themeColor="text1"/>
                      <w:kern w:val="0"/>
                      <w:sz w:val="21"/>
                      <w:szCs w:val="21"/>
                      <w14:textFill>
                        <w14:solidFill>
                          <w14:schemeClr w14:val="tx1"/>
                        </w14:solidFill>
                      </w14:textFill>
                    </w:rPr>
                    <w:t>0.08</w:t>
                  </w:r>
                </w:p>
              </w:tc>
              <w:tc>
                <w:tcPr>
                  <w:tcW w:w="1042" w:type="pct"/>
                  <w:shd w:val="clear" w:color="auto" w:fill="auto"/>
                  <w:vAlign w:val="center"/>
                </w:tcPr>
                <w:p w14:paraId="5D86949F">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等线" w:cs="Times New Roman"/>
                      <w:color w:val="000000" w:themeColor="text1"/>
                      <w:kern w:val="0"/>
                      <w:sz w:val="21"/>
                      <w:szCs w:val="21"/>
                      <w14:textFill>
                        <w14:solidFill>
                          <w14:schemeClr w14:val="tx1"/>
                        </w14:solidFill>
                      </w14:textFill>
                    </w:rPr>
                  </w:pPr>
                  <w:r>
                    <w:rPr>
                      <w:rFonts w:ascii="Times New Roman" w:hAnsi="Times New Roman" w:eastAsia="等线" w:cs="Times New Roman"/>
                      <w:color w:val="000000" w:themeColor="text1"/>
                      <w:kern w:val="0"/>
                      <w:sz w:val="21"/>
                      <w:szCs w:val="21"/>
                      <w14:textFill>
                        <w14:solidFill>
                          <w14:schemeClr w14:val="tx1"/>
                        </w14:solidFill>
                      </w14:textFill>
                    </w:rPr>
                    <w:t>0.16</w:t>
                  </w:r>
                </w:p>
              </w:tc>
              <w:tc>
                <w:tcPr>
                  <w:tcW w:w="1042" w:type="pct"/>
                  <w:shd w:val="clear" w:color="auto" w:fill="auto"/>
                  <w:vAlign w:val="center"/>
                </w:tcPr>
                <w:p w14:paraId="4CDD38AC">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等线" w:cs="Times New Roman"/>
                      <w:color w:val="000000" w:themeColor="text1"/>
                      <w:kern w:val="0"/>
                      <w:sz w:val="21"/>
                      <w:szCs w:val="21"/>
                      <w14:textFill>
                        <w14:solidFill>
                          <w14:schemeClr w14:val="tx1"/>
                        </w14:solidFill>
                      </w14:textFill>
                    </w:rPr>
                  </w:pPr>
                  <w:r>
                    <w:rPr>
                      <w:rFonts w:ascii="Times New Roman" w:hAnsi="Times New Roman" w:eastAsia="等线" w:cs="Times New Roman"/>
                      <w:color w:val="000000" w:themeColor="text1"/>
                      <w:kern w:val="0"/>
                      <w:sz w:val="21"/>
                      <w:szCs w:val="21"/>
                      <w14:textFill>
                        <w14:solidFill>
                          <w14:schemeClr w14:val="tx1"/>
                        </w14:solidFill>
                      </w14:textFill>
                    </w:rPr>
                    <w:t>0.47</w:t>
                  </w:r>
                </w:p>
              </w:tc>
            </w:tr>
          </w:tbl>
          <w:p w14:paraId="1380BF0D">
            <w:pPr>
              <w:spacing w:line="360" w:lineRule="auto"/>
              <w:ind w:firstLine="480" w:firstLineChars="200"/>
              <w:rPr>
                <w:rFonts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本项目位于</w:t>
            </w:r>
            <w:r>
              <w:rPr>
                <w:rFonts w:ascii="Times New Roman" w:hAnsi="Times New Roman" w:eastAsia="宋体" w:cs="Times New Roman"/>
                <w:color w:val="auto"/>
                <w:sz w:val="24"/>
                <w:highlight w:val="none"/>
              </w:rPr>
              <w:t>江西省九江市</w:t>
            </w:r>
            <w:r>
              <w:rPr>
                <w:rFonts w:hint="eastAsia" w:cs="Times New Roman"/>
                <w:color w:val="auto"/>
                <w:sz w:val="24"/>
                <w:highlight w:val="none"/>
                <w:lang w:val="en-US" w:eastAsia="zh-CN"/>
              </w:rPr>
              <w:t>柴桑区</w:t>
            </w:r>
            <w:r>
              <w:rPr>
                <w:rFonts w:ascii="Times New Roman" w:hAnsi="Times New Roman" w:eastAsia="宋体" w:cs="Times New Roman"/>
                <w:color w:val="auto"/>
                <w:sz w:val="24"/>
                <w:highlight w:val="none"/>
              </w:rPr>
              <w:t>，属于</w:t>
            </w:r>
            <w:r>
              <w:rPr>
                <w:rFonts w:hint="eastAsia" w:ascii="Times New Roman" w:hAnsi="Times New Roman" w:eastAsia="宋体" w:cs="Times New Roman"/>
                <w:color w:val="auto"/>
                <w:sz w:val="24"/>
                <w:highlight w:val="none"/>
              </w:rPr>
              <w:t>A类区</w:t>
            </w:r>
            <w:r>
              <w:rPr>
                <w:rFonts w:ascii="Times New Roman" w:hAnsi="Times New Roman" w:eastAsia="宋体" w:cs="Times New Roman"/>
                <w:color w:val="auto"/>
                <w:sz w:val="24"/>
                <w:highlight w:val="none"/>
              </w:rPr>
              <w:t>，</w:t>
            </w:r>
            <w:r>
              <w:rPr>
                <w:rFonts w:hint="eastAsia" w:cs="Times New Roman"/>
                <w:color w:val="auto"/>
                <w:sz w:val="24"/>
                <w:highlight w:val="none"/>
                <w:lang w:val="en-US" w:eastAsia="zh-CN"/>
              </w:rPr>
              <w:t>储</w:t>
            </w:r>
            <w:r>
              <w:rPr>
                <w:rFonts w:ascii="Times New Roman" w:hAnsi="Times New Roman" w:eastAsia="宋体" w:cs="Times New Roman"/>
                <w:color w:val="auto"/>
                <w:sz w:val="24"/>
                <w:highlight w:val="none"/>
              </w:rPr>
              <w:t>油罐为地埋卧式SF双层油罐</w:t>
            </w:r>
            <w:r>
              <w:rPr>
                <w:rFonts w:hint="eastAsia" w:cs="Times New Roman"/>
                <w:color w:val="auto"/>
                <w:sz w:val="24"/>
                <w:highlight w:val="none"/>
                <w:lang w:eastAsia="zh-CN"/>
              </w:rPr>
              <w:t>。</w:t>
            </w:r>
            <w:r>
              <w:rPr>
                <w:rFonts w:hint="eastAsia" w:cs="Times New Roman"/>
                <w:color w:val="auto"/>
                <w:sz w:val="24"/>
                <w:highlight w:val="none"/>
                <w:lang w:val="en-US" w:eastAsia="zh-CN"/>
              </w:rPr>
              <w:t>根据建设单位提供资料，</w:t>
            </w:r>
            <w:r>
              <w:rPr>
                <w:rFonts w:hint="eastAsia" w:ascii="Times New Roman" w:hAnsi="Times New Roman" w:eastAsia="宋体" w:cs="Times New Roman"/>
                <w:color w:val="auto"/>
                <w:sz w:val="24"/>
                <w:highlight w:val="none"/>
              </w:rPr>
              <w:t>项目</w:t>
            </w:r>
            <w:r>
              <w:rPr>
                <w:rFonts w:ascii="Times New Roman" w:hAnsi="Times New Roman" w:eastAsia="宋体" w:cs="Times New Roman"/>
                <w:color w:val="auto"/>
                <w:sz w:val="24"/>
                <w:highlight w:val="none"/>
              </w:rPr>
              <w:t>年销售成品油汽油</w:t>
            </w:r>
            <w:r>
              <w:rPr>
                <w:rFonts w:hint="eastAsia" w:cs="Times New Roman"/>
                <w:color w:val="auto"/>
                <w:sz w:val="24"/>
                <w:highlight w:val="none"/>
                <w:lang w:val="en-US" w:eastAsia="zh-CN"/>
              </w:rPr>
              <w:t>1499.4</w:t>
            </w:r>
            <w:r>
              <w:rPr>
                <w:rFonts w:ascii="Times New Roman" w:hAnsi="Times New Roman" w:eastAsia="宋体" w:cs="Times New Roman"/>
                <w:color w:val="auto"/>
                <w:sz w:val="24"/>
                <w:highlight w:val="none"/>
              </w:rPr>
              <w:t>t/a</w:t>
            </w:r>
            <w:r>
              <w:rPr>
                <w:rFonts w:hint="eastAsia" w:cs="Times New Roman"/>
                <w:color w:val="auto"/>
                <w:sz w:val="24"/>
                <w:highlight w:val="none"/>
                <w:lang w:eastAsia="zh-CN"/>
              </w:rPr>
              <w:t>、</w:t>
            </w:r>
            <w:r>
              <w:rPr>
                <w:rFonts w:ascii="Times New Roman" w:hAnsi="Times New Roman" w:eastAsia="宋体" w:cs="Times New Roman"/>
                <w:color w:val="auto"/>
                <w:sz w:val="24"/>
                <w:highlight w:val="none"/>
              </w:rPr>
              <w:t>0#柴油</w:t>
            </w:r>
            <w:r>
              <w:rPr>
                <w:rFonts w:hint="eastAsia" w:ascii="Times New Roman" w:hAnsi="Times New Roman" w:eastAsia="宋体" w:cs="Times New Roman"/>
                <w:color w:val="auto"/>
                <w:sz w:val="24"/>
                <w:highlight w:val="none"/>
                <w:lang w:val="en-US" w:eastAsia="zh-CN"/>
              </w:rPr>
              <w:t>2856</w:t>
            </w:r>
            <w:r>
              <w:rPr>
                <w:rFonts w:hint="eastAsia" w:ascii="Times New Roman" w:hAnsi="Times New Roman" w:eastAsia="宋体" w:cs="Times New Roman"/>
                <w:color w:val="auto"/>
                <w:sz w:val="24"/>
                <w:highlight w:val="none"/>
              </w:rPr>
              <w:t>t</w:t>
            </w:r>
            <w:r>
              <w:rPr>
                <w:rFonts w:ascii="Times New Roman" w:hAnsi="Times New Roman" w:eastAsia="宋体" w:cs="Times New Roman"/>
                <w:color w:val="auto"/>
                <w:sz w:val="24"/>
                <w:highlight w:val="none"/>
              </w:rPr>
              <w:t>/a。</w:t>
            </w:r>
            <w:r>
              <w:rPr>
                <w:rFonts w:hint="eastAsia" w:ascii="Times New Roman" w:hAnsi="Times New Roman" w:eastAsia="宋体" w:cs="Times New Roman"/>
                <w:color w:val="auto"/>
                <w:sz w:val="24"/>
                <w:highlight w:val="none"/>
              </w:rPr>
              <w:t>根据《散装液态石油产品损耗》（</w:t>
            </w:r>
            <w:r>
              <w:rPr>
                <w:rFonts w:ascii="Times New Roman" w:hAnsi="Times New Roman" w:eastAsia="宋体" w:cs="Times New Roman"/>
                <w:color w:val="auto"/>
                <w:sz w:val="24"/>
                <w:highlight w:val="none"/>
              </w:rPr>
              <w:t>GB11085-89）</w:t>
            </w:r>
            <w:r>
              <w:rPr>
                <w:rFonts w:hint="eastAsia" w:ascii="Times New Roman" w:hAnsi="Times New Roman" w:eastAsia="宋体" w:cs="Times New Roman"/>
                <w:color w:val="auto"/>
                <w:sz w:val="24"/>
                <w:highlight w:val="none"/>
              </w:rPr>
              <w:t>，卧式罐的贮存损耗率可以忽略不计，</w:t>
            </w:r>
            <w:r>
              <w:rPr>
                <w:rFonts w:ascii="Times New Roman" w:hAnsi="Times New Roman" w:eastAsia="宋体" w:cs="Times New Roman"/>
                <w:color w:val="auto"/>
                <w:sz w:val="24"/>
                <w:highlight w:val="none"/>
              </w:rPr>
              <w:t>则项目油品卸车过程中汽油损耗率取0.23%</w:t>
            </w:r>
            <w:r>
              <w:rPr>
                <w:rFonts w:hint="eastAsia" w:cs="Times New Roman"/>
                <w:color w:val="auto"/>
                <w:sz w:val="24"/>
                <w:highlight w:val="none"/>
                <w:lang w:eastAsia="zh-CN"/>
              </w:rPr>
              <w:t>，</w:t>
            </w:r>
            <w:r>
              <w:rPr>
                <w:rFonts w:hint="eastAsia" w:ascii="Times New Roman" w:hAnsi="Times New Roman" w:eastAsia="宋体" w:cs="Times New Roman"/>
                <w:color w:val="auto"/>
                <w:sz w:val="24"/>
                <w:highlight w:val="none"/>
              </w:rPr>
              <w:t>柴油损耗率取0</w:t>
            </w:r>
            <w:r>
              <w:rPr>
                <w:rFonts w:ascii="Times New Roman" w:hAnsi="Times New Roman" w:eastAsia="宋体" w:cs="Times New Roman"/>
                <w:color w:val="auto"/>
                <w:sz w:val="24"/>
                <w:highlight w:val="none"/>
              </w:rPr>
              <w:t>.05%；油品零售过程中汽油损耗率取0.29%</w:t>
            </w:r>
            <w:r>
              <w:rPr>
                <w:rFonts w:hint="eastAsia" w:cs="Times New Roman"/>
                <w:color w:val="auto"/>
                <w:sz w:val="24"/>
                <w:highlight w:val="none"/>
                <w:lang w:eastAsia="zh-CN"/>
              </w:rPr>
              <w:t>，</w:t>
            </w:r>
            <w:r>
              <w:rPr>
                <w:rFonts w:hint="eastAsia" w:ascii="Times New Roman" w:hAnsi="Times New Roman" w:eastAsia="宋体" w:cs="Times New Roman"/>
                <w:color w:val="auto"/>
                <w:sz w:val="24"/>
                <w:highlight w:val="none"/>
              </w:rPr>
              <w:t>柴油损耗率取0</w:t>
            </w:r>
            <w:r>
              <w:rPr>
                <w:rFonts w:ascii="Times New Roman" w:hAnsi="Times New Roman" w:eastAsia="宋体" w:cs="Times New Roman"/>
                <w:color w:val="auto"/>
                <w:sz w:val="24"/>
                <w:highlight w:val="none"/>
              </w:rPr>
              <w:t>.08%。</w:t>
            </w:r>
          </w:p>
          <w:p w14:paraId="13390CEE">
            <w:pPr>
              <w:spacing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考虑项目</w:t>
            </w:r>
            <w:r>
              <w:rPr>
                <w:rFonts w:hint="eastAsia" w:ascii="Times New Roman" w:hAnsi="Times New Roman" w:eastAsia="宋体" w:cs="Times New Roman"/>
                <w:color w:val="auto"/>
                <w:sz w:val="24"/>
                <w:highlight w:val="none"/>
              </w:rPr>
              <w:t>汽油</w:t>
            </w:r>
            <w:r>
              <w:rPr>
                <w:rFonts w:hint="eastAsia" w:cs="Times New Roman"/>
                <w:color w:val="auto"/>
                <w:sz w:val="24"/>
                <w:highlight w:val="none"/>
                <w:lang w:val="en-US" w:eastAsia="zh-CN"/>
              </w:rPr>
              <w:t>卸油、</w:t>
            </w:r>
            <w:r>
              <w:rPr>
                <w:rFonts w:hint="eastAsia" w:ascii="Times New Roman" w:hAnsi="Times New Roman" w:eastAsia="宋体" w:cs="Times New Roman"/>
                <w:color w:val="auto"/>
                <w:sz w:val="24"/>
                <w:highlight w:val="none"/>
              </w:rPr>
              <w:t>加油</w:t>
            </w:r>
            <w:r>
              <w:rPr>
                <w:rFonts w:ascii="Times New Roman" w:hAnsi="Times New Roman" w:eastAsia="宋体" w:cs="Times New Roman"/>
                <w:color w:val="auto"/>
                <w:sz w:val="24"/>
                <w:highlight w:val="none"/>
              </w:rPr>
              <w:t>安装有油气回收</w:t>
            </w:r>
            <w:r>
              <w:rPr>
                <w:rFonts w:hint="eastAsia" w:cs="Times New Roman"/>
                <w:color w:val="auto"/>
                <w:sz w:val="24"/>
                <w:highlight w:val="none"/>
                <w:lang w:val="en-US" w:eastAsia="zh-CN"/>
              </w:rPr>
              <w:t>系统</w:t>
            </w:r>
            <w:r>
              <w:rPr>
                <w:rFonts w:hint="eastAsia" w:ascii="Times New Roman" w:hAnsi="Times New Roman" w:eastAsia="宋体" w:cs="Times New Roman"/>
                <w:color w:val="auto"/>
                <w:sz w:val="24"/>
                <w:highlight w:val="none"/>
              </w:rPr>
              <w:t>，柴油</w:t>
            </w:r>
            <w:r>
              <w:rPr>
                <w:rFonts w:hint="eastAsia" w:cs="Times New Roman"/>
                <w:color w:val="auto"/>
                <w:sz w:val="24"/>
                <w:highlight w:val="none"/>
                <w:lang w:val="en-US" w:eastAsia="zh-CN"/>
              </w:rPr>
              <w:t>卸油、</w:t>
            </w:r>
            <w:r>
              <w:rPr>
                <w:rFonts w:hint="eastAsia" w:ascii="Times New Roman" w:hAnsi="Times New Roman" w:eastAsia="宋体" w:cs="Times New Roman"/>
                <w:color w:val="auto"/>
                <w:sz w:val="24"/>
                <w:highlight w:val="none"/>
              </w:rPr>
              <w:t>加油不安装油气回收</w:t>
            </w:r>
            <w:r>
              <w:rPr>
                <w:rFonts w:hint="eastAsia" w:cs="Times New Roman"/>
                <w:color w:val="auto"/>
                <w:sz w:val="24"/>
                <w:highlight w:val="none"/>
                <w:lang w:val="en-US" w:eastAsia="zh-CN"/>
              </w:rPr>
              <w:t>系统</w:t>
            </w:r>
            <w:r>
              <w:rPr>
                <w:rFonts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rPr>
              <w:t>根据《加油站油气回收可行技术指南》（编制说明），卸油油气回收系统油气回收效率能达到9</w:t>
            </w:r>
            <w:r>
              <w:rPr>
                <w:rFonts w:ascii="Times New Roman" w:hAnsi="Times New Roman" w:eastAsia="宋体" w:cs="Times New Roman"/>
                <w:color w:val="auto"/>
                <w:sz w:val="24"/>
                <w:highlight w:val="none"/>
              </w:rPr>
              <w:t>5%~98%</w:t>
            </w:r>
            <w:r>
              <w:rPr>
                <w:rFonts w:hint="eastAsia" w:ascii="Times New Roman" w:hAnsi="Times New Roman" w:eastAsia="宋体" w:cs="Times New Roman"/>
                <w:color w:val="auto"/>
                <w:sz w:val="24"/>
                <w:highlight w:val="none"/>
              </w:rPr>
              <w:t>，加油油气回收系统油气回收效率能达到9</w:t>
            </w:r>
            <w:r>
              <w:rPr>
                <w:rFonts w:ascii="Times New Roman" w:hAnsi="Times New Roman" w:eastAsia="宋体" w:cs="Times New Roman"/>
                <w:color w:val="auto"/>
                <w:sz w:val="24"/>
                <w:highlight w:val="none"/>
              </w:rPr>
              <w:t>5%</w:t>
            </w:r>
            <w:r>
              <w:rPr>
                <w:rFonts w:hint="eastAsia" w:ascii="Times New Roman" w:hAnsi="Times New Roman" w:eastAsia="宋体" w:cs="Times New Roman"/>
                <w:color w:val="auto"/>
                <w:sz w:val="24"/>
                <w:highlight w:val="none"/>
              </w:rPr>
              <w:t>，但由于受到各种其他因素的影响，其实际的效率为8</w:t>
            </w:r>
            <w:r>
              <w:rPr>
                <w:rFonts w:ascii="Times New Roman" w:hAnsi="Times New Roman" w:eastAsia="宋体" w:cs="Times New Roman"/>
                <w:color w:val="auto"/>
                <w:sz w:val="24"/>
                <w:highlight w:val="none"/>
              </w:rPr>
              <w:t>5%~95%</w:t>
            </w:r>
            <w:r>
              <w:rPr>
                <w:rFonts w:hint="eastAsia" w:ascii="Times New Roman" w:hAnsi="Times New Roman" w:eastAsia="宋体" w:cs="Times New Roman"/>
                <w:color w:val="auto"/>
                <w:sz w:val="24"/>
                <w:highlight w:val="none"/>
              </w:rPr>
              <w:t>不等。因此</w:t>
            </w:r>
            <w:r>
              <w:rPr>
                <w:rFonts w:hint="eastAsia" w:cs="Times New Roman"/>
                <w:color w:val="auto"/>
                <w:sz w:val="24"/>
                <w:highlight w:val="none"/>
                <w:lang w:eastAsia="zh-CN"/>
              </w:rPr>
              <w:t>，</w:t>
            </w:r>
            <w:r>
              <w:rPr>
                <w:rFonts w:hint="eastAsia" w:ascii="Times New Roman" w:hAnsi="Times New Roman" w:eastAsia="宋体" w:cs="Times New Roman"/>
                <w:color w:val="auto"/>
                <w:sz w:val="24"/>
                <w:highlight w:val="none"/>
              </w:rPr>
              <w:t>本次</w:t>
            </w:r>
            <w:r>
              <w:rPr>
                <w:rFonts w:hint="eastAsia" w:cs="Times New Roman"/>
                <w:color w:val="auto"/>
                <w:sz w:val="24"/>
                <w:highlight w:val="none"/>
                <w:lang w:val="en-US" w:eastAsia="zh-CN"/>
              </w:rPr>
              <w:t>评价</w:t>
            </w:r>
            <w:r>
              <w:rPr>
                <w:rFonts w:hint="eastAsia" w:ascii="Times New Roman" w:hAnsi="Times New Roman" w:eastAsia="宋体" w:cs="Times New Roman"/>
                <w:color w:val="auto"/>
                <w:sz w:val="24"/>
                <w:highlight w:val="none"/>
              </w:rPr>
              <w:t>卸油油气回收系统油气回收效率取9</w:t>
            </w:r>
            <w:r>
              <w:rPr>
                <w:rFonts w:ascii="Times New Roman" w:hAnsi="Times New Roman" w:eastAsia="宋体" w:cs="Times New Roman"/>
                <w:color w:val="auto"/>
                <w:sz w:val="24"/>
                <w:highlight w:val="none"/>
              </w:rPr>
              <w:t>5%</w:t>
            </w:r>
            <w:r>
              <w:rPr>
                <w:rFonts w:hint="eastAsia" w:ascii="Times New Roman" w:hAnsi="Times New Roman" w:eastAsia="宋体" w:cs="Times New Roman"/>
                <w:color w:val="auto"/>
                <w:sz w:val="24"/>
                <w:highlight w:val="none"/>
              </w:rPr>
              <w:t>，加油油气回收系统油气回收效率取</w:t>
            </w:r>
            <w:r>
              <w:rPr>
                <w:rFonts w:ascii="Times New Roman" w:hAnsi="Times New Roman" w:eastAsia="宋体" w:cs="Times New Roman"/>
                <w:color w:val="auto"/>
                <w:sz w:val="24"/>
                <w:highlight w:val="none"/>
              </w:rPr>
              <w:t>90%</w:t>
            </w:r>
            <w:r>
              <w:rPr>
                <w:rFonts w:hint="eastAsia" w:ascii="Times New Roman" w:hAnsi="Times New Roman" w:eastAsia="宋体" w:cs="Times New Roman"/>
                <w:color w:val="auto"/>
                <w:sz w:val="24"/>
                <w:highlight w:val="none"/>
              </w:rPr>
              <w:t>。</w:t>
            </w:r>
            <w:r>
              <w:rPr>
                <w:rFonts w:ascii="Times New Roman" w:hAnsi="Times New Roman" w:eastAsia="宋体" w:cs="Times New Roman"/>
                <w:color w:val="auto"/>
                <w:sz w:val="24"/>
                <w:highlight w:val="none"/>
              </w:rPr>
              <w:t>故</w:t>
            </w:r>
            <w:r>
              <w:rPr>
                <w:rFonts w:hint="eastAsia" w:ascii="Times New Roman" w:hAnsi="Times New Roman" w:eastAsia="宋体" w:cs="Times New Roman"/>
                <w:color w:val="auto"/>
                <w:sz w:val="24"/>
                <w:highlight w:val="none"/>
              </w:rPr>
              <w:t>项目</w:t>
            </w:r>
            <w:r>
              <w:rPr>
                <w:rFonts w:ascii="Times New Roman" w:hAnsi="Times New Roman" w:eastAsia="宋体" w:cs="Times New Roman"/>
                <w:color w:val="auto"/>
                <w:sz w:val="24"/>
                <w:highlight w:val="none"/>
              </w:rPr>
              <w:t>非甲烷总烃产排</w:t>
            </w:r>
            <w:r>
              <w:rPr>
                <w:rFonts w:hint="eastAsia" w:cs="Times New Roman"/>
                <w:color w:val="auto"/>
                <w:sz w:val="24"/>
                <w:highlight w:val="none"/>
                <w:lang w:val="en-US" w:eastAsia="zh-CN"/>
              </w:rPr>
              <w:t>情况详</w:t>
            </w:r>
            <w:r>
              <w:rPr>
                <w:rFonts w:ascii="Times New Roman" w:hAnsi="Times New Roman" w:eastAsia="宋体" w:cs="Times New Roman"/>
                <w:color w:val="auto"/>
                <w:sz w:val="24"/>
                <w:highlight w:val="none"/>
              </w:rPr>
              <w:t>见表4</w:t>
            </w:r>
            <w:r>
              <w:rPr>
                <w:rFonts w:hint="eastAsia" w:cs="Times New Roman"/>
                <w:color w:val="auto"/>
                <w:sz w:val="24"/>
                <w:highlight w:val="none"/>
                <w:lang w:val="en-US" w:eastAsia="zh-CN"/>
              </w:rPr>
              <w:t>.1</w:t>
            </w:r>
            <w:r>
              <w:rPr>
                <w:rFonts w:ascii="Times New Roman" w:hAnsi="Times New Roman" w:eastAsia="宋体" w:cs="Times New Roman"/>
                <w:color w:val="auto"/>
                <w:sz w:val="24"/>
                <w:highlight w:val="none"/>
              </w:rPr>
              <w:t>-4</w:t>
            </w:r>
            <w:r>
              <w:rPr>
                <w:rFonts w:hint="eastAsia" w:cs="Times New Roman"/>
                <w:color w:val="auto"/>
                <w:sz w:val="24"/>
                <w:highlight w:val="none"/>
                <w:lang w:val="en-US" w:eastAsia="zh-CN"/>
              </w:rPr>
              <w:t>~表4.1-5</w:t>
            </w:r>
            <w:r>
              <w:rPr>
                <w:rFonts w:ascii="Times New Roman" w:hAnsi="Times New Roman" w:eastAsia="宋体" w:cs="Times New Roman"/>
                <w:color w:val="auto"/>
                <w:sz w:val="24"/>
                <w:highlight w:val="none"/>
              </w:rPr>
              <w:t>。</w:t>
            </w:r>
          </w:p>
          <w:p w14:paraId="76777F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b/>
                <w:color w:val="000000" w:themeColor="text1"/>
                <w:sz w:val="21"/>
                <w:szCs w:val="21"/>
                <w14:textFill>
                  <w14:solidFill>
                    <w14:schemeClr w14:val="tx1"/>
                  </w14:solidFill>
                </w14:textFill>
              </w:rPr>
            </w:pPr>
            <w:r>
              <w:rPr>
                <w:rFonts w:hint="eastAsia" w:ascii="Times New Roman" w:hAnsi="Times New Roman" w:eastAsia="宋体"/>
                <w:b/>
                <w:color w:val="000000" w:themeColor="text1"/>
                <w:sz w:val="21"/>
                <w:szCs w:val="21"/>
                <w14:textFill>
                  <w14:solidFill>
                    <w14:schemeClr w14:val="tx1"/>
                  </w14:solidFill>
                </w14:textFill>
              </w:rPr>
              <w:t>表</w:t>
            </w:r>
            <w:r>
              <w:rPr>
                <w:rFonts w:ascii="Times New Roman" w:hAnsi="Times New Roman" w:eastAsia="宋体"/>
                <w:b/>
                <w:color w:val="000000" w:themeColor="text1"/>
                <w:sz w:val="21"/>
                <w:szCs w:val="21"/>
                <w14:textFill>
                  <w14:solidFill>
                    <w14:schemeClr w14:val="tx1"/>
                  </w14:solidFill>
                </w14:textFill>
              </w:rPr>
              <w:t>4</w:t>
            </w:r>
            <w:r>
              <w:rPr>
                <w:rFonts w:hint="eastAsia"/>
                <w:b/>
                <w:color w:val="000000" w:themeColor="text1"/>
                <w:sz w:val="21"/>
                <w:szCs w:val="21"/>
                <w:lang w:val="en-US" w:eastAsia="zh-CN"/>
                <w14:textFill>
                  <w14:solidFill>
                    <w14:schemeClr w14:val="tx1"/>
                  </w14:solidFill>
                </w14:textFill>
              </w:rPr>
              <w:t>.1</w:t>
            </w:r>
            <w:r>
              <w:rPr>
                <w:rFonts w:ascii="Times New Roman" w:hAnsi="Times New Roman" w:eastAsia="宋体"/>
                <w:b/>
                <w:color w:val="000000" w:themeColor="text1"/>
                <w:sz w:val="21"/>
                <w:szCs w:val="21"/>
                <w14:textFill>
                  <w14:solidFill>
                    <w14:schemeClr w14:val="tx1"/>
                  </w14:solidFill>
                </w14:textFill>
              </w:rPr>
              <w:t>-4   项目非甲烷总烃产排</w:t>
            </w:r>
            <w:r>
              <w:rPr>
                <w:rFonts w:hint="eastAsia" w:ascii="Times New Roman" w:hAnsi="Times New Roman" w:eastAsia="宋体"/>
                <w:b/>
                <w:color w:val="000000" w:themeColor="text1"/>
                <w:sz w:val="21"/>
                <w:szCs w:val="21"/>
                <w14:textFill>
                  <w14:solidFill>
                    <w14:schemeClr w14:val="tx1"/>
                  </w14:solidFill>
                </w14:textFill>
              </w:rPr>
              <w:t>情况一览表</w:t>
            </w:r>
          </w:p>
          <w:tbl>
            <w:tblPr>
              <w:tblStyle w:val="3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404"/>
              <w:gridCol w:w="1362"/>
              <w:gridCol w:w="1362"/>
              <w:gridCol w:w="1362"/>
              <w:gridCol w:w="1362"/>
              <w:gridCol w:w="1362"/>
            </w:tblGrid>
            <w:tr w14:paraId="50ED8D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04" w:type="pct"/>
                  <w:vMerge w:val="restart"/>
                  <w:shd w:val="clear" w:color="auto" w:fill="auto"/>
                  <w:vAlign w:val="center"/>
                </w:tcPr>
                <w:p w14:paraId="4AAFC820">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b/>
                      <w:bCs/>
                      <w:color w:val="000000" w:themeColor="text1"/>
                      <w:kern w:val="0"/>
                      <w:sz w:val="21"/>
                      <w:szCs w:val="21"/>
                      <w14:textFill>
                        <w14:solidFill>
                          <w14:schemeClr w14:val="tx1"/>
                        </w14:solidFill>
                      </w14:textFill>
                    </w:rPr>
                  </w:pPr>
                  <w:r>
                    <w:rPr>
                      <w:rFonts w:ascii="Times New Roman" w:hAnsi="Times New Roman" w:eastAsia="宋体" w:cs="Times New Roman"/>
                      <w:b/>
                      <w:bCs/>
                      <w:color w:val="000000" w:themeColor="text1"/>
                      <w:kern w:val="0"/>
                      <w:sz w:val="21"/>
                      <w:szCs w:val="21"/>
                      <w14:textFill>
                        <w14:solidFill>
                          <w14:schemeClr w14:val="tx1"/>
                        </w14:solidFill>
                      </w14:textFill>
                    </w:rPr>
                    <w:t>污染源</w:t>
                  </w:r>
                </w:p>
              </w:tc>
              <w:tc>
                <w:tcPr>
                  <w:tcW w:w="1478" w:type="pct"/>
                  <w:gridSpan w:val="2"/>
                  <w:shd w:val="clear" w:color="auto" w:fill="auto"/>
                  <w:vAlign w:val="center"/>
                </w:tcPr>
                <w:p w14:paraId="6BC66EA9">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b/>
                      <w:bCs/>
                      <w:color w:val="000000" w:themeColor="text1"/>
                      <w:kern w:val="0"/>
                      <w:sz w:val="21"/>
                      <w:szCs w:val="21"/>
                      <w14:textFill>
                        <w14:solidFill>
                          <w14:schemeClr w14:val="tx1"/>
                        </w14:solidFill>
                      </w14:textFill>
                    </w:rPr>
                  </w:pPr>
                  <w:r>
                    <w:rPr>
                      <w:rFonts w:ascii="Times New Roman" w:hAnsi="Times New Roman" w:eastAsia="宋体" w:cs="Times New Roman"/>
                      <w:b/>
                      <w:bCs/>
                      <w:color w:val="000000" w:themeColor="text1"/>
                      <w:kern w:val="0"/>
                      <w:sz w:val="21"/>
                      <w:szCs w:val="21"/>
                      <w14:textFill>
                        <w14:solidFill>
                          <w14:schemeClr w14:val="tx1"/>
                        </w14:solidFill>
                      </w14:textFill>
                    </w:rPr>
                    <w:t>油品卸车</w:t>
                  </w:r>
                </w:p>
              </w:tc>
              <w:tc>
                <w:tcPr>
                  <w:tcW w:w="1478" w:type="pct"/>
                  <w:gridSpan w:val="2"/>
                  <w:shd w:val="clear" w:color="auto" w:fill="auto"/>
                  <w:vAlign w:val="center"/>
                </w:tcPr>
                <w:p w14:paraId="60E0C771">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b/>
                      <w:bCs/>
                      <w:color w:val="000000" w:themeColor="text1"/>
                      <w:kern w:val="0"/>
                      <w:sz w:val="21"/>
                      <w:szCs w:val="21"/>
                      <w14:textFill>
                        <w14:solidFill>
                          <w14:schemeClr w14:val="tx1"/>
                        </w14:solidFill>
                      </w14:textFill>
                    </w:rPr>
                  </w:pPr>
                  <w:r>
                    <w:rPr>
                      <w:rFonts w:ascii="Times New Roman" w:hAnsi="Times New Roman" w:eastAsia="宋体" w:cs="Times New Roman"/>
                      <w:b/>
                      <w:bCs/>
                      <w:color w:val="000000" w:themeColor="text1"/>
                      <w:kern w:val="0"/>
                      <w:sz w:val="21"/>
                      <w:szCs w:val="21"/>
                      <w14:textFill>
                        <w14:solidFill>
                          <w14:schemeClr w14:val="tx1"/>
                        </w14:solidFill>
                      </w14:textFill>
                    </w:rPr>
                    <w:t>油品零售</w:t>
                  </w:r>
                </w:p>
              </w:tc>
              <w:tc>
                <w:tcPr>
                  <w:tcW w:w="739" w:type="pct"/>
                  <w:vMerge w:val="restart"/>
                  <w:shd w:val="clear" w:color="auto" w:fill="auto"/>
                  <w:vAlign w:val="center"/>
                </w:tcPr>
                <w:p w14:paraId="2CE125CA">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b/>
                      <w:bCs/>
                      <w:color w:val="000000" w:themeColor="text1"/>
                      <w:kern w:val="0"/>
                      <w:sz w:val="21"/>
                      <w:szCs w:val="21"/>
                      <w14:textFill>
                        <w14:solidFill>
                          <w14:schemeClr w14:val="tx1"/>
                        </w14:solidFill>
                      </w14:textFill>
                    </w:rPr>
                  </w:pPr>
                  <w:r>
                    <w:rPr>
                      <w:rFonts w:ascii="Times New Roman" w:hAnsi="Times New Roman" w:eastAsia="宋体" w:cs="Times New Roman"/>
                      <w:b/>
                      <w:bCs/>
                      <w:color w:val="000000" w:themeColor="text1"/>
                      <w:kern w:val="0"/>
                      <w:sz w:val="21"/>
                      <w:szCs w:val="21"/>
                      <w14:textFill>
                        <w14:solidFill>
                          <w14:schemeClr w14:val="tx1"/>
                        </w14:solidFill>
                      </w14:textFill>
                    </w:rPr>
                    <w:t>合计</w:t>
                  </w:r>
                </w:p>
              </w:tc>
            </w:tr>
            <w:tr w14:paraId="5ACD0A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04" w:type="pct"/>
                  <w:vMerge w:val="continue"/>
                  <w:shd w:val="clear" w:color="auto" w:fill="auto"/>
                  <w:vAlign w:val="center"/>
                </w:tcPr>
                <w:p w14:paraId="28B8A544">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p>
              </w:tc>
              <w:tc>
                <w:tcPr>
                  <w:tcW w:w="739" w:type="pct"/>
                  <w:shd w:val="clear" w:color="auto" w:fill="auto"/>
                  <w:vAlign w:val="center"/>
                </w:tcPr>
                <w:p w14:paraId="31914E28">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b/>
                      <w:bCs/>
                      <w:color w:val="000000" w:themeColor="text1"/>
                      <w:kern w:val="0"/>
                      <w:sz w:val="21"/>
                      <w:szCs w:val="21"/>
                      <w14:textFill>
                        <w14:solidFill>
                          <w14:schemeClr w14:val="tx1"/>
                        </w14:solidFill>
                      </w14:textFill>
                    </w:rPr>
                  </w:pPr>
                  <w:r>
                    <w:rPr>
                      <w:rFonts w:ascii="Times New Roman" w:hAnsi="Times New Roman" w:eastAsia="宋体" w:cs="Times New Roman"/>
                      <w:b/>
                      <w:bCs/>
                      <w:color w:val="000000" w:themeColor="text1"/>
                      <w:kern w:val="0"/>
                      <w:sz w:val="21"/>
                      <w:szCs w:val="21"/>
                      <w14:textFill>
                        <w14:solidFill>
                          <w14:schemeClr w14:val="tx1"/>
                        </w14:solidFill>
                      </w14:textFill>
                    </w:rPr>
                    <w:t>汽油</w:t>
                  </w:r>
                </w:p>
              </w:tc>
              <w:tc>
                <w:tcPr>
                  <w:tcW w:w="739" w:type="pct"/>
                  <w:shd w:val="clear" w:color="auto" w:fill="auto"/>
                  <w:vAlign w:val="center"/>
                </w:tcPr>
                <w:p w14:paraId="793A2EBF">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b/>
                      <w:bCs/>
                      <w:color w:val="000000" w:themeColor="text1"/>
                      <w:kern w:val="0"/>
                      <w:sz w:val="21"/>
                      <w:szCs w:val="21"/>
                      <w14:textFill>
                        <w14:solidFill>
                          <w14:schemeClr w14:val="tx1"/>
                        </w14:solidFill>
                      </w14:textFill>
                    </w:rPr>
                  </w:pPr>
                  <w:r>
                    <w:rPr>
                      <w:rFonts w:ascii="Times New Roman" w:hAnsi="Times New Roman" w:eastAsia="宋体" w:cs="Times New Roman"/>
                      <w:b/>
                      <w:bCs/>
                      <w:color w:val="000000" w:themeColor="text1"/>
                      <w:kern w:val="0"/>
                      <w:sz w:val="21"/>
                      <w:szCs w:val="21"/>
                      <w14:textFill>
                        <w14:solidFill>
                          <w14:schemeClr w14:val="tx1"/>
                        </w14:solidFill>
                      </w14:textFill>
                    </w:rPr>
                    <w:t>柴油</w:t>
                  </w:r>
                </w:p>
              </w:tc>
              <w:tc>
                <w:tcPr>
                  <w:tcW w:w="739" w:type="pct"/>
                  <w:shd w:val="clear" w:color="auto" w:fill="auto"/>
                  <w:vAlign w:val="center"/>
                </w:tcPr>
                <w:p w14:paraId="4E68CB2D">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b/>
                      <w:bCs/>
                      <w:color w:val="000000" w:themeColor="text1"/>
                      <w:kern w:val="0"/>
                      <w:sz w:val="21"/>
                      <w:szCs w:val="21"/>
                      <w14:textFill>
                        <w14:solidFill>
                          <w14:schemeClr w14:val="tx1"/>
                        </w14:solidFill>
                      </w14:textFill>
                    </w:rPr>
                  </w:pPr>
                  <w:r>
                    <w:rPr>
                      <w:rFonts w:ascii="Times New Roman" w:hAnsi="Times New Roman" w:eastAsia="宋体" w:cs="Times New Roman"/>
                      <w:b/>
                      <w:bCs/>
                      <w:color w:val="000000" w:themeColor="text1"/>
                      <w:kern w:val="0"/>
                      <w:sz w:val="21"/>
                      <w:szCs w:val="21"/>
                      <w14:textFill>
                        <w14:solidFill>
                          <w14:schemeClr w14:val="tx1"/>
                        </w14:solidFill>
                      </w14:textFill>
                    </w:rPr>
                    <w:t>汽油</w:t>
                  </w:r>
                </w:p>
              </w:tc>
              <w:tc>
                <w:tcPr>
                  <w:tcW w:w="739" w:type="pct"/>
                  <w:shd w:val="clear" w:color="auto" w:fill="auto"/>
                  <w:vAlign w:val="center"/>
                </w:tcPr>
                <w:p w14:paraId="41AE741D">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b/>
                      <w:bCs/>
                      <w:color w:val="000000" w:themeColor="text1"/>
                      <w:kern w:val="0"/>
                      <w:sz w:val="21"/>
                      <w:szCs w:val="21"/>
                      <w14:textFill>
                        <w14:solidFill>
                          <w14:schemeClr w14:val="tx1"/>
                        </w14:solidFill>
                      </w14:textFill>
                    </w:rPr>
                  </w:pPr>
                  <w:r>
                    <w:rPr>
                      <w:rFonts w:ascii="Times New Roman" w:hAnsi="Times New Roman" w:eastAsia="宋体" w:cs="Times New Roman"/>
                      <w:b/>
                      <w:bCs/>
                      <w:color w:val="000000" w:themeColor="text1"/>
                      <w:kern w:val="0"/>
                      <w:sz w:val="21"/>
                      <w:szCs w:val="21"/>
                      <w14:textFill>
                        <w14:solidFill>
                          <w14:schemeClr w14:val="tx1"/>
                        </w14:solidFill>
                      </w14:textFill>
                    </w:rPr>
                    <w:t>柴油</w:t>
                  </w:r>
                </w:p>
              </w:tc>
              <w:tc>
                <w:tcPr>
                  <w:tcW w:w="739" w:type="pct"/>
                  <w:vMerge w:val="continue"/>
                  <w:shd w:val="clear" w:color="auto" w:fill="auto"/>
                  <w:vAlign w:val="center"/>
                </w:tcPr>
                <w:p w14:paraId="0704C132">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p>
              </w:tc>
            </w:tr>
            <w:tr w14:paraId="220DF5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04" w:type="pct"/>
                  <w:shd w:val="clear" w:color="auto" w:fill="auto"/>
                  <w:vAlign w:val="center"/>
                </w:tcPr>
                <w:p w14:paraId="2AE7BB95">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非甲烷总烃产生量</w:t>
                  </w:r>
                  <w:r>
                    <w:rPr>
                      <w:rFonts w:hint="eastAsia" w:ascii="Times New Roman" w:hAnsi="Times New Roman" w:eastAsia="宋体" w:cs="Times New Roman"/>
                      <w:color w:val="000000" w:themeColor="text1"/>
                      <w:kern w:val="0"/>
                      <w:sz w:val="21"/>
                      <w:szCs w:val="21"/>
                      <w14:textFill>
                        <w14:solidFill>
                          <w14:schemeClr w14:val="tx1"/>
                        </w14:solidFill>
                      </w14:textFill>
                    </w:rPr>
                    <w:t>（t/a）</w:t>
                  </w:r>
                </w:p>
              </w:tc>
              <w:tc>
                <w:tcPr>
                  <w:tcW w:w="739" w:type="pct"/>
                  <w:shd w:val="clear" w:color="auto" w:fill="auto"/>
                  <w:vAlign w:val="center"/>
                </w:tcPr>
                <w:p w14:paraId="3861F511">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3.449</w:t>
                  </w:r>
                </w:p>
              </w:tc>
              <w:tc>
                <w:tcPr>
                  <w:tcW w:w="739" w:type="pct"/>
                  <w:shd w:val="clear" w:color="auto" w:fill="auto"/>
                  <w:vAlign w:val="center"/>
                </w:tcPr>
                <w:p w14:paraId="0D3FF8F3">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1.428</w:t>
                  </w:r>
                </w:p>
              </w:tc>
              <w:tc>
                <w:tcPr>
                  <w:tcW w:w="739" w:type="pct"/>
                  <w:shd w:val="clear" w:color="auto" w:fill="auto"/>
                  <w:vAlign w:val="center"/>
                </w:tcPr>
                <w:p w14:paraId="39B874B4">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4.348</w:t>
                  </w:r>
                </w:p>
              </w:tc>
              <w:tc>
                <w:tcPr>
                  <w:tcW w:w="739" w:type="pct"/>
                  <w:shd w:val="clear" w:color="auto" w:fill="auto"/>
                  <w:vAlign w:val="center"/>
                </w:tcPr>
                <w:p w14:paraId="609731DD">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2.285</w:t>
                  </w:r>
                </w:p>
              </w:tc>
              <w:tc>
                <w:tcPr>
                  <w:tcW w:w="739" w:type="pct"/>
                  <w:shd w:val="clear" w:color="auto" w:fill="auto"/>
                  <w:vAlign w:val="center"/>
                </w:tcPr>
                <w:p w14:paraId="53FAE7E8">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11.510</w:t>
                  </w:r>
                </w:p>
              </w:tc>
            </w:tr>
            <w:tr w14:paraId="40278F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04" w:type="pct"/>
                  <w:shd w:val="clear" w:color="auto" w:fill="auto"/>
                  <w:vAlign w:val="center"/>
                </w:tcPr>
                <w:p w14:paraId="11EFA2EF">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非甲烷总烃排放量</w:t>
                  </w:r>
                  <w:r>
                    <w:rPr>
                      <w:rFonts w:hint="eastAsia" w:ascii="Times New Roman" w:hAnsi="Times New Roman" w:eastAsia="宋体" w:cs="Times New Roman"/>
                      <w:color w:val="000000" w:themeColor="text1"/>
                      <w:kern w:val="0"/>
                      <w:sz w:val="21"/>
                      <w:szCs w:val="21"/>
                      <w14:textFill>
                        <w14:solidFill>
                          <w14:schemeClr w14:val="tx1"/>
                        </w14:solidFill>
                      </w14:textFill>
                    </w:rPr>
                    <w:t>（t/a）</w:t>
                  </w:r>
                </w:p>
              </w:tc>
              <w:tc>
                <w:tcPr>
                  <w:tcW w:w="739" w:type="pct"/>
                  <w:shd w:val="clear" w:color="auto" w:fill="auto"/>
                  <w:vAlign w:val="center"/>
                </w:tcPr>
                <w:p w14:paraId="6101B113">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ì." w:cs="Times New Roman"/>
                      <w:sz w:val="21"/>
                      <w:szCs w:val="21"/>
                      <w:lang w:val="en-US" w:eastAsia="zh-CN"/>
                    </w:rPr>
                    <w:t>0.</w:t>
                  </w:r>
                  <w:r>
                    <w:rPr>
                      <w:rFonts w:hint="eastAsia" w:ascii="Times New Roman" w:eastAsia="..ì." w:cs="Times New Roman"/>
                      <w:sz w:val="21"/>
                      <w:szCs w:val="21"/>
                      <w:lang w:val="en-US" w:eastAsia="zh-CN"/>
                    </w:rPr>
                    <w:t>172</w:t>
                  </w:r>
                </w:p>
              </w:tc>
              <w:tc>
                <w:tcPr>
                  <w:tcW w:w="739" w:type="pct"/>
                  <w:shd w:val="clear" w:color="auto" w:fill="auto"/>
                  <w:vAlign w:val="center"/>
                </w:tcPr>
                <w:p w14:paraId="459E6BF0">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cs="Times New Roman"/>
                      <w:sz w:val="21"/>
                      <w:szCs w:val="21"/>
                      <w:lang w:val="en-US" w:eastAsia="zh-CN"/>
                    </w:rPr>
                    <w:t>1.428</w:t>
                  </w:r>
                </w:p>
              </w:tc>
              <w:tc>
                <w:tcPr>
                  <w:tcW w:w="739" w:type="pct"/>
                  <w:shd w:val="clear" w:color="auto" w:fill="auto"/>
                  <w:vAlign w:val="center"/>
                </w:tcPr>
                <w:p w14:paraId="0C20E6B9">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hint="eastAsia" w:cs="Times New Roman"/>
                      <w:sz w:val="21"/>
                      <w:szCs w:val="21"/>
                      <w:lang w:val="en-US" w:eastAsia="zh-CN"/>
                    </w:rPr>
                    <w:t>0.435</w:t>
                  </w:r>
                </w:p>
              </w:tc>
              <w:tc>
                <w:tcPr>
                  <w:tcW w:w="739" w:type="pct"/>
                  <w:shd w:val="clear" w:color="auto" w:fill="auto"/>
                  <w:vAlign w:val="center"/>
                </w:tcPr>
                <w:p w14:paraId="62645D80">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2.285</w:t>
                  </w:r>
                </w:p>
              </w:tc>
              <w:tc>
                <w:tcPr>
                  <w:tcW w:w="739" w:type="pct"/>
                  <w:shd w:val="clear" w:color="auto" w:fill="auto"/>
                  <w:vAlign w:val="center"/>
                </w:tcPr>
                <w:p w14:paraId="6CD09E32">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4.320</w:t>
                  </w:r>
                </w:p>
              </w:tc>
            </w:tr>
          </w:tbl>
          <w:p w14:paraId="55E2319C">
            <w:pPr>
              <w:spacing w:line="360" w:lineRule="auto"/>
              <w:ind w:firstLine="480" w:firstLineChars="200"/>
              <w:rPr>
                <w:rFonts w:hint="eastAsia" w:ascii="Times New Roman" w:hAnsi="Times New Roman" w:eastAsia="宋体" w:cs="Times New Roman"/>
                <w:color w:val="auto"/>
                <w:sz w:val="24"/>
                <w:highlight w:val="none"/>
              </w:rPr>
            </w:pPr>
          </w:p>
          <w:p w14:paraId="642C5260">
            <w:pPr>
              <w:spacing w:line="360" w:lineRule="auto"/>
              <w:ind w:firstLine="480" w:firstLineChars="200"/>
              <w:rPr>
                <w:rFonts w:hint="eastAsia" w:ascii="Times New Roman" w:hAnsi="Times New Roman" w:eastAsia="宋体" w:cs="Times New Roman"/>
                <w:color w:val="auto"/>
                <w:sz w:val="24"/>
                <w:highlight w:val="none"/>
              </w:rPr>
            </w:pPr>
          </w:p>
          <w:p w14:paraId="5AB65E4E">
            <w:pPr>
              <w:spacing w:line="360" w:lineRule="auto"/>
              <w:ind w:firstLine="480" w:firstLineChars="200"/>
              <w:rPr>
                <w:rFonts w:hint="eastAsia" w:ascii="Times New Roman" w:hAnsi="Times New Roman" w:eastAsia="宋体" w:cs="Times New Roman"/>
                <w:color w:val="auto"/>
                <w:sz w:val="24"/>
                <w:highlight w:val="none"/>
              </w:rPr>
            </w:pPr>
          </w:p>
          <w:p w14:paraId="48731CAC">
            <w:pPr>
              <w:spacing w:line="360" w:lineRule="auto"/>
              <w:ind w:firstLine="480" w:firstLineChars="200"/>
              <w:rPr>
                <w:rFonts w:hint="eastAsia" w:ascii="Times New Roman" w:hAnsi="Times New Roman" w:eastAsia="宋体" w:cs="Times New Roman"/>
                <w:color w:val="auto"/>
                <w:sz w:val="24"/>
                <w:highlight w:val="none"/>
              </w:rPr>
            </w:pPr>
          </w:p>
          <w:p w14:paraId="3853760C">
            <w:pPr>
              <w:spacing w:line="360" w:lineRule="auto"/>
              <w:ind w:firstLine="480" w:firstLineChars="200"/>
              <w:rPr>
                <w:rFonts w:hint="eastAsia" w:ascii="Times New Roman" w:hAnsi="Times New Roman" w:eastAsia="宋体" w:cs="Times New Roman"/>
                <w:color w:val="auto"/>
                <w:sz w:val="24"/>
                <w:highlight w:val="none"/>
              </w:rPr>
            </w:pPr>
          </w:p>
          <w:p w14:paraId="74D2FDB8">
            <w:pPr>
              <w:spacing w:line="360" w:lineRule="auto"/>
              <w:ind w:firstLine="480" w:firstLineChars="200"/>
              <w:rPr>
                <w:rFonts w:hint="eastAsia" w:ascii="Times New Roman" w:hAnsi="Times New Roman" w:eastAsia="宋体" w:cs="Times New Roman"/>
                <w:color w:val="auto"/>
                <w:sz w:val="24"/>
                <w:highlight w:val="none"/>
              </w:rPr>
            </w:pPr>
          </w:p>
          <w:p w14:paraId="0626BE50">
            <w:pPr>
              <w:spacing w:line="360" w:lineRule="auto"/>
              <w:ind w:firstLine="480" w:firstLineChars="200"/>
              <w:rPr>
                <w:rFonts w:hint="eastAsia" w:ascii="Times New Roman" w:hAnsi="Times New Roman" w:eastAsia="宋体" w:cs="Times New Roman"/>
                <w:color w:val="auto"/>
                <w:sz w:val="24"/>
                <w:highlight w:val="none"/>
              </w:rPr>
            </w:pPr>
          </w:p>
          <w:p w14:paraId="0A74F886">
            <w:pPr>
              <w:spacing w:line="360" w:lineRule="auto"/>
              <w:ind w:firstLine="480" w:firstLineChars="200"/>
              <w:rPr>
                <w:rFonts w:hint="eastAsia" w:ascii="Times New Roman" w:hAnsi="Times New Roman" w:eastAsia="宋体" w:cs="Times New Roman"/>
                <w:color w:val="auto"/>
                <w:sz w:val="24"/>
                <w:highlight w:val="none"/>
              </w:rPr>
            </w:pPr>
          </w:p>
          <w:p w14:paraId="1EE8916B">
            <w:pPr>
              <w:spacing w:line="360" w:lineRule="auto"/>
              <w:ind w:firstLine="480" w:firstLineChars="200"/>
              <w:rPr>
                <w:rFonts w:hint="eastAsia" w:ascii="Times New Roman" w:hAnsi="Times New Roman" w:eastAsia="宋体" w:cs="Times New Roman"/>
                <w:color w:val="auto"/>
                <w:sz w:val="24"/>
                <w:highlight w:val="none"/>
              </w:rPr>
            </w:pPr>
          </w:p>
          <w:p w14:paraId="1C80CB94">
            <w:pPr>
              <w:spacing w:line="360" w:lineRule="auto"/>
              <w:ind w:firstLine="480" w:firstLineChars="200"/>
              <w:rPr>
                <w:rFonts w:hint="eastAsia" w:ascii="Times New Roman" w:hAnsi="Times New Roman" w:eastAsia="宋体" w:cs="Times New Roman"/>
                <w:color w:val="auto"/>
                <w:sz w:val="24"/>
                <w:highlight w:val="none"/>
              </w:rPr>
            </w:pPr>
          </w:p>
          <w:p w14:paraId="1F3722EC">
            <w:pPr>
              <w:spacing w:line="360" w:lineRule="auto"/>
              <w:ind w:firstLine="480" w:firstLineChars="200"/>
              <w:rPr>
                <w:rFonts w:hint="eastAsia" w:ascii="Times New Roman" w:hAnsi="Times New Roman" w:eastAsia="宋体" w:cs="Times New Roman"/>
                <w:color w:val="auto"/>
                <w:sz w:val="24"/>
                <w:highlight w:val="none"/>
              </w:rPr>
            </w:pPr>
          </w:p>
          <w:p w14:paraId="2B3D887F">
            <w:pPr>
              <w:spacing w:line="360" w:lineRule="auto"/>
              <w:ind w:firstLine="480" w:firstLineChars="200"/>
              <w:rPr>
                <w:rFonts w:hint="eastAsia" w:ascii="Times New Roman" w:hAnsi="Times New Roman" w:eastAsia="宋体" w:cs="Times New Roman"/>
                <w:color w:val="auto"/>
                <w:sz w:val="24"/>
                <w:highlight w:val="none"/>
              </w:rPr>
            </w:pPr>
          </w:p>
          <w:p w14:paraId="199E58E8">
            <w:pPr>
              <w:spacing w:line="360" w:lineRule="auto"/>
              <w:ind w:firstLine="480" w:firstLineChars="200"/>
              <w:rPr>
                <w:rFonts w:hint="eastAsia" w:ascii="Times New Roman" w:hAnsi="Times New Roman" w:eastAsia="宋体" w:cs="Times New Roman"/>
                <w:color w:val="auto"/>
                <w:sz w:val="24"/>
                <w:highlight w:val="none"/>
              </w:rPr>
            </w:pPr>
          </w:p>
          <w:p w14:paraId="17204885">
            <w:pPr>
              <w:spacing w:line="360" w:lineRule="auto"/>
              <w:ind w:firstLine="480" w:firstLineChars="200"/>
              <w:rPr>
                <w:rFonts w:hint="eastAsia" w:ascii="Times New Roman" w:hAnsi="Times New Roman" w:eastAsia="宋体" w:cs="Times New Roman"/>
                <w:color w:val="auto"/>
                <w:sz w:val="24"/>
                <w:highlight w:val="none"/>
              </w:rPr>
            </w:pPr>
          </w:p>
          <w:p w14:paraId="5C86A2F6">
            <w:pPr>
              <w:spacing w:line="360" w:lineRule="auto"/>
              <w:ind w:firstLine="480" w:firstLineChars="200"/>
              <w:rPr>
                <w:rFonts w:hint="eastAsia" w:ascii="Times New Roman" w:hAnsi="Times New Roman" w:eastAsia="宋体" w:cs="Times New Roman"/>
                <w:color w:val="auto"/>
                <w:sz w:val="24"/>
                <w:highlight w:val="none"/>
              </w:rPr>
            </w:pPr>
          </w:p>
          <w:p w14:paraId="169F38C6">
            <w:pPr>
              <w:spacing w:line="360" w:lineRule="auto"/>
              <w:ind w:firstLine="480" w:firstLineChars="200"/>
              <w:rPr>
                <w:rFonts w:hint="eastAsia" w:ascii="Times New Roman" w:hAnsi="Times New Roman" w:eastAsia="宋体" w:cs="Times New Roman"/>
                <w:color w:val="auto"/>
                <w:sz w:val="24"/>
                <w:highlight w:val="none"/>
              </w:rPr>
            </w:pPr>
          </w:p>
          <w:p w14:paraId="059A111D">
            <w:pPr>
              <w:spacing w:line="360" w:lineRule="auto"/>
              <w:ind w:firstLine="480" w:firstLineChars="200"/>
              <w:rPr>
                <w:rFonts w:hint="eastAsia" w:ascii="Times New Roman" w:hAnsi="Times New Roman" w:eastAsia="宋体" w:cs="Times New Roman"/>
                <w:color w:val="auto"/>
                <w:sz w:val="24"/>
                <w:highlight w:val="none"/>
              </w:rPr>
            </w:pPr>
          </w:p>
          <w:p w14:paraId="0E43297D">
            <w:pPr>
              <w:spacing w:line="360" w:lineRule="auto"/>
              <w:ind w:firstLine="480" w:firstLineChars="200"/>
            </w:pPr>
          </w:p>
          <w:p w14:paraId="6B22E85E">
            <w:pPr>
              <w:spacing w:line="360" w:lineRule="auto"/>
              <w:ind w:firstLine="480" w:firstLineChars="200"/>
            </w:pPr>
          </w:p>
          <w:p w14:paraId="798DBE81">
            <w:pPr>
              <w:spacing w:line="360" w:lineRule="auto"/>
              <w:ind w:firstLine="480" w:firstLineChars="200"/>
            </w:pPr>
          </w:p>
        </w:tc>
      </w:tr>
    </w:tbl>
    <w:p w14:paraId="740E3581">
      <w:pPr>
        <w:wordWrap w:val="0"/>
        <w:spacing w:line="240" w:lineRule="auto"/>
        <w:ind w:firstLine="0" w:firstLineChars="0"/>
        <w:jc w:val="center"/>
        <w:sectPr>
          <w:headerReference r:id="rId11" w:type="default"/>
          <w:footerReference r:id="rId12" w:type="default"/>
          <w:pgSz w:w="11906" w:h="16838"/>
          <w:pgMar w:top="1440" w:right="1080" w:bottom="1440" w:left="1080" w:header="851" w:footer="850" w:gutter="0"/>
          <w:pgBorders>
            <w:top w:val="none" w:sz="0" w:space="0"/>
            <w:left w:val="none" w:sz="0" w:space="0"/>
            <w:bottom w:val="none" w:sz="0" w:space="0"/>
            <w:right w:val="none" w:sz="0" w:space="0"/>
          </w:pgBorders>
          <w:pgNumType w:fmt="decimal" w:start="1"/>
          <w:cols w:space="0" w:num="1"/>
          <w:rtlGutter w:val="0"/>
          <w:docGrid w:type="lines" w:linePitch="326" w:charSpace="0"/>
        </w:sectPr>
      </w:pP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3"/>
        <w:gridCol w:w="14411"/>
      </w:tblGrid>
      <w:tr w14:paraId="016A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dxa"/>
            <w:vAlign w:val="center"/>
          </w:tcPr>
          <w:p w14:paraId="79712CC8">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vertAlign w:val="baseline"/>
              </w:rPr>
            </w:pPr>
            <w:r>
              <w:rPr>
                <w:rFonts w:hint="eastAsia" w:ascii="宋体" w:hAnsi="宋体" w:cs="Times New Roman"/>
                <w:bCs/>
                <w:lang w:val="en-US" w:eastAsia="zh-CN"/>
              </w:rPr>
              <w:t>运</w:t>
            </w:r>
            <w:r>
              <w:rPr>
                <w:rFonts w:hint="eastAsia" w:ascii="宋体" w:hAnsi="宋体" w:eastAsia="宋体" w:cs="Times New Roman"/>
                <w:bCs/>
              </w:rPr>
              <w:t>营期环境影响和保护措施</w:t>
            </w:r>
          </w:p>
        </w:tc>
        <w:tc>
          <w:tcPr>
            <w:tcW w:w="13537" w:type="dxa"/>
            <w:vAlign w:val="top"/>
          </w:tcPr>
          <w:p w14:paraId="4C185FED">
            <w:pPr>
              <w:wordWrap w:val="0"/>
              <w:spacing w:line="240" w:lineRule="auto"/>
              <w:jc w:val="center"/>
              <w:rPr>
                <w:vertAlign w:val="baseline"/>
              </w:rPr>
            </w:pPr>
            <w:r>
              <w:rPr>
                <w:rFonts w:hint="eastAsia" w:ascii="Times New Roman" w:hAnsi="Times New Roman" w:eastAsia="宋体"/>
                <w:b/>
                <w:color w:val="FF0000"/>
                <w:sz w:val="21"/>
                <w:szCs w:val="21"/>
              </w:rPr>
              <w:t>表4</w:t>
            </w:r>
            <w:r>
              <w:rPr>
                <w:rFonts w:hint="eastAsia"/>
                <w:b/>
                <w:color w:val="FF0000"/>
                <w:sz w:val="21"/>
                <w:szCs w:val="21"/>
                <w:lang w:val="en-US" w:eastAsia="zh-CN"/>
              </w:rPr>
              <w:t>.1</w:t>
            </w:r>
            <w:r>
              <w:rPr>
                <w:rFonts w:ascii="Times New Roman" w:hAnsi="Times New Roman" w:eastAsia="宋体"/>
                <w:b/>
                <w:color w:val="FF0000"/>
                <w:sz w:val="21"/>
                <w:szCs w:val="21"/>
              </w:rPr>
              <w:t>-</w:t>
            </w:r>
            <w:r>
              <w:rPr>
                <w:rFonts w:hint="eastAsia"/>
                <w:b/>
                <w:color w:val="FF0000"/>
                <w:sz w:val="21"/>
                <w:szCs w:val="21"/>
                <w:lang w:val="en-US" w:eastAsia="zh-CN"/>
              </w:rPr>
              <w:t>5</w:t>
            </w:r>
            <w:r>
              <w:rPr>
                <w:rFonts w:ascii="Times New Roman" w:hAnsi="Times New Roman" w:eastAsia="宋体"/>
                <w:b/>
                <w:color w:val="FF0000"/>
                <w:sz w:val="21"/>
                <w:szCs w:val="21"/>
              </w:rPr>
              <w:t xml:space="preserve">   </w:t>
            </w:r>
            <w:r>
              <w:rPr>
                <w:rFonts w:hint="eastAsia" w:ascii="Times New Roman" w:hAnsi="Times New Roman" w:eastAsia="宋体"/>
                <w:b/>
                <w:color w:val="FF0000"/>
                <w:sz w:val="21"/>
                <w:szCs w:val="21"/>
              </w:rPr>
              <w:t>项目</w:t>
            </w:r>
            <w:r>
              <w:rPr>
                <w:rFonts w:hint="eastAsia" w:ascii="Times New Roman" w:hAnsi="Times New Roman" w:eastAsia="宋体"/>
                <w:b/>
                <w:color w:val="FF0000"/>
                <w:sz w:val="21"/>
                <w:szCs w:val="21"/>
                <w:lang w:val="en-US" w:eastAsia="zh-CN"/>
              </w:rPr>
              <w:t>无组织</w:t>
            </w:r>
            <w:r>
              <w:rPr>
                <w:rFonts w:ascii="Times New Roman" w:hAnsi="Times New Roman" w:eastAsia="宋体"/>
                <w:b/>
                <w:color w:val="FF0000"/>
                <w:sz w:val="21"/>
                <w:szCs w:val="21"/>
              </w:rPr>
              <w:t>废气产排情况</w:t>
            </w:r>
            <w:r>
              <w:rPr>
                <w:rFonts w:hint="eastAsia" w:ascii="Times New Roman" w:hAnsi="Times New Roman" w:eastAsia="宋体"/>
                <w:b/>
                <w:color w:val="FF0000"/>
                <w:sz w:val="21"/>
                <w:szCs w:val="21"/>
              </w:rPr>
              <w:t>一览表</w:t>
            </w:r>
          </w:p>
          <w:tbl>
            <w:tblPr>
              <w:tblStyle w:val="35"/>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3"/>
              <w:gridCol w:w="1157"/>
              <w:gridCol w:w="1324"/>
              <w:gridCol w:w="1732"/>
              <w:gridCol w:w="1472"/>
              <w:gridCol w:w="2085"/>
              <w:gridCol w:w="1245"/>
              <w:gridCol w:w="1500"/>
              <w:gridCol w:w="1676"/>
              <w:gridCol w:w="1320"/>
            </w:tblGrid>
            <w:tr w14:paraId="172B84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30" w:type="dxa"/>
                  <w:gridSpan w:val="2"/>
                  <w:noWrap w:val="0"/>
                  <w:vAlign w:val="center"/>
                </w:tcPr>
                <w:p w14:paraId="6F301529">
                  <w:pPr>
                    <w:keepNext w:val="0"/>
                    <w:keepLines w:val="0"/>
                    <w:pageBreakBefore w:val="0"/>
                    <w:kinsoku/>
                    <w:wordWrap/>
                    <w:overflowPunct/>
                    <w:topLinePunct w:val="0"/>
                    <w:bidi w:val="0"/>
                    <w:adjustRightInd/>
                    <w:snapToGrid w:val="0"/>
                    <w:spacing w:line="240" w:lineRule="auto"/>
                    <w:ind w:firstLine="0" w:firstLineChars="0"/>
                    <w:jc w:val="center"/>
                    <w:rPr>
                      <w:b/>
                      <w:bCs/>
                      <w:sz w:val="21"/>
                      <w:szCs w:val="21"/>
                    </w:rPr>
                  </w:pPr>
                  <w:r>
                    <w:rPr>
                      <w:rFonts w:hint="default" w:ascii="Times New Roman" w:hAnsi="Times New Roman" w:eastAsia="宋体" w:cs="Times New Roman"/>
                      <w:b/>
                      <w:bCs/>
                      <w:color w:val="000000" w:themeColor="text1"/>
                      <w:sz w:val="21"/>
                      <w:szCs w:val="21"/>
                      <w14:textFill>
                        <w14:solidFill>
                          <w14:schemeClr w14:val="tx1"/>
                        </w14:solidFill>
                      </w14:textFill>
                    </w:rPr>
                    <w:t>污染源</w:t>
                  </w:r>
                </w:p>
              </w:tc>
              <w:tc>
                <w:tcPr>
                  <w:tcW w:w="1324" w:type="dxa"/>
                  <w:noWrap w:val="0"/>
                  <w:vAlign w:val="center"/>
                </w:tcPr>
                <w:p w14:paraId="04C0C2C3">
                  <w:pPr>
                    <w:keepNext w:val="0"/>
                    <w:keepLines w:val="0"/>
                    <w:pageBreakBefore w:val="0"/>
                    <w:kinsoku/>
                    <w:wordWrap/>
                    <w:overflowPunct/>
                    <w:topLinePunct w:val="0"/>
                    <w:bidi w:val="0"/>
                    <w:adjustRightInd/>
                    <w:snapToGrid w:val="0"/>
                    <w:spacing w:line="240" w:lineRule="auto"/>
                    <w:ind w:firstLine="0" w:firstLineChars="0"/>
                    <w:jc w:val="center"/>
                    <w:rPr>
                      <w:b/>
                      <w:bCs/>
                      <w:sz w:val="21"/>
                      <w:szCs w:val="21"/>
                    </w:rPr>
                  </w:pPr>
                  <w:r>
                    <w:rPr>
                      <w:b/>
                      <w:bCs/>
                      <w:sz w:val="21"/>
                      <w:szCs w:val="21"/>
                    </w:rPr>
                    <w:t>污染物</w:t>
                  </w:r>
                </w:p>
              </w:tc>
              <w:tc>
                <w:tcPr>
                  <w:tcW w:w="1732" w:type="dxa"/>
                  <w:noWrap w:val="0"/>
                  <w:vAlign w:val="center"/>
                </w:tcPr>
                <w:p w14:paraId="1A2FE7E9">
                  <w:pPr>
                    <w:keepNext w:val="0"/>
                    <w:keepLines w:val="0"/>
                    <w:pageBreakBefore w:val="0"/>
                    <w:kinsoku/>
                    <w:wordWrap/>
                    <w:overflowPunct/>
                    <w:topLinePunct w:val="0"/>
                    <w:bidi w:val="0"/>
                    <w:adjustRightInd/>
                    <w:snapToGrid w:val="0"/>
                    <w:spacing w:line="240" w:lineRule="auto"/>
                    <w:ind w:firstLine="0" w:firstLineChars="0"/>
                    <w:jc w:val="center"/>
                    <w:rPr>
                      <w:b/>
                      <w:bCs/>
                      <w:sz w:val="21"/>
                      <w:szCs w:val="21"/>
                    </w:rPr>
                  </w:pPr>
                  <w:r>
                    <w:rPr>
                      <w:b/>
                      <w:bCs/>
                      <w:sz w:val="21"/>
                      <w:szCs w:val="21"/>
                    </w:rPr>
                    <w:t>产生速率（</w:t>
                  </w:r>
                  <w:r>
                    <w:rPr>
                      <w:rFonts w:hint="default" w:ascii="Times New Roman" w:hAnsi="Times New Roman" w:cs="Times New Roman"/>
                      <w:b/>
                      <w:bCs/>
                      <w:sz w:val="21"/>
                      <w:szCs w:val="21"/>
                    </w:rPr>
                    <w:t>kg/h</w:t>
                  </w:r>
                  <w:r>
                    <w:rPr>
                      <w:b/>
                      <w:bCs/>
                      <w:sz w:val="21"/>
                      <w:szCs w:val="21"/>
                    </w:rPr>
                    <w:t>）</w:t>
                  </w:r>
                </w:p>
              </w:tc>
              <w:tc>
                <w:tcPr>
                  <w:tcW w:w="1472" w:type="dxa"/>
                  <w:noWrap w:val="0"/>
                  <w:vAlign w:val="center"/>
                </w:tcPr>
                <w:p w14:paraId="7F299F30">
                  <w:pPr>
                    <w:keepNext w:val="0"/>
                    <w:keepLines w:val="0"/>
                    <w:pageBreakBefore w:val="0"/>
                    <w:kinsoku/>
                    <w:wordWrap/>
                    <w:overflowPunct/>
                    <w:topLinePunct w:val="0"/>
                    <w:bidi w:val="0"/>
                    <w:adjustRightInd/>
                    <w:snapToGrid w:val="0"/>
                    <w:spacing w:line="240" w:lineRule="auto"/>
                    <w:ind w:firstLine="0" w:firstLineChars="0"/>
                    <w:jc w:val="center"/>
                    <w:rPr>
                      <w:b/>
                      <w:bCs/>
                      <w:sz w:val="21"/>
                      <w:szCs w:val="21"/>
                    </w:rPr>
                  </w:pPr>
                  <w:r>
                    <w:rPr>
                      <w:b/>
                      <w:bCs/>
                      <w:sz w:val="21"/>
                      <w:szCs w:val="21"/>
                    </w:rPr>
                    <w:t>产生量（</w:t>
                  </w:r>
                  <w:r>
                    <w:rPr>
                      <w:rFonts w:hint="default" w:ascii="Times New Roman" w:hAnsi="Times New Roman" w:cs="Times New Roman"/>
                      <w:b/>
                      <w:bCs/>
                      <w:sz w:val="21"/>
                      <w:szCs w:val="21"/>
                    </w:rPr>
                    <w:t>t/a</w:t>
                  </w:r>
                  <w:r>
                    <w:rPr>
                      <w:b/>
                      <w:bCs/>
                      <w:sz w:val="21"/>
                      <w:szCs w:val="21"/>
                    </w:rPr>
                    <w:t>）</w:t>
                  </w:r>
                </w:p>
              </w:tc>
              <w:tc>
                <w:tcPr>
                  <w:tcW w:w="2085" w:type="dxa"/>
                  <w:noWrap w:val="0"/>
                  <w:vAlign w:val="center"/>
                </w:tcPr>
                <w:p w14:paraId="5D170C7D">
                  <w:pPr>
                    <w:keepNext w:val="0"/>
                    <w:keepLines w:val="0"/>
                    <w:pageBreakBefore w:val="0"/>
                    <w:kinsoku/>
                    <w:wordWrap/>
                    <w:overflowPunct/>
                    <w:topLinePunct w:val="0"/>
                    <w:bidi w:val="0"/>
                    <w:adjustRightInd/>
                    <w:snapToGrid w:val="0"/>
                    <w:spacing w:line="240" w:lineRule="auto"/>
                    <w:ind w:firstLine="0" w:firstLineChars="0"/>
                    <w:jc w:val="center"/>
                    <w:rPr>
                      <w:b/>
                      <w:bCs/>
                      <w:sz w:val="21"/>
                      <w:szCs w:val="21"/>
                    </w:rPr>
                  </w:pPr>
                  <w:r>
                    <w:rPr>
                      <w:b/>
                      <w:bCs/>
                      <w:sz w:val="21"/>
                      <w:szCs w:val="21"/>
                    </w:rPr>
                    <w:t>治理</w:t>
                  </w:r>
                  <w:r>
                    <w:rPr>
                      <w:rFonts w:hint="eastAsia"/>
                      <w:b/>
                      <w:bCs/>
                      <w:sz w:val="21"/>
                      <w:szCs w:val="21"/>
                    </w:rPr>
                    <w:t>设施</w:t>
                  </w:r>
                </w:p>
              </w:tc>
              <w:tc>
                <w:tcPr>
                  <w:tcW w:w="1245" w:type="dxa"/>
                  <w:noWrap w:val="0"/>
                  <w:vAlign w:val="center"/>
                </w:tcPr>
                <w:p w14:paraId="5D9F813D">
                  <w:pPr>
                    <w:keepNext w:val="0"/>
                    <w:keepLines w:val="0"/>
                    <w:pageBreakBefore w:val="0"/>
                    <w:kinsoku/>
                    <w:wordWrap/>
                    <w:overflowPunct/>
                    <w:topLinePunct w:val="0"/>
                    <w:bidi w:val="0"/>
                    <w:adjustRightInd/>
                    <w:snapToGrid w:val="0"/>
                    <w:spacing w:line="240" w:lineRule="auto"/>
                    <w:ind w:firstLine="0" w:firstLineChars="0"/>
                    <w:jc w:val="center"/>
                    <w:rPr>
                      <w:b/>
                      <w:bCs/>
                      <w:sz w:val="21"/>
                      <w:szCs w:val="21"/>
                    </w:rPr>
                  </w:pPr>
                  <w:r>
                    <w:rPr>
                      <w:rFonts w:hint="default" w:ascii="Times New Roman" w:hAnsi="Times New Roman" w:eastAsia="宋体" w:cs="Times New Roman"/>
                      <w:b/>
                      <w:bCs/>
                      <w:color w:val="000000" w:themeColor="text1"/>
                      <w:sz w:val="21"/>
                      <w:szCs w:val="21"/>
                      <w14:textFill>
                        <w14:solidFill>
                          <w14:schemeClr w14:val="tx1"/>
                        </w14:solidFill>
                      </w14:textFill>
                    </w:rPr>
                    <w:t>治理效率</w:t>
                  </w:r>
                </w:p>
              </w:tc>
              <w:tc>
                <w:tcPr>
                  <w:tcW w:w="1500" w:type="dxa"/>
                  <w:noWrap w:val="0"/>
                  <w:vAlign w:val="center"/>
                </w:tcPr>
                <w:p w14:paraId="0EC0931C">
                  <w:pPr>
                    <w:keepNext w:val="0"/>
                    <w:keepLines w:val="0"/>
                    <w:pageBreakBefore w:val="0"/>
                    <w:kinsoku/>
                    <w:wordWrap/>
                    <w:overflowPunct/>
                    <w:topLinePunct w:val="0"/>
                    <w:bidi w:val="0"/>
                    <w:adjustRightInd/>
                    <w:snapToGrid w:val="0"/>
                    <w:spacing w:line="240" w:lineRule="auto"/>
                    <w:ind w:firstLine="0" w:firstLineChars="0"/>
                    <w:jc w:val="center"/>
                    <w:rPr>
                      <w:b/>
                      <w:bCs/>
                      <w:sz w:val="21"/>
                      <w:szCs w:val="21"/>
                    </w:rPr>
                  </w:pPr>
                  <w:r>
                    <w:rPr>
                      <w:b/>
                      <w:bCs/>
                      <w:sz w:val="21"/>
                      <w:szCs w:val="21"/>
                    </w:rPr>
                    <w:t>参数</w:t>
                  </w:r>
                </w:p>
              </w:tc>
              <w:tc>
                <w:tcPr>
                  <w:tcW w:w="1676" w:type="dxa"/>
                  <w:noWrap w:val="0"/>
                  <w:vAlign w:val="center"/>
                </w:tcPr>
                <w:p w14:paraId="22CC997D">
                  <w:pPr>
                    <w:keepNext w:val="0"/>
                    <w:keepLines w:val="0"/>
                    <w:pageBreakBefore w:val="0"/>
                    <w:kinsoku/>
                    <w:wordWrap/>
                    <w:overflowPunct/>
                    <w:topLinePunct w:val="0"/>
                    <w:bidi w:val="0"/>
                    <w:adjustRightInd/>
                    <w:snapToGrid w:val="0"/>
                    <w:spacing w:line="240" w:lineRule="auto"/>
                    <w:ind w:firstLine="0" w:firstLineChars="0"/>
                    <w:jc w:val="center"/>
                    <w:rPr>
                      <w:b/>
                      <w:bCs/>
                      <w:sz w:val="21"/>
                      <w:szCs w:val="21"/>
                    </w:rPr>
                  </w:pPr>
                  <w:r>
                    <w:rPr>
                      <w:b/>
                      <w:bCs/>
                      <w:sz w:val="21"/>
                      <w:szCs w:val="21"/>
                    </w:rPr>
                    <w:t>排放速率（</w:t>
                  </w:r>
                  <w:r>
                    <w:rPr>
                      <w:rFonts w:hint="default" w:ascii="Times New Roman" w:hAnsi="Times New Roman" w:cs="Times New Roman"/>
                      <w:b/>
                      <w:bCs/>
                      <w:sz w:val="21"/>
                      <w:szCs w:val="21"/>
                    </w:rPr>
                    <w:t>kg/h</w:t>
                  </w:r>
                  <w:r>
                    <w:rPr>
                      <w:b/>
                      <w:bCs/>
                      <w:sz w:val="21"/>
                      <w:szCs w:val="21"/>
                    </w:rPr>
                    <w:t>）</w:t>
                  </w:r>
                </w:p>
              </w:tc>
              <w:tc>
                <w:tcPr>
                  <w:tcW w:w="1320" w:type="dxa"/>
                  <w:noWrap w:val="0"/>
                  <w:vAlign w:val="center"/>
                </w:tcPr>
                <w:p w14:paraId="5A265268">
                  <w:pPr>
                    <w:keepNext w:val="0"/>
                    <w:keepLines w:val="0"/>
                    <w:pageBreakBefore w:val="0"/>
                    <w:kinsoku/>
                    <w:wordWrap/>
                    <w:overflowPunct/>
                    <w:topLinePunct w:val="0"/>
                    <w:bidi w:val="0"/>
                    <w:adjustRightInd/>
                    <w:snapToGrid w:val="0"/>
                    <w:spacing w:line="240" w:lineRule="auto"/>
                    <w:ind w:firstLine="0" w:firstLineChars="0"/>
                    <w:jc w:val="center"/>
                    <w:rPr>
                      <w:b/>
                      <w:bCs/>
                      <w:sz w:val="21"/>
                      <w:szCs w:val="21"/>
                    </w:rPr>
                  </w:pPr>
                  <w:r>
                    <w:rPr>
                      <w:b/>
                      <w:bCs/>
                      <w:sz w:val="21"/>
                      <w:szCs w:val="21"/>
                    </w:rPr>
                    <w:t>排放量（</w:t>
                  </w:r>
                  <w:r>
                    <w:rPr>
                      <w:rFonts w:hint="default" w:ascii="Times New Roman" w:hAnsi="Times New Roman" w:cs="Times New Roman"/>
                      <w:b/>
                      <w:bCs/>
                      <w:sz w:val="21"/>
                      <w:szCs w:val="21"/>
                    </w:rPr>
                    <w:t>t/a</w:t>
                  </w:r>
                  <w:r>
                    <w:rPr>
                      <w:b/>
                      <w:bCs/>
                      <w:sz w:val="21"/>
                      <w:szCs w:val="21"/>
                    </w:rPr>
                    <w:t>）</w:t>
                  </w:r>
                </w:p>
              </w:tc>
            </w:tr>
            <w:tr w14:paraId="103133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3" w:type="dxa"/>
                  <w:vMerge w:val="restart"/>
                  <w:noWrap w:val="0"/>
                  <w:vAlign w:val="center"/>
                </w:tcPr>
                <w:p w14:paraId="15C21559">
                  <w:pPr>
                    <w:keepNext w:val="0"/>
                    <w:keepLines w:val="0"/>
                    <w:pageBreakBefore w:val="0"/>
                    <w:widowControl/>
                    <w:kinsoku/>
                    <w:wordWrap/>
                    <w:overflowPunct/>
                    <w:topLinePunct w:val="0"/>
                    <w:bidi w:val="0"/>
                    <w:adjustRightInd/>
                    <w:snapToGrid w:val="0"/>
                    <w:spacing w:line="240" w:lineRule="auto"/>
                    <w:ind w:firstLine="0" w:firstLineChars="0"/>
                    <w:jc w:val="center"/>
                    <w:textAlignment w:val="center"/>
                    <w:rPr>
                      <w:rFonts w:hint="default" w:eastAsia="宋体"/>
                      <w:sz w:val="21"/>
                      <w:szCs w:val="21"/>
                      <w:lang w:val="en-US" w:eastAsia="zh-CN"/>
                    </w:rPr>
                  </w:pPr>
                  <w:r>
                    <w:rPr>
                      <w:rFonts w:hint="default" w:ascii="Times New Roman" w:hAnsi="Times New Roman" w:eastAsia="宋体" w:cs="Times New Roman"/>
                      <w:color w:val="000000" w:themeColor="text1"/>
                      <w:sz w:val="21"/>
                      <w:szCs w:val="21"/>
                      <w14:textFill>
                        <w14:solidFill>
                          <w14:schemeClr w14:val="tx1"/>
                        </w14:solidFill>
                      </w14:textFill>
                    </w:rPr>
                    <w:t>油品卸车</w:t>
                  </w:r>
                </w:p>
              </w:tc>
              <w:tc>
                <w:tcPr>
                  <w:tcW w:w="1157" w:type="dxa"/>
                  <w:noWrap w:val="0"/>
                  <w:vAlign w:val="center"/>
                </w:tcPr>
                <w:p w14:paraId="05BFE30C">
                  <w:pPr>
                    <w:keepNext w:val="0"/>
                    <w:keepLines w:val="0"/>
                    <w:pageBreakBefore w:val="0"/>
                    <w:widowControl/>
                    <w:kinsoku/>
                    <w:wordWrap/>
                    <w:overflowPunct/>
                    <w:topLinePunct w:val="0"/>
                    <w:bidi w:val="0"/>
                    <w:adjustRightInd/>
                    <w:snapToGrid w:val="0"/>
                    <w:spacing w:line="240" w:lineRule="auto"/>
                    <w:ind w:firstLine="0" w:firstLineChars="0"/>
                    <w:jc w:val="center"/>
                    <w:textAlignment w:val="center"/>
                    <w:rPr>
                      <w:rFonts w:hint="eastAsia"/>
                      <w:sz w:val="21"/>
                      <w:szCs w:val="21"/>
                      <w:lang w:val="en-US" w:eastAsia="zh-CN"/>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汽油</w:t>
                  </w:r>
                </w:p>
              </w:tc>
              <w:tc>
                <w:tcPr>
                  <w:tcW w:w="1324" w:type="dxa"/>
                  <w:vMerge w:val="restart"/>
                  <w:noWrap w:val="0"/>
                  <w:vAlign w:val="center"/>
                </w:tcPr>
                <w:p w14:paraId="359C6A9D">
                  <w:pPr>
                    <w:keepNext w:val="0"/>
                    <w:keepLines w:val="0"/>
                    <w:pageBreakBefore w:val="0"/>
                    <w:widowControl/>
                    <w:kinsoku/>
                    <w:wordWrap/>
                    <w:overflowPunct/>
                    <w:topLinePunct w:val="0"/>
                    <w:bidi w:val="0"/>
                    <w:adjustRightInd/>
                    <w:snapToGrid w:val="0"/>
                    <w:spacing w:line="240" w:lineRule="auto"/>
                    <w:ind w:firstLine="0" w:firstLineChars="0"/>
                    <w:jc w:val="center"/>
                    <w:textAlignment w:val="center"/>
                    <w:rPr>
                      <w:rFonts w:hint="default" w:ascii="宋体" w:hAnsi="宋体" w:eastAsia="宋体" w:cs="宋体"/>
                      <w:sz w:val="21"/>
                      <w:szCs w:val="21"/>
                      <w:lang w:val="en-US"/>
                    </w:rPr>
                  </w:pPr>
                  <w:r>
                    <w:rPr>
                      <w:rFonts w:hint="default" w:ascii="Times New Roman" w:hAnsi="Times New Roman" w:eastAsia="宋体" w:cs="Times New Roman"/>
                      <w:color w:val="000000" w:themeColor="text1"/>
                      <w:sz w:val="21"/>
                      <w:szCs w:val="21"/>
                      <w14:textFill>
                        <w14:solidFill>
                          <w14:schemeClr w14:val="tx1"/>
                        </w14:solidFill>
                      </w14:textFill>
                    </w:rPr>
                    <w:t>非甲烷总烃</w:t>
                  </w:r>
                </w:p>
              </w:tc>
              <w:tc>
                <w:tcPr>
                  <w:tcW w:w="1732" w:type="dxa"/>
                  <w:noWrap w:val="0"/>
                  <w:vAlign w:val="center"/>
                </w:tcPr>
                <w:p w14:paraId="4691D3D8">
                  <w:pPr>
                    <w:keepNext w:val="0"/>
                    <w:keepLines w:val="0"/>
                    <w:pageBreakBefore w:val="0"/>
                    <w:widowControl/>
                    <w:kinsoku/>
                    <w:wordWrap/>
                    <w:overflowPunct/>
                    <w:topLinePunct w:val="0"/>
                    <w:bidi w:val="0"/>
                    <w:adjustRightInd/>
                    <w:snapToGrid w:val="0"/>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0.394</w:t>
                  </w:r>
                </w:p>
              </w:tc>
              <w:tc>
                <w:tcPr>
                  <w:tcW w:w="1472" w:type="dxa"/>
                  <w:noWrap w:val="0"/>
                  <w:vAlign w:val="center"/>
                </w:tcPr>
                <w:p w14:paraId="204287C0">
                  <w:pPr>
                    <w:pStyle w:val="74"/>
                    <w:keepNext w:val="0"/>
                    <w:keepLines w:val="0"/>
                    <w:pageBreakBefore w:val="0"/>
                    <w:kinsoku/>
                    <w:wordWrap/>
                    <w:overflowPunct/>
                    <w:topLinePunct w:val="0"/>
                    <w:bidi w:val="0"/>
                    <w:adjustRightInd/>
                    <w:snapToGrid w:val="0"/>
                    <w:spacing w:line="240" w:lineRule="auto"/>
                    <w:ind w:firstLine="0" w:firstLineChars="0"/>
                    <w:jc w:val="center"/>
                    <w:rPr>
                      <w:rFonts w:hint="default" w:ascii="Times New Roman" w:hAnsi="Times New Roman" w:eastAsia="..ì." w:cs="Times New Roman"/>
                      <w:sz w:val="21"/>
                      <w:szCs w:val="21"/>
                      <w:lang w:val="en-US" w:eastAsia="zh-CN"/>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3.449</w:t>
                  </w:r>
                </w:p>
              </w:tc>
              <w:tc>
                <w:tcPr>
                  <w:tcW w:w="2085" w:type="dxa"/>
                  <w:noWrap w:val="0"/>
                  <w:vAlign w:val="center"/>
                </w:tcPr>
                <w:p w14:paraId="2FE0AAF3">
                  <w:pPr>
                    <w:pStyle w:val="93"/>
                    <w:keepNext w:val="0"/>
                    <w:keepLines w:val="0"/>
                    <w:pageBreakBefore w:val="0"/>
                    <w:kinsoku/>
                    <w:wordWrap/>
                    <w:overflowPunct/>
                    <w:topLinePunct w:val="0"/>
                    <w:bidi w:val="0"/>
                    <w:adjustRightInd/>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卸油</w:t>
                  </w:r>
                  <w:r>
                    <w:rPr>
                      <w:rFonts w:hint="default" w:ascii="Times New Roman" w:hAnsi="Times New Roman" w:eastAsia="宋体" w:cs="Times New Roman"/>
                      <w:color w:val="000000" w:themeColor="text1"/>
                      <w:sz w:val="21"/>
                      <w:szCs w:val="21"/>
                      <w14:textFill>
                        <w14:solidFill>
                          <w14:schemeClr w14:val="tx1"/>
                        </w14:solidFill>
                      </w14:textFill>
                    </w:rPr>
                    <w:t>油气回收</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系统</w:t>
                  </w:r>
                </w:p>
              </w:tc>
              <w:tc>
                <w:tcPr>
                  <w:tcW w:w="1245" w:type="dxa"/>
                  <w:noWrap w:val="0"/>
                  <w:vAlign w:val="center"/>
                </w:tcPr>
                <w:p w14:paraId="2F76CE54">
                  <w:pPr>
                    <w:pStyle w:val="93"/>
                    <w:keepNext w:val="0"/>
                    <w:keepLines w:val="0"/>
                    <w:pageBreakBefore w:val="0"/>
                    <w:kinsoku/>
                    <w:wordWrap/>
                    <w:overflowPunct/>
                    <w:topLinePunct w:val="0"/>
                    <w:bidi w:val="0"/>
                    <w:adjustRightInd/>
                    <w:snapToGrid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95</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500" w:type="dxa"/>
                  <w:vMerge w:val="restart"/>
                  <w:noWrap w:val="0"/>
                  <w:vAlign w:val="center"/>
                </w:tcPr>
                <w:p w14:paraId="12D34018">
                  <w:pPr>
                    <w:pStyle w:val="93"/>
                    <w:keepNext w:val="0"/>
                    <w:keepLines w:val="0"/>
                    <w:pageBreakBefore w:val="0"/>
                    <w:kinsoku/>
                    <w:wordWrap/>
                    <w:overflowPunct/>
                    <w:topLinePunct w:val="0"/>
                    <w:bidi w:val="0"/>
                    <w:adjustRightInd/>
                    <w:snapToGrid w:val="0"/>
                    <w:spacing w:line="240" w:lineRule="auto"/>
                    <w:ind w:firstLine="0" w:firstLineChars="0"/>
                    <w:jc w:val="center"/>
                    <w:rPr>
                      <w:sz w:val="21"/>
                      <w:szCs w:val="21"/>
                    </w:rPr>
                  </w:pPr>
                  <w:r>
                    <w:rPr>
                      <w:sz w:val="21"/>
                      <w:szCs w:val="21"/>
                    </w:rPr>
                    <w:t>长</w:t>
                  </w:r>
                  <w:r>
                    <w:rPr>
                      <w:rFonts w:hint="default" w:ascii="Times New Roman" w:hAnsi="Times New Roman" w:cs="Times New Roman"/>
                      <w:sz w:val="21"/>
                      <w:szCs w:val="21"/>
                    </w:rPr>
                    <w:t>×</w:t>
                  </w:r>
                  <w:r>
                    <w:rPr>
                      <w:sz w:val="21"/>
                      <w:szCs w:val="21"/>
                    </w:rPr>
                    <w:t>宽</w:t>
                  </w:r>
                  <w:r>
                    <w:rPr>
                      <w:rFonts w:hint="default" w:ascii="Times New Roman" w:hAnsi="Times New Roman" w:cs="Times New Roman"/>
                      <w:sz w:val="21"/>
                      <w:szCs w:val="21"/>
                    </w:rPr>
                    <w:t>=</w:t>
                  </w:r>
                  <w:r>
                    <w:rPr>
                      <w:rFonts w:hint="eastAsia" w:cs="Times New Roman"/>
                      <w:sz w:val="21"/>
                      <w:szCs w:val="21"/>
                      <w:lang w:val="en-US" w:eastAsia="zh-CN"/>
                    </w:rPr>
                    <w:t>18</w:t>
                  </w:r>
                  <w:r>
                    <w:rPr>
                      <w:rFonts w:hint="default" w:ascii="Times New Roman" w:hAnsi="Times New Roman" w:cs="Times New Roman"/>
                      <w:sz w:val="21"/>
                      <w:szCs w:val="21"/>
                    </w:rPr>
                    <w:t>m×</w:t>
                  </w:r>
                  <w:r>
                    <w:rPr>
                      <w:rFonts w:hint="eastAsia" w:cs="Times New Roman"/>
                      <w:sz w:val="21"/>
                      <w:szCs w:val="21"/>
                      <w:lang w:val="en-US" w:eastAsia="zh-CN"/>
                    </w:rPr>
                    <w:t>8</w:t>
                  </w:r>
                  <w:r>
                    <w:rPr>
                      <w:rFonts w:hint="default" w:ascii="Times New Roman" w:hAnsi="Times New Roman" w:cs="Times New Roman"/>
                      <w:sz w:val="21"/>
                      <w:szCs w:val="21"/>
                    </w:rPr>
                    <w:t>m</w:t>
                  </w:r>
                </w:p>
              </w:tc>
              <w:tc>
                <w:tcPr>
                  <w:tcW w:w="1676" w:type="dxa"/>
                  <w:noWrap w:val="0"/>
                  <w:vAlign w:val="center"/>
                </w:tcPr>
                <w:p w14:paraId="659DE27A">
                  <w:pPr>
                    <w:pStyle w:val="74"/>
                    <w:keepNext w:val="0"/>
                    <w:keepLines w:val="0"/>
                    <w:pageBreakBefore w:val="0"/>
                    <w:kinsoku/>
                    <w:wordWrap/>
                    <w:overflowPunct/>
                    <w:topLinePunct w:val="0"/>
                    <w:bidi w:val="0"/>
                    <w:adjustRightInd/>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w:t>
                  </w:r>
                  <w:r>
                    <w:rPr>
                      <w:rFonts w:hint="eastAsia" w:ascii="Times New Roman" w:cs="Times New Roman"/>
                      <w:color w:val="auto"/>
                      <w:sz w:val="21"/>
                      <w:szCs w:val="21"/>
                      <w:lang w:val="en-US" w:eastAsia="zh-CN"/>
                    </w:rPr>
                    <w:t>20</w:t>
                  </w:r>
                </w:p>
              </w:tc>
              <w:tc>
                <w:tcPr>
                  <w:tcW w:w="1320" w:type="dxa"/>
                  <w:noWrap w:val="0"/>
                  <w:vAlign w:val="center"/>
                </w:tcPr>
                <w:p w14:paraId="7AADB92A">
                  <w:pPr>
                    <w:pStyle w:val="74"/>
                    <w:keepNext w:val="0"/>
                    <w:keepLines w:val="0"/>
                    <w:pageBreakBefore w:val="0"/>
                    <w:kinsoku/>
                    <w:wordWrap/>
                    <w:overflowPunct/>
                    <w:topLinePunct w:val="0"/>
                    <w:bidi w:val="0"/>
                    <w:adjustRightInd/>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ì." w:cs="Times New Roman"/>
                      <w:sz w:val="21"/>
                      <w:szCs w:val="21"/>
                      <w:lang w:val="en-US" w:eastAsia="zh-CN"/>
                    </w:rPr>
                    <w:t>0.</w:t>
                  </w:r>
                  <w:r>
                    <w:rPr>
                      <w:rFonts w:hint="eastAsia" w:ascii="Times New Roman" w:eastAsia="..ì." w:cs="Times New Roman"/>
                      <w:sz w:val="21"/>
                      <w:szCs w:val="21"/>
                      <w:lang w:val="en-US" w:eastAsia="zh-CN"/>
                    </w:rPr>
                    <w:t>172</w:t>
                  </w:r>
                </w:p>
              </w:tc>
            </w:tr>
            <w:tr w14:paraId="1A5708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3" w:type="dxa"/>
                  <w:vMerge w:val="continue"/>
                  <w:noWrap w:val="0"/>
                  <w:vAlign w:val="center"/>
                </w:tcPr>
                <w:p w14:paraId="56656185">
                  <w:pPr>
                    <w:pStyle w:val="93"/>
                    <w:keepNext w:val="0"/>
                    <w:keepLines w:val="0"/>
                    <w:pageBreakBefore w:val="0"/>
                    <w:kinsoku/>
                    <w:wordWrap/>
                    <w:overflowPunct/>
                    <w:topLinePunct w:val="0"/>
                    <w:bidi w:val="0"/>
                    <w:adjustRightInd/>
                    <w:snapToGrid w:val="0"/>
                    <w:spacing w:line="240" w:lineRule="auto"/>
                    <w:ind w:firstLine="0" w:firstLineChars="0"/>
                    <w:jc w:val="center"/>
                    <w:rPr>
                      <w:rFonts w:hint="eastAsia"/>
                      <w:sz w:val="21"/>
                      <w:szCs w:val="21"/>
                    </w:rPr>
                  </w:pPr>
                </w:p>
              </w:tc>
              <w:tc>
                <w:tcPr>
                  <w:tcW w:w="1157" w:type="dxa"/>
                  <w:noWrap w:val="0"/>
                  <w:vAlign w:val="center"/>
                </w:tcPr>
                <w:p w14:paraId="27C25532">
                  <w:pPr>
                    <w:pStyle w:val="93"/>
                    <w:keepNext w:val="0"/>
                    <w:keepLines w:val="0"/>
                    <w:pageBreakBefore w:val="0"/>
                    <w:kinsoku/>
                    <w:wordWrap/>
                    <w:overflowPunct/>
                    <w:topLinePunct w:val="0"/>
                    <w:bidi w:val="0"/>
                    <w:adjustRightInd/>
                    <w:snapToGrid w:val="0"/>
                    <w:spacing w:line="240" w:lineRule="auto"/>
                    <w:ind w:firstLine="0" w:firstLineChars="0"/>
                    <w:jc w:val="center"/>
                    <w:rPr>
                      <w:rFonts w:hint="eastAsia"/>
                      <w:sz w:val="21"/>
                      <w:szCs w:val="21"/>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柴油</w:t>
                  </w:r>
                </w:p>
              </w:tc>
              <w:tc>
                <w:tcPr>
                  <w:tcW w:w="1324" w:type="dxa"/>
                  <w:vMerge w:val="continue"/>
                  <w:noWrap w:val="0"/>
                  <w:vAlign w:val="center"/>
                </w:tcPr>
                <w:p w14:paraId="46842A7F">
                  <w:pPr>
                    <w:pStyle w:val="93"/>
                    <w:keepNext w:val="0"/>
                    <w:keepLines w:val="0"/>
                    <w:pageBreakBefore w:val="0"/>
                    <w:kinsoku/>
                    <w:wordWrap/>
                    <w:overflowPunct/>
                    <w:topLinePunct w:val="0"/>
                    <w:bidi w:val="0"/>
                    <w:adjustRightInd/>
                    <w:snapToGrid w:val="0"/>
                    <w:spacing w:line="240" w:lineRule="auto"/>
                    <w:ind w:firstLine="0" w:firstLineChars="0"/>
                    <w:jc w:val="center"/>
                    <w:rPr>
                      <w:rFonts w:hint="eastAsia" w:ascii="宋体" w:hAnsi="宋体" w:eastAsia="宋体" w:cs="宋体"/>
                      <w:sz w:val="21"/>
                      <w:szCs w:val="21"/>
                      <w:lang w:val="en-US" w:eastAsia="zh-CN"/>
                    </w:rPr>
                  </w:pPr>
                </w:p>
              </w:tc>
              <w:tc>
                <w:tcPr>
                  <w:tcW w:w="1732" w:type="dxa"/>
                  <w:noWrap w:val="0"/>
                  <w:vAlign w:val="center"/>
                </w:tcPr>
                <w:p w14:paraId="3A90FD79">
                  <w:pPr>
                    <w:pStyle w:val="93"/>
                    <w:keepNext w:val="0"/>
                    <w:keepLines w:val="0"/>
                    <w:pageBreakBefore w:val="0"/>
                    <w:kinsoku/>
                    <w:wordWrap/>
                    <w:overflowPunct/>
                    <w:topLinePunct w:val="0"/>
                    <w:bidi w:val="0"/>
                    <w:adjustRightInd/>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0.163</w:t>
                  </w:r>
                </w:p>
              </w:tc>
              <w:tc>
                <w:tcPr>
                  <w:tcW w:w="1472" w:type="dxa"/>
                  <w:noWrap w:val="0"/>
                  <w:vAlign w:val="center"/>
                </w:tcPr>
                <w:p w14:paraId="30F963C8">
                  <w:pPr>
                    <w:pStyle w:val="93"/>
                    <w:keepNext w:val="0"/>
                    <w:keepLines w:val="0"/>
                    <w:pageBreakBefore w:val="0"/>
                    <w:kinsoku/>
                    <w:wordWrap/>
                    <w:overflowPunct/>
                    <w:topLinePunct w:val="0"/>
                    <w:bidi w:val="0"/>
                    <w:adjustRightInd/>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1.428</w:t>
                  </w:r>
                </w:p>
              </w:tc>
              <w:tc>
                <w:tcPr>
                  <w:tcW w:w="2085" w:type="dxa"/>
                  <w:noWrap w:val="0"/>
                  <w:vAlign w:val="center"/>
                </w:tcPr>
                <w:p w14:paraId="3CC05296">
                  <w:pPr>
                    <w:pStyle w:val="93"/>
                    <w:keepNext w:val="0"/>
                    <w:keepLines w:val="0"/>
                    <w:pageBreakBefore w:val="0"/>
                    <w:kinsoku/>
                    <w:wordWrap/>
                    <w:overflowPunct/>
                    <w:topLinePunct w:val="0"/>
                    <w:bidi w:val="0"/>
                    <w:adjustRightInd/>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w:t>
                  </w:r>
                </w:p>
              </w:tc>
              <w:tc>
                <w:tcPr>
                  <w:tcW w:w="1245" w:type="dxa"/>
                  <w:noWrap w:val="0"/>
                  <w:vAlign w:val="center"/>
                </w:tcPr>
                <w:p w14:paraId="0FAD4A98">
                  <w:pPr>
                    <w:pStyle w:val="93"/>
                    <w:keepNext w:val="0"/>
                    <w:keepLines w:val="0"/>
                    <w:pageBreakBefore w:val="0"/>
                    <w:kinsoku/>
                    <w:wordWrap/>
                    <w:overflowPunct/>
                    <w:topLinePunct w:val="0"/>
                    <w:bidi w:val="0"/>
                    <w:adjustRightInd/>
                    <w:snapToGrid w:val="0"/>
                    <w:spacing w:line="240" w:lineRule="auto"/>
                    <w:ind w:firstLine="0" w:firstLineChars="0"/>
                    <w:jc w:val="center"/>
                    <w:rPr>
                      <w:rFonts w:hint="eastAsia"/>
                      <w:sz w:val="21"/>
                      <w:szCs w:val="21"/>
                    </w:rPr>
                  </w:pPr>
                  <w:r>
                    <w:rPr>
                      <w:rFonts w:hint="default" w:ascii="Times New Roman" w:hAnsi="Times New Roman" w:cs="Times New Roman"/>
                      <w:sz w:val="21"/>
                      <w:szCs w:val="21"/>
                      <w:lang w:val="en-US" w:eastAsia="zh-CN"/>
                    </w:rPr>
                    <w:t>/</w:t>
                  </w:r>
                </w:p>
              </w:tc>
              <w:tc>
                <w:tcPr>
                  <w:tcW w:w="1500" w:type="dxa"/>
                  <w:vMerge w:val="continue"/>
                  <w:noWrap w:val="0"/>
                  <w:vAlign w:val="center"/>
                </w:tcPr>
                <w:p w14:paraId="2EFCCD35">
                  <w:pPr>
                    <w:pStyle w:val="93"/>
                    <w:keepNext w:val="0"/>
                    <w:keepLines w:val="0"/>
                    <w:pageBreakBefore w:val="0"/>
                    <w:kinsoku/>
                    <w:wordWrap/>
                    <w:overflowPunct/>
                    <w:topLinePunct w:val="0"/>
                    <w:bidi w:val="0"/>
                    <w:adjustRightInd/>
                    <w:snapToGrid w:val="0"/>
                    <w:spacing w:line="240" w:lineRule="auto"/>
                    <w:ind w:firstLine="0" w:firstLineChars="0"/>
                    <w:jc w:val="center"/>
                    <w:rPr>
                      <w:rFonts w:hint="eastAsia"/>
                      <w:sz w:val="21"/>
                      <w:szCs w:val="21"/>
                    </w:rPr>
                  </w:pPr>
                </w:p>
              </w:tc>
              <w:tc>
                <w:tcPr>
                  <w:tcW w:w="1676" w:type="dxa"/>
                  <w:noWrap w:val="0"/>
                  <w:vAlign w:val="center"/>
                </w:tcPr>
                <w:p w14:paraId="24C75169">
                  <w:pPr>
                    <w:pStyle w:val="93"/>
                    <w:keepNext w:val="0"/>
                    <w:keepLines w:val="0"/>
                    <w:pageBreakBefore w:val="0"/>
                    <w:kinsoku/>
                    <w:wordWrap/>
                    <w:overflowPunct/>
                    <w:topLinePunct w:val="0"/>
                    <w:bidi w:val="0"/>
                    <w:adjustRightInd/>
                    <w:snapToGrid w:val="0"/>
                    <w:spacing w:line="240" w:lineRule="auto"/>
                    <w:ind w:firstLine="0" w:firstLineChars="0"/>
                    <w:jc w:val="center"/>
                    <w:rPr>
                      <w:rFonts w:hint="default" w:ascii="Times New Roman" w:hAnsi="Times New Roman" w:cs="Times New Roman"/>
                      <w:sz w:val="21"/>
                      <w:szCs w:val="21"/>
                      <w:lang w:val="en-US"/>
                    </w:rPr>
                  </w:pPr>
                  <w:r>
                    <w:rPr>
                      <w:rFonts w:hint="eastAsia" w:ascii="Times New Roman" w:hAnsi="Times New Roman" w:cs="Times New Roman"/>
                      <w:sz w:val="21"/>
                      <w:szCs w:val="21"/>
                      <w:lang w:val="en-US" w:eastAsia="zh-CN"/>
                    </w:rPr>
                    <w:t>0.163</w:t>
                  </w:r>
                </w:p>
              </w:tc>
              <w:tc>
                <w:tcPr>
                  <w:tcW w:w="1320" w:type="dxa"/>
                  <w:noWrap w:val="0"/>
                  <w:vAlign w:val="center"/>
                </w:tcPr>
                <w:p w14:paraId="26718689">
                  <w:pPr>
                    <w:pStyle w:val="93"/>
                    <w:keepNext w:val="0"/>
                    <w:keepLines w:val="0"/>
                    <w:pageBreakBefore w:val="0"/>
                    <w:kinsoku/>
                    <w:wordWrap/>
                    <w:overflowPunct/>
                    <w:topLinePunct w:val="0"/>
                    <w:bidi w:val="0"/>
                    <w:adjustRightInd/>
                    <w:snapToGrid w:val="0"/>
                    <w:spacing w:line="240" w:lineRule="auto"/>
                    <w:ind w:firstLine="0" w:firstLineChars="0"/>
                    <w:jc w:val="center"/>
                    <w:rPr>
                      <w:rFonts w:hint="default" w:ascii="Times New Roman" w:hAnsi="Times New Roman" w:cs="Times New Roman"/>
                      <w:sz w:val="21"/>
                      <w:szCs w:val="21"/>
                      <w:lang w:val="en-US"/>
                    </w:rPr>
                  </w:pPr>
                  <w:r>
                    <w:rPr>
                      <w:rFonts w:hint="eastAsia" w:ascii="Times New Roman" w:hAnsi="Times New Roman" w:cs="Times New Roman"/>
                      <w:sz w:val="21"/>
                      <w:szCs w:val="21"/>
                      <w:lang w:val="en-US" w:eastAsia="zh-CN"/>
                    </w:rPr>
                    <w:t>1.428</w:t>
                  </w:r>
                </w:p>
              </w:tc>
            </w:tr>
            <w:tr w14:paraId="02C69D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3" w:type="dxa"/>
                  <w:vMerge w:val="continue"/>
                  <w:noWrap w:val="0"/>
                  <w:vAlign w:val="center"/>
                </w:tcPr>
                <w:p w14:paraId="649A3F28">
                  <w:pPr>
                    <w:pStyle w:val="93"/>
                    <w:keepNext w:val="0"/>
                    <w:keepLines w:val="0"/>
                    <w:pageBreakBefore w:val="0"/>
                    <w:kinsoku/>
                    <w:wordWrap/>
                    <w:overflowPunct/>
                    <w:topLinePunct w:val="0"/>
                    <w:bidi w:val="0"/>
                    <w:adjustRightInd/>
                    <w:snapToGrid w:val="0"/>
                    <w:spacing w:line="240" w:lineRule="auto"/>
                    <w:ind w:firstLine="0" w:firstLineChars="0"/>
                    <w:jc w:val="center"/>
                    <w:rPr>
                      <w:rFonts w:hint="eastAsia"/>
                      <w:sz w:val="21"/>
                      <w:szCs w:val="21"/>
                    </w:rPr>
                  </w:pPr>
                </w:p>
              </w:tc>
              <w:tc>
                <w:tcPr>
                  <w:tcW w:w="1157" w:type="dxa"/>
                  <w:noWrap w:val="0"/>
                  <w:vAlign w:val="center"/>
                </w:tcPr>
                <w:p w14:paraId="52B0D0F0">
                  <w:pPr>
                    <w:pStyle w:val="93"/>
                    <w:keepNext w:val="0"/>
                    <w:keepLines w:val="0"/>
                    <w:pageBreakBefore w:val="0"/>
                    <w:kinsoku/>
                    <w:wordWrap/>
                    <w:overflowPunct/>
                    <w:topLinePunct w:val="0"/>
                    <w:bidi w:val="0"/>
                    <w:adjustRightInd/>
                    <w:snapToGrid w:val="0"/>
                    <w:spacing w:line="240" w:lineRule="auto"/>
                    <w:ind w:firstLine="0" w:firstLineChars="0"/>
                    <w:jc w:val="center"/>
                    <w:rPr>
                      <w:rFonts w:hint="eastAsia"/>
                      <w:sz w:val="21"/>
                      <w:szCs w:val="21"/>
                    </w:rPr>
                  </w:pPr>
                  <w:r>
                    <w:rPr>
                      <w:rFonts w:hint="default" w:ascii="Times New Roman" w:hAnsi="Times New Roman" w:eastAsia="宋体" w:cs="Times New Roman"/>
                      <w:color w:val="000000" w:themeColor="text1"/>
                      <w:sz w:val="21"/>
                      <w:szCs w:val="21"/>
                      <w14:textFill>
                        <w14:solidFill>
                          <w14:schemeClr w14:val="tx1"/>
                        </w14:solidFill>
                      </w14:textFill>
                    </w:rPr>
                    <w:t>合计</w:t>
                  </w:r>
                </w:p>
              </w:tc>
              <w:tc>
                <w:tcPr>
                  <w:tcW w:w="1324" w:type="dxa"/>
                  <w:vMerge w:val="continue"/>
                  <w:noWrap w:val="0"/>
                  <w:vAlign w:val="center"/>
                </w:tcPr>
                <w:p w14:paraId="2EA2F197">
                  <w:pPr>
                    <w:pStyle w:val="93"/>
                    <w:keepNext w:val="0"/>
                    <w:keepLines w:val="0"/>
                    <w:pageBreakBefore w:val="0"/>
                    <w:kinsoku/>
                    <w:wordWrap/>
                    <w:overflowPunct/>
                    <w:topLinePunct w:val="0"/>
                    <w:bidi w:val="0"/>
                    <w:adjustRightInd/>
                    <w:snapToGrid w:val="0"/>
                    <w:spacing w:line="240" w:lineRule="auto"/>
                    <w:ind w:firstLine="0" w:firstLineChars="0"/>
                    <w:jc w:val="center"/>
                    <w:rPr>
                      <w:rFonts w:hint="default" w:ascii="宋体" w:hAnsi="宋体" w:eastAsia="宋体" w:cs="宋体"/>
                      <w:sz w:val="21"/>
                      <w:szCs w:val="21"/>
                      <w:lang w:val="en-US"/>
                    </w:rPr>
                  </w:pPr>
                </w:p>
              </w:tc>
              <w:tc>
                <w:tcPr>
                  <w:tcW w:w="1732" w:type="dxa"/>
                  <w:noWrap w:val="0"/>
                  <w:vAlign w:val="center"/>
                </w:tcPr>
                <w:p w14:paraId="5BC11C95">
                  <w:pPr>
                    <w:pStyle w:val="93"/>
                    <w:keepNext w:val="0"/>
                    <w:keepLines w:val="0"/>
                    <w:pageBreakBefore w:val="0"/>
                    <w:kinsoku/>
                    <w:wordWrap/>
                    <w:overflowPunct/>
                    <w:topLinePunct w:val="0"/>
                    <w:bidi w:val="0"/>
                    <w:adjustRightInd/>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0.557</w:t>
                  </w:r>
                </w:p>
              </w:tc>
              <w:tc>
                <w:tcPr>
                  <w:tcW w:w="1472" w:type="dxa"/>
                  <w:noWrap w:val="0"/>
                  <w:vAlign w:val="center"/>
                </w:tcPr>
                <w:p w14:paraId="4B4D9453">
                  <w:pPr>
                    <w:pStyle w:val="93"/>
                    <w:keepNext w:val="0"/>
                    <w:keepLines w:val="0"/>
                    <w:pageBreakBefore w:val="0"/>
                    <w:kinsoku/>
                    <w:wordWrap/>
                    <w:overflowPunct/>
                    <w:topLinePunct w:val="0"/>
                    <w:bidi w:val="0"/>
                    <w:adjustRightInd/>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4.877</w:t>
                  </w:r>
                </w:p>
              </w:tc>
              <w:tc>
                <w:tcPr>
                  <w:tcW w:w="2085" w:type="dxa"/>
                  <w:noWrap w:val="0"/>
                  <w:vAlign w:val="center"/>
                </w:tcPr>
                <w:p w14:paraId="45A90C17">
                  <w:pPr>
                    <w:pStyle w:val="93"/>
                    <w:keepNext w:val="0"/>
                    <w:keepLines w:val="0"/>
                    <w:pageBreakBefore w:val="0"/>
                    <w:kinsoku/>
                    <w:wordWrap/>
                    <w:overflowPunct/>
                    <w:topLinePunct w:val="0"/>
                    <w:bidi w:val="0"/>
                    <w:adjustRightInd/>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w:t>
                  </w:r>
                </w:p>
              </w:tc>
              <w:tc>
                <w:tcPr>
                  <w:tcW w:w="1245" w:type="dxa"/>
                  <w:noWrap w:val="0"/>
                  <w:vAlign w:val="center"/>
                </w:tcPr>
                <w:p w14:paraId="70791B67">
                  <w:pPr>
                    <w:pStyle w:val="93"/>
                    <w:keepNext w:val="0"/>
                    <w:keepLines w:val="0"/>
                    <w:pageBreakBefore w:val="0"/>
                    <w:kinsoku/>
                    <w:wordWrap/>
                    <w:overflowPunct/>
                    <w:topLinePunct w:val="0"/>
                    <w:bidi w:val="0"/>
                    <w:adjustRightInd/>
                    <w:snapToGrid w:val="0"/>
                    <w:spacing w:line="240" w:lineRule="auto"/>
                    <w:ind w:firstLine="0" w:firstLineChars="0"/>
                    <w:jc w:val="center"/>
                    <w:rPr>
                      <w:rFonts w:hint="eastAsia"/>
                      <w:sz w:val="21"/>
                      <w:szCs w:val="21"/>
                    </w:rPr>
                  </w:pPr>
                  <w:r>
                    <w:rPr>
                      <w:rFonts w:hint="default" w:ascii="Times New Roman" w:hAnsi="Times New Roman" w:cs="Times New Roman"/>
                      <w:sz w:val="21"/>
                      <w:szCs w:val="21"/>
                      <w:lang w:val="en-US" w:eastAsia="zh-CN"/>
                    </w:rPr>
                    <w:t>/</w:t>
                  </w:r>
                </w:p>
              </w:tc>
              <w:tc>
                <w:tcPr>
                  <w:tcW w:w="1500" w:type="dxa"/>
                  <w:vMerge w:val="continue"/>
                  <w:noWrap w:val="0"/>
                  <w:vAlign w:val="center"/>
                </w:tcPr>
                <w:p w14:paraId="19CEF551">
                  <w:pPr>
                    <w:pStyle w:val="93"/>
                    <w:keepNext w:val="0"/>
                    <w:keepLines w:val="0"/>
                    <w:pageBreakBefore w:val="0"/>
                    <w:kinsoku/>
                    <w:wordWrap/>
                    <w:overflowPunct/>
                    <w:topLinePunct w:val="0"/>
                    <w:bidi w:val="0"/>
                    <w:adjustRightInd/>
                    <w:snapToGrid w:val="0"/>
                    <w:spacing w:line="240" w:lineRule="auto"/>
                    <w:ind w:firstLine="0" w:firstLineChars="0"/>
                    <w:jc w:val="center"/>
                    <w:rPr>
                      <w:rFonts w:hint="eastAsia"/>
                      <w:sz w:val="21"/>
                      <w:szCs w:val="21"/>
                    </w:rPr>
                  </w:pPr>
                </w:p>
              </w:tc>
              <w:tc>
                <w:tcPr>
                  <w:tcW w:w="1676" w:type="dxa"/>
                  <w:noWrap w:val="0"/>
                  <w:vAlign w:val="center"/>
                </w:tcPr>
                <w:p w14:paraId="67B7124C">
                  <w:pPr>
                    <w:pStyle w:val="93"/>
                    <w:keepNext w:val="0"/>
                    <w:keepLines w:val="0"/>
                    <w:pageBreakBefore w:val="0"/>
                    <w:kinsoku/>
                    <w:wordWrap/>
                    <w:overflowPunct/>
                    <w:topLinePunct w:val="0"/>
                    <w:bidi w:val="0"/>
                    <w:adjustRightInd/>
                    <w:snapToGrid w:val="0"/>
                    <w:spacing w:line="240" w:lineRule="auto"/>
                    <w:ind w:firstLine="0" w:firstLineChars="0"/>
                    <w:jc w:val="center"/>
                    <w:rPr>
                      <w:rFonts w:hint="default" w:ascii="Times New Roman" w:hAnsi="Times New Roman" w:cs="Times New Roman"/>
                      <w:sz w:val="21"/>
                      <w:szCs w:val="21"/>
                      <w:lang w:val="en-US"/>
                    </w:rPr>
                  </w:pPr>
                  <w:r>
                    <w:rPr>
                      <w:rFonts w:hint="eastAsia" w:cs="Times New Roman"/>
                      <w:sz w:val="21"/>
                      <w:szCs w:val="21"/>
                      <w:lang w:val="en-US" w:eastAsia="zh-CN"/>
                    </w:rPr>
                    <w:t>0.183</w:t>
                  </w:r>
                </w:p>
              </w:tc>
              <w:tc>
                <w:tcPr>
                  <w:tcW w:w="1320" w:type="dxa"/>
                  <w:noWrap w:val="0"/>
                  <w:vAlign w:val="center"/>
                </w:tcPr>
                <w:p w14:paraId="1527A229">
                  <w:pPr>
                    <w:pStyle w:val="93"/>
                    <w:keepNext w:val="0"/>
                    <w:keepLines w:val="0"/>
                    <w:pageBreakBefore w:val="0"/>
                    <w:kinsoku/>
                    <w:wordWrap/>
                    <w:overflowPunct/>
                    <w:topLinePunct w:val="0"/>
                    <w:bidi w:val="0"/>
                    <w:adjustRightInd/>
                    <w:snapToGrid w:val="0"/>
                    <w:spacing w:line="240" w:lineRule="auto"/>
                    <w:ind w:firstLine="0" w:firstLineChars="0"/>
                    <w:jc w:val="center"/>
                    <w:rPr>
                      <w:rFonts w:hint="default" w:ascii="Times New Roman" w:hAnsi="Times New Roman" w:cs="Times New Roman"/>
                      <w:sz w:val="21"/>
                      <w:szCs w:val="21"/>
                      <w:lang w:val="en-US"/>
                    </w:rPr>
                  </w:pPr>
                  <w:r>
                    <w:rPr>
                      <w:rFonts w:hint="eastAsia" w:ascii="Times New Roman" w:hAnsi="Times New Roman" w:cs="Times New Roman"/>
                      <w:sz w:val="21"/>
                      <w:szCs w:val="21"/>
                      <w:lang w:val="en-US" w:eastAsia="zh-CN"/>
                    </w:rPr>
                    <w:t>1.</w:t>
                  </w:r>
                  <w:r>
                    <w:rPr>
                      <w:rFonts w:hint="eastAsia" w:cs="Times New Roman"/>
                      <w:sz w:val="21"/>
                      <w:szCs w:val="21"/>
                      <w:lang w:val="en-US" w:eastAsia="zh-CN"/>
                    </w:rPr>
                    <w:t>600</w:t>
                  </w:r>
                </w:p>
              </w:tc>
            </w:tr>
            <w:tr w14:paraId="07684F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3" w:type="dxa"/>
                  <w:vMerge w:val="restart"/>
                  <w:noWrap w:val="0"/>
                  <w:vAlign w:val="center"/>
                </w:tcPr>
                <w:p w14:paraId="7FEFF2DA">
                  <w:pPr>
                    <w:keepNext w:val="0"/>
                    <w:keepLines w:val="0"/>
                    <w:pageBreakBefore w:val="0"/>
                    <w:widowControl/>
                    <w:kinsoku/>
                    <w:wordWrap/>
                    <w:overflowPunct/>
                    <w:topLinePunct w:val="0"/>
                    <w:bidi w:val="0"/>
                    <w:adjustRightInd/>
                    <w:snapToGrid w:val="0"/>
                    <w:spacing w:line="240" w:lineRule="auto"/>
                    <w:ind w:firstLine="0" w:firstLineChars="0"/>
                    <w:jc w:val="center"/>
                    <w:textAlignment w:val="center"/>
                    <w:rPr>
                      <w:rFonts w:hint="eastAsia"/>
                      <w:sz w:val="21"/>
                      <w:szCs w:val="21"/>
                      <w:lang w:val="en-US" w:eastAsia="zh-CN"/>
                    </w:rPr>
                  </w:pPr>
                  <w:r>
                    <w:rPr>
                      <w:rFonts w:hint="default" w:ascii="Times New Roman" w:hAnsi="Times New Roman" w:eastAsia="宋体" w:cs="Times New Roman"/>
                      <w:color w:val="000000" w:themeColor="text1"/>
                      <w:sz w:val="21"/>
                      <w:szCs w:val="21"/>
                      <w14:textFill>
                        <w14:solidFill>
                          <w14:schemeClr w14:val="tx1"/>
                        </w14:solidFill>
                      </w14:textFill>
                    </w:rPr>
                    <w:t>油品</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零售</w:t>
                  </w:r>
                </w:p>
              </w:tc>
              <w:tc>
                <w:tcPr>
                  <w:tcW w:w="1157" w:type="dxa"/>
                  <w:noWrap w:val="0"/>
                  <w:vAlign w:val="center"/>
                </w:tcPr>
                <w:p w14:paraId="611C2760">
                  <w:pPr>
                    <w:keepNext w:val="0"/>
                    <w:keepLines w:val="0"/>
                    <w:pageBreakBefore w:val="0"/>
                    <w:widowControl/>
                    <w:kinsoku/>
                    <w:wordWrap/>
                    <w:overflowPunct/>
                    <w:topLinePunct w:val="0"/>
                    <w:bidi w:val="0"/>
                    <w:adjustRightInd/>
                    <w:snapToGrid w:val="0"/>
                    <w:spacing w:line="240" w:lineRule="auto"/>
                    <w:ind w:firstLine="0" w:firstLineChars="0"/>
                    <w:jc w:val="center"/>
                    <w:textAlignment w:val="center"/>
                    <w:rPr>
                      <w:rFonts w:hint="eastAsia" w:eastAsia="宋体"/>
                      <w:sz w:val="21"/>
                      <w:szCs w:val="21"/>
                      <w:lang w:val="en-US" w:eastAsia="zh-CN"/>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汽油</w:t>
                  </w:r>
                </w:p>
              </w:tc>
              <w:tc>
                <w:tcPr>
                  <w:tcW w:w="1324" w:type="dxa"/>
                  <w:vMerge w:val="restart"/>
                  <w:noWrap w:val="0"/>
                  <w:vAlign w:val="center"/>
                </w:tcPr>
                <w:p w14:paraId="221C509F">
                  <w:pPr>
                    <w:keepNext w:val="0"/>
                    <w:keepLines w:val="0"/>
                    <w:pageBreakBefore w:val="0"/>
                    <w:widowControl/>
                    <w:kinsoku/>
                    <w:wordWrap/>
                    <w:overflowPunct/>
                    <w:topLinePunct w:val="0"/>
                    <w:bidi w:val="0"/>
                    <w:adjustRightInd/>
                    <w:snapToGrid w:val="0"/>
                    <w:spacing w:line="240" w:lineRule="auto"/>
                    <w:ind w:firstLine="0" w:firstLineChars="0"/>
                    <w:jc w:val="center"/>
                    <w:textAlignment w:val="center"/>
                    <w:rPr>
                      <w:rFonts w:hint="default"/>
                      <w:sz w:val="21"/>
                      <w:szCs w:val="21"/>
                      <w:lang w:val="en-US" w:eastAsia="zh-CN"/>
                    </w:rPr>
                  </w:pPr>
                  <w:r>
                    <w:rPr>
                      <w:rFonts w:hint="eastAsia" w:ascii="Times New Roman" w:hAnsi="Times New Roman" w:eastAsia="宋体" w:cs="Times New Roman"/>
                      <w:sz w:val="21"/>
                      <w:szCs w:val="21"/>
                      <w:lang w:val="en-US" w:eastAsia="zh-CN"/>
                    </w:rPr>
                    <w:t>非甲烷总烃</w:t>
                  </w:r>
                </w:p>
              </w:tc>
              <w:tc>
                <w:tcPr>
                  <w:tcW w:w="1732" w:type="dxa"/>
                  <w:noWrap w:val="0"/>
                  <w:vAlign w:val="center"/>
                </w:tcPr>
                <w:p w14:paraId="67F6A944">
                  <w:pPr>
                    <w:keepNext w:val="0"/>
                    <w:keepLines w:val="0"/>
                    <w:pageBreakBefore w:val="0"/>
                    <w:widowControl/>
                    <w:kinsoku/>
                    <w:wordWrap/>
                    <w:overflowPunct/>
                    <w:topLinePunct w:val="0"/>
                    <w:bidi w:val="0"/>
                    <w:adjustRightInd/>
                    <w:snapToGrid w:val="0"/>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0.496</w:t>
                  </w:r>
                </w:p>
              </w:tc>
              <w:tc>
                <w:tcPr>
                  <w:tcW w:w="1472" w:type="dxa"/>
                  <w:noWrap w:val="0"/>
                  <w:vAlign w:val="center"/>
                </w:tcPr>
                <w:p w14:paraId="6AD8C741">
                  <w:pPr>
                    <w:keepNext w:val="0"/>
                    <w:keepLines w:val="0"/>
                    <w:pageBreakBefore w:val="0"/>
                    <w:widowControl/>
                    <w:kinsoku/>
                    <w:wordWrap/>
                    <w:overflowPunct/>
                    <w:topLinePunct w:val="0"/>
                    <w:bidi w:val="0"/>
                    <w:adjustRightInd/>
                    <w:snapToGrid w:val="0"/>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4.348</w:t>
                  </w:r>
                </w:p>
              </w:tc>
              <w:tc>
                <w:tcPr>
                  <w:tcW w:w="2085" w:type="dxa"/>
                  <w:noWrap w:val="0"/>
                  <w:vAlign w:val="center"/>
                </w:tcPr>
                <w:p w14:paraId="05EC3319">
                  <w:pPr>
                    <w:keepNext w:val="0"/>
                    <w:keepLines w:val="0"/>
                    <w:pageBreakBefore w:val="0"/>
                    <w:widowControl/>
                    <w:kinsoku/>
                    <w:wordWrap/>
                    <w:overflowPunct/>
                    <w:topLinePunct w:val="0"/>
                    <w:bidi w:val="0"/>
                    <w:adjustRightInd/>
                    <w:snapToGrid w:val="0"/>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加油</w:t>
                  </w:r>
                  <w:r>
                    <w:rPr>
                      <w:rFonts w:hint="default" w:ascii="Times New Roman" w:hAnsi="Times New Roman" w:eastAsia="宋体" w:cs="Times New Roman"/>
                      <w:color w:val="000000" w:themeColor="text1"/>
                      <w:sz w:val="21"/>
                      <w:szCs w:val="21"/>
                      <w14:textFill>
                        <w14:solidFill>
                          <w14:schemeClr w14:val="tx1"/>
                        </w14:solidFill>
                      </w14:textFill>
                    </w:rPr>
                    <w:t>油气回收</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系统</w:t>
                  </w:r>
                </w:p>
              </w:tc>
              <w:tc>
                <w:tcPr>
                  <w:tcW w:w="1245" w:type="dxa"/>
                  <w:noWrap w:val="0"/>
                  <w:vAlign w:val="center"/>
                </w:tcPr>
                <w:p w14:paraId="3499E0CF">
                  <w:pPr>
                    <w:keepNext w:val="0"/>
                    <w:keepLines w:val="0"/>
                    <w:pageBreakBefore w:val="0"/>
                    <w:widowControl/>
                    <w:kinsoku/>
                    <w:wordWrap/>
                    <w:overflowPunct/>
                    <w:topLinePunct w:val="0"/>
                    <w:bidi w:val="0"/>
                    <w:adjustRightInd/>
                    <w:snapToGrid w:val="0"/>
                    <w:spacing w:line="240" w:lineRule="auto"/>
                    <w:ind w:firstLine="0" w:firstLineChars="0"/>
                    <w:jc w:val="center"/>
                    <w:textAlignment w:val="center"/>
                    <w:rPr>
                      <w:rFonts w:hint="default" w:eastAsia="宋体"/>
                      <w:sz w:val="21"/>
                      <w:szCs w:val="21"/>
                      <w:lang w:val="en-US" w:eastAsia="zh-CN"/>
                    </w:rPr>
                  </w:pPr>
                  <w:r>
                    <w:rPr>
                      <w:rFonts w:hint="eastAsia"/>
                      <w:sz w:val="21"/>
                      <w:szCs w:val="21"/>
                      <w:lang w:val="en-US" w:eastAsia="zh-CN"/>
                    </w:rPr>
                    <w:t>90</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500" w:type="dxa"/>
                  <w:vMerge w:val="restart"/>
                  <w:noWrap w:val="0"/>
                  <w:vAlign w:val="center"/>
                </w:tcPr>
                <w:p w14:paraId="59668F26">
                  <w:pPr>
                    <w:keepNext w:val="0"/>
                    <w:keepLines w:val="0"/>
                    <w:pageBreakBefore w:val="0"/>
                    <w:widowControl/>
                    <w:kinsoku/>
                    <w:wordWrap/>
                    <w:overflowPunct/>
                    <w:topLinePunct w:val="0"/>
                    <w:bidi w:val="0"/>
                    <w:adjustRightInd/>
                    <w:snapToGrid w:val="0"/>
                    <w:spacing w:line="240" w:lineRule="auto"/>
                    <w:ind w:firstLine="0" w:firstLineChars="0"/>
                    <w:jc w:val="center"/>
                    <w:textAlignment w:val="center"/>
                    <w:rPr>
                      <w:rFonts w:hint="eastAsia"/>
                      <w:sz w:val="21"/>
                      <w:szCs w:val="21"/>
                      <w:lang w:val="en-US" w:eastAsia="zh-CN"/>
                    </w:rPr>
                  </w:pPr>
                  <w:r>
                    <w:rPr>
                      <w:sz w:val="21"/>
                      <w:szCs w:val="21"/>
                    </w:rPr>
                    <w:t>长</w:t>
                  </w:r>
                  <w:r>
                    <w:rPr>
                      <w:rFonts w:hint="default" w:ascii="Times New Roman" w:hAnsi="Times New Roman" w:cs="Times New Roman"/>
                      <w:sz w:val="21"/>
                      <w:szCs w:val="21"/>
                    </w:rPr>
                    <w:t>×</w:t>
                  </w:r>
                  <w:r>
                    <w:rPr>
                      <w:sz w:val="21"/>
                      <w:szCs w:val="21"/>
                    </w:rPr>
                    <w:t>宽</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50.5</w:t>
                  </w:r>
                  <w:r>
                    <w:rPr>
                      <w:rFonts w:hint="default" w:ascii="Times New Roman" w:hAnsi="Times New Roman" w:cs="Times New Roman"/>
                      <w:sz w:val="21"/>
                      <w:szCs w:val="21"/>
                    </w:rPr>
                    <w:t>m×</w:t>
                  </w:r>
                  <w:r>
                    <w:rPr>
                      <w:rFonts w:hint="eastAsia" w:ascii="Times New Roman" w:hAnsi="Times New Roman" w:cs="Times New Roman"/>
                      <w:sz w:val="21"/>
                      <w:szCs w:val="21"/>
                      <w:lang w:val="en-US" w:eastAsia="zh-CN"/>
                    </w:rPr>
                    <w:t>13</w:t>
                  </w:r>
                  <w:r>
                    <w:rPr>
                      <w:rFonts w:hint="default" w:ascii="Times New Roman" w:hAnsi="Times New Roman" w:cs="Times New Roman"/>
                      <w:sz w:val="21"/>
                      <w:szCs w:val="21"/>
                    </w:rPr>
                    <w:t>m</w:t>
                  </w:r>
                </w:p>
              </w:tc>
              <w:tc>
                <w:tcPr>
                  <w:tcW w:w="1676" w:type="dxa"/>
                  <w:noWrap w:val="0"/>
                  <w:vAlign w:val="center"/>
                </w:tcPr>
                <w:p w14:paraId="3146CE78">
                  <w:pPr>
                    <w:keepNext w:val="0"/>
                    <w:keepLines w:val="0"/>
                    <w:pageBreakBefore w:val="0"/>
                    <w:widowControl/>
                    <w:kinsoku/>
                    <w:wordWrap/>
                    <w:overflowPunct/>
                    <w:topLinePunct w:val="0"/>
                    <w:bidi w:val="0"/>
                    <w:adjustRightInd/>
                    <w:snapToGrid w:val="0"/>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w:t>
                  </w:r>
                  <w:r>
                    <w:rPr>
                      <w:rFonts w:hint="eastAsia" w:cs="Times New Roman"/>
                      <w:sz w:val="21"/>
                      <w:szCs w:val="21"/>
                      <w:lang w:val="en-US" w:eastAsia="zh-CN"/>
                    </w:rPr>
                    <w:t>50</w:t>
                  </w:r>
                </w:p>
              </w:tc>
              <w:tc>
                <w:tcPr>
                  <w:tcW w:w="1320" w:type="dxa"/>
                  <w:noWrap w:val="0"/>
                  <w:vAlign w:val="center"/>
                </w:tcPr>
                <w:p w14:paraId="52901BAC">
                  <w:pPr>
                    <w:keepNext w:val="0"/>
                    <w:keepLines w:val="0"/>
                    <w:pageBreakBefore w:val="0"/>
                    <w:widowControl/>
                    <w:kinsoku/>
                    <w:wordWrap/>
                    <w:overflowPunct/>
                    <w:topLinePunct w:val="0"/>
                    <w:bidi w:val="0"/>
                    <w:adjustRightInd/>
                    <w:snapToGrid w:val="0"/>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0.435</w:t>
                  </w:r>
                </w:p>
              </w:tc>
            </w:tr>
            <w:tr w14:paraId="1CABA6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3" w:type="dxa"/>
                  <w:vMerge w:val="continue"/>
                  <w:noWrap w:val="0"/>
                  <w:vAlign w:val="center"/>
                </w:tcPr>
                <w:p w14:paraId="2A21213A">
                  <w:pPr>
                    <w:keepNext w:val="0"/>
                    <w:keepLines w:val="0"/>
                    <w:pageBreakBefore w:val="0"/>
                    <w:widowControl/>
                    <w:kinsoku/>
                    <w:wordWrap/>
                    <w:overflowPunct/>
                    <w:topLinePunct w:val="0"/>
                    <w:bidi w:val="0"/>
                    <w:adjustRightInd/>
                    <w:snapToGrid w:val="0"/>
                    <w:spacing w:line="240" w:lineRule="auto"/>
                    <w:ind w:firstLine="0" w:firstLineChars="0"/>
                    <w:jc w:val="center"/>
                    <w:textAlignment w:val="center"/>
                    <w:rPr>
                      <w:rFonts w:hint="default" w:eastAsia="宋体"/>
                      <w:sz w:val="21"/>
                      <w:szCs w:val="21"/>
                      <w:lang w:val="en-US" w:eastAsia="zh-CN"/>
                    </w:rPr>
                  </w:pPr>
                </w:p>
              </w:tc>
              <w:tc>
                <w:tcPr>
                  <w:tcW w:w="1157" w:type="dxa"/>
                  <w:noWrap w:val="0"/>
                  <w:vAlign w:val="center"/>
                </w:tcPr>
                <w:p w14:paraId="72709915">
                  <w:pPr>
                    <w:keepNext w:val="0"/>
                    <w:keepLines w:val="0"/>
                    <w:pageBreakBefore w:val="0"/>
                    <w:widowControl/>
                    <w:kinsoku/>
                    <w:wordWrap/>
                    <w:overflowPunct/>
                    <w:topLinePunct w:val="0"/>
                    <w:bidi w:val="0"/>
                    <w:adjustRightInd/>
                    <w:snapToGrid w:val="0"/>
                    <w:spacing w:line="240" w:lineRule="auto"/>
                    <w:ind w:firstLine="0" w:firstLineChars="0"/>
                    <w:jc w:val="center"/>
                    <w:textAlignment w:val="center"/>
                    <w:rPr>
                      <w:rFonts w:hint="eastAsia" w:eastAsia="宋体"/>
                      <w:sz w:val="21"/>
                      <w:szCs w:val="21"/>
                      <w:lang w:val="en-US" w:eastAsia="zh-CN"/>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柴油</w:t>
                  </w:r>
                </w:p>
              </w:tc>
              <w:tc>
                <w:tcPr>
                  <w:tcW w:w="1324" w:type="dxa"/>
                  <w:vMerge w:val="continue"/>
                  <w:noWrap w:val="0"/>
                  <w:vAlign w:val="center"/>
                </w:tcPr>
                <w:p w14:paraId="2E178F48">
                  <w:pPr>
                    <w:keepNext w:val="0"/>
                    <w:keepLines w:val="0"/>
                    <w:pageBreakBefore w:val="0"/>
                    <w:widowControl/>
                    <w:kinsoku/>
                    <w:wordWrap/>
                    <w:overflowPunct/>
                    <w:topLinePunct w:val="0"/>
                    <w:bidi w:val="0"/>
                    <w:adjustRightInd/>
                    <w:snapToGrid w:val="0"/>
                    <w:spacing w:line="240" w:lineRule="auto"/>
                    <w:ind w:firstLine="0" w:firstLineChars="0"/>
                    <w:jc w:val="center"/>
                    <w:textAlignment w:val="center"/>
                    <w:rPr>
                      <w:rFonts w:hint="eastAsia" w:eastAsia="宋体"/>
                      <w:sz w:val="21"/>
                      <w:szCs w:val="21"/>
                      <w:lang w:val="en-US" w:eastAsia="zh-CN"/>
                    </w:rPr>
                  </w:pPr>
                </w:p>
              </w:tc>
              <w:tc>
                <w:tcPr>
                  <w:tcW w:w="1732" w:type="dxa"/>
                  <w:noWrap w:val="0"/>
                  <w:vAlign w:val="center"/>
                </w:tcPr>
                <w:p w14:paraId="6B1B1D50">
                  <w:pPr>
                    <w:keepNext w:val="0"/>
                    <w:keepLines w:val="0"/>
                    <w:pageBreakBefore w:val="0"/>
                    <w:widowControl/>
                    <w:kinsoku/>
                    <w:wordWrap/>
                    <w:overflowPunct/>
                    <w:topLinePunct w:val="0"/>
                    <w:bidi w:val="0"/>
                    <w:adjustRightInd/>
                    <w:snapToGrid w:val="0"/>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0.261</w:t>
                  </w:r>
                </w:p>
              </w:tc>
              <w:tc>
                <w:tcPr>
                  <w:tcW w:w="1472" w:type="dxa"/>
                  <w:noWrap w:val="0"/>
                  <w:vAlign w:val="center"/>
                </w:tcPr>
                <w:p w14:paraId="31604242">
                  <w:pPr>
                    <w:keepNext w:val="0"/>
                    <w:keepLines w:val="0"/>
                    <w:pageBreakBefore w:val="0"/>
                    <w:widowControl/>
                    <w:kinsoku/>
                    <w:wordWrap/>
                    <w:overflowPunct/>
                    <w:topLinePunct w:val="0"/>
                    <w:bidi w:val="0"/>
                    <w:adjustRightInd/>
                    <w:snapToGrid w:val="0"/>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2.285</w:t>
                  </w:r>
                </w:p>
              </w:tc>
              <w:tc>
                <w:tcPr>
                  <w:tcW w:w="2085" w:type="dxa"/>
                  <w:noWrap w:val="0"/>
                  <w:vAlign w:val="center"/>
                </w:tcPr>
                <w:p w14:paraId="7C7E9337">
                  <w:pPr>
                    <w:keepNext w:val="0"/>
                    <w:keepLines w:val="0"/>
                    <w:pageBreakBefore w:val="0"/>
                    <w:widowControl/>
                    <w:kinsoku/>
                    <w:wordWrap/>
                    <w:overflowPunct/>
                    <w:topLinePunct w:val="0"/>
                    <w:bidi w:val="0"/>
                    <w:adjustRightInd/>
                    <w:snapToGrid w:val="0"/>
                    <w:spacing w:line="240" w:lineRule="auto"/>
                    <w:ind w:firstLine="0" w:firstLineChars="0"/>
                    <w:jc w:val="center"/>
                    <w:textAlignment w:val="center"/>
                    <w:rPr>
                      <w:sz w:val="21"/>
                      <w:szCs w:val="21"/>
                    </w:rPr>
                  </w:pPr>
                  <w:r>
                    <w:rPr>
                      <w:rFonts w:hint="default" w:ascii="Times New Roman" w:hAnsi="Times New Roman" w:cs="Times New Roman"/>
                      <w:sz w:val="21"/>
                      <w:szCs w:val="21"/>
                      <w:lang w:val="en-US" w:eastAsia="zh-CN"/>
                    </w:rPr>
                    <w:t>/</w:t>
                  </w:r>
                </w:p>
              </w:tc>
              <w:tc>
                <w:tcPr>
                  <w:tcW w:w="1245" w:type="dxa"/>
                  <w:noWrap w:val="0"/>
                  <w:vAlign w:val="center"/>
                </w:tcPr>
                <w:p w14:paraId="720FC047">
                  <w:pPr>
                    <w:keepNext w:val="0"/>
                    <w:keepLines w:val="0"/>
                    <w:pageBreakBefore w:val="0"/>
                    <w:widowControl/>
                    <w:kinsoku/>
                    <w:wordWrap/>
                    <w:overflowPunct/>
                    <w:topLinePunct w:val="0"/>
                    <w:bidi w:val="0"/>
                    <w:adjustRightInd/>
                    <w:snapToGrid w:val="0"/>
                    <w:spacing w:line="240" w:lineRule="auto"/>
                    <w:ind w:firstLine="0" w:firstLineChars="0"/>
                    <w:jc w:val="center"/>
                    <w:textAlignment w:val="center"/>
                    <w:rPr>
                      <w:sz w:val="21"/>
                      <w:szCs w:val="21"/>
                    </w:rPr>
                  </w:pPr>
                  <w:r>
                    <w:rPr>
                      <w:rFonts w:hint="default" w:ascii="Times New Roman" w:hAnsi="Times New Roman" w:cs="Times New Roman"/>
                      <w:sz w:val="21"/>
                      <w:szCs w:val="21"/>
                      <w:lang w:val="en-US" w:eastAsia="zh-CN"/>
                    </w:rPr>
                    <w:t>/</w:t>
                  </w:r>
                </w:p>
              </w:tc>
              <w:tc>
                <w:tcPr>
                  <w:tcW w:w="1500" w:type="dxa"/>
                  <w:vMerge w:val="continue"/>
                  <w:noWrap w:val="0"/>
                  <w:vAlign w:val="center"/>
                </w:tcPr>
                <w:p w14:paraId="31324A20">
                  <w:pPr>
                    <w:keepNext w:val="0"/>
                    <w:keepLines w:val="0"/>
                    <w:pageBreakBefore w:val="0"/>
                    <w:widowControl/>
                    <w:kinsoku/>
                    <w:wordWrap/>
                    <w:overflowPunct/>
                    <w:topLinePunct w:val="0"/>
                    <w:bidi w:val="0"/>
                    <w:adjustRightInd/>
                    <w:snapToGrid w:val="0"/>
                    <w:spacing w:line="240" w:lineRule="auto"/>
                    <w:ind w:firstLine="0" w:firstLineChars="0"/>
                    <w:jc w:val="center"/>
                    <w:textAlignment w:val="center"/>
                    <w:rPr>
                      <w:sz w:val="21"/>
                      <w:szCs w:val="21"/>
                    </w:rPr>
                  </w:pPr>
                </w:p>
              </w:tc>
              <w:tc>
                <w:tcPr>
                  <w:tcW w:w="1676" w:type="dxa"/>
                  <w:noWrap w:val="0"/>
                  <w:vAlign w:val="center"/>
                </w:tcPr>
                <w:p w14:paraId="555A7550">
                  <w:pPr>
                    <w:keepNext w:val="0"/>
                    <w:keepLines w:val="0"/>
                    <w:pageBreakBefore w:val="0"/>
                    <w:widowControl/>
                    <w:kinsoku/>
                    <w:wordWrap/>
                    <w:overflowPunct/>
                    <w:topLinePunct w:val="0"/>
                    <w:bidi w:val="0"/>
                    <w:adjustRightInd/>
                    <w:snapToGrid w:val="0"/>
                    <w:spacing w:line="240" w:lineRule="auto"/>
                    <w:ind w:firstLine="0" w:firstLineChars="0"/>
                    <w:jc w:val="center"/>
                    <w:textAlignment w:val="center"/>
                    <w:rPr>
                      <w:rFonts w:hint="default" w:ascii="Times New Roman" w:hAnsi="Times New Roman" w:cs="Times New Roman"/>
                      <w:sz w:val="21"/>
                      <w:szCs w:val="21"/>
                      <w:lang w:val="en-US"/>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0.261</w:t>
                  </w:r>
                </w:p>
              </w:tc>
              <w:tc>
                <w:tcPr>
                  <w:tcW w:w="1320" w:type="dxa"/>
                  <w:noWrap w:val="0"/>
                  <w:vAlign w:val="center"/>
                </w:tcPr>
                <w:p w14:paraId="50FA5657">
                  <w:pPr>
                    <w:keepNext w:val="0"/>
                    <w:keepLines w:val="0"/>
                    <w:pageBreakBefore w:val="0"/>
                    <w:widowControl/>
                    <w:kinsoku/>
                    <w:wordWrap/>
                    <w:overflowPunct/>
                    <w:topLinePunct w:val="0"/>
                    <w:bidi w:val="0"/>
                    <w:adjustRightInd/>
                    <w:snapToGrid w:val="0"/>
                    <w:spacing w:line="240" w:lineRule="auto"/>
                    <w:ind w:firstLine="0" w:firstLineChars="0"/>
                    <w:jc w:val="center"/>
                    <w:textAlignment w:val="center"/>
                    <w:rPr>
                      <w:rFonts w:hint="default" w:ascii="Times New Roman" w:hAnsi="Times New Roman" w:cs="Times New Roman"/>
                      <w:sz w:val="21"/>
                      <w:szCs w:val="21"/>
                      <w:lang w:val="en-US"/>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2.285</w:t>
                  </w:r>
                </w:p>
              </w:tc>
            </w:tr>
            <w:tr w14:paraId="37C048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3" w:type="dxa"/>
                  <w:vMerge w:val="continue"/>
                  <w:noWrap w:val="0"/>
                  <w:vAlign w:val="center"/>
                </w:tcPr>
                <w:p w14:paraId="0B01FEF8">
                  <w:pPr>
                    <w:keepNext w:val="0"/>
                    <w:keepLines w:val="0"/>
                    <w:pageBreakBefore w:val="0"/>
                    <w:widowControl/>
                    <w:kinsoku/>
                    <w:wordWrap/>
                    <w:overflowPunct/>
                    <w:topLinePunct w:val="0"/>
                    <w:bidi w:val="0"/>
                    <w:adjustRightInd/>
                    <w:snapToGrid w:val="0"/>
                    <w:spacing w:line="240" w:lineRule="auto"/>
                    <w:ind w:firstLine="0" w:firstLineChars="0"/>
                    <w:jc w:val="center"/>
                    <w:textAlignment w:val="center"/>
                    <w:rPr>
                      <w:rFonts w:hint="eastAsia"/>
                      <w:sz w:val="21"/>
                      <w:szCs w:val="21"/>
                      <w:lang w:val="en-US" w:eastAsia="zh-CN"/>
                    </w:rPr>
                  </w:pPr>
                </w:p>
              </w:tc>
              <w:tc>
                <w:tcPr>
                  <w:tcW w:w="1157" w:type="dxa"/>
                  <w:noWrap w:val="0"/>
                  <w:vAlign w:val="center"/>
                </w:tcPr>
                <w:p w14:paraId="3F322624">
                  <w:pPr>
                    <w:keepNext w:val="0"/>
                    <w:keepLines w:val="0"/>
                    <w:pageBreakBefore w:val="0"/>
                    <w:widowControl/>
                    <w:kinsoku/>
                    <w:wordWrap/>
                    <w:overflowPunct/>
                    <w:topLinePunct w:val="0"/>
                    <w:bidi w:val="0"/>
                    <w:adjustRightInd/>
                    <w:snapToGrid w:val="0"/>
                    <w:spacing w:line="240" w:lineRule="auto"/>
                    <w:ind w:firstLine="0" w:firstLineChars="0"/>
                    <w:jc w:val="center"/>
                    <w:textAlignment w:val="center"/>
                    <w:rPr>
                      <w:rFonts w:hint="eastAsia"/>
                      <w:sz w:val="21"/>
                      <w:szCs w:val="21"/>
                      <w:lang w:val="en-US" w:eastAsia="zh-CN"/>
                    </w:rPr>
                  </w:pPr>
                  <w:r>
                    <w:rPr>
                      <w:rFonts w:hint="default" w:ascii="Times New Roman" w:hAnsi="Times New Roman" w:eastAsia="宋体" w:cs="Times New Roman"/>
                      <w:color w:val="000000" w:themeColor="text1"/>
                      <w:sz w:val="21"/>
                      <w:szCs w:val="21"/>
                      <w14:textFill>
                        <w14:solidFill>
                          <w14:schemeClr w14:val="tx1"/>
                        </w14:solidFill>
                      </w14:textFill>
                    </w:rPr>
                    <w:t>合计</w:t>
                  </w:r>
                </w:p>
              </w:tc>
              <w:tc>
                <w:tcPr>
                  <w:tcW w:w="1324" w:type="dxa"/>
                  <w:vMerge w:val="continue"/>
                  <w:noWrap w:val="0"/>
                  <w:vAlign w:val="center"/>
                </w:tcPr>
                <w:p w14:paraId="167B0084">
                  <w:pPr>
                    <w:keepNext w:val="0"/>
                    <w:keepLines w:val="0"/>
                    <w:pageBreakBefore w:val="0"/>
                    <w:widowControl/>
                    <w:kinsoku/>
                    <w:wordWrap/>
                    <w:overflowPunct/>
                    <w:topLinePunct w:val="0"/>
                    <w:bidi w:val="0"/>
                    <w:adjustRightInd/>
                    <w:snapToGrid w:val="0"/>
                    <w:spacing w:line="240" w:lineRule="auto"/>
                    <w:ind w:firstLine="0" w:firstLineChars="0"/>
                    <w:jc w:val="center"/>
                    <w:textAlignment w:val="center"/>
                    <w:rPr>
                      <w:rFonts w:hint="default"/>
                      <w:sz w:val="21"/>
                      <w:szCs w:val="21"/>
                      <w:lang w:val="en-US" w:eastAsia="zh-CN"/>
                    </w:rPr>
                  </w:pPr>
                </w:p>
              </w:tc>
              <w:tc>
                <w:tcPr>
                  <w:tcW w:w="1732" w:type="dxa"/>
                  <w:noWrap w:val="0"/>
                  <w:vAlign w:val="center"/>
                </w:tcPr>
                <w:p w14:paraId="398C555D">
                  <w:pPr>
                    <w:keepNext w:val="0"/>
                    <w:keepLines w:val="0"/>
                    <w:pageBreakBefore w:val="0"/>
                    <w:widowControl/>
                    <w:kinsoku/>
                    <w:wordWrap/>
                    <w:overflowPunct/>
                    <w:topLinePunct w:val="0"/>
                    <w:bidi w:val="0"/>
                    <w:adjustRightInd/>
                    <w:snapToGrid w:val="0"/>
                    <w:spacing w:line="240" w:lineRule="auto"/>
                    <w:ind w:firstLine="0" w:firstLineChars="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0.757</w:t>
                  </w:r>
                </w:p>
              </w:tc>
              <w:tc>
                <w:tcPr>
                  <w:tcW w:w="1472" w:type="dxa"/>
                  <w:noWrap w:val="0"/>
                  <w:vAlign w:val="center"/>
                </w:tcPr>
                <w:p w14:paraId="6B26A5C5">
                  <w:pPr>
                    <w:keepNext w:val="0"/>
                    <w:keepLines w:val="0"/>
                    <w:pageBreakBefore w:val="0"/>
                    <w:widowControl/>
                    <w:kinsoku/>
                    <w:wordWrap/>
                    <w:overflowPunct/>
                    <w:topLinePunct w:val="0"/>
                    <w:bidi w:val="0"/>
                    <w:adjustRightInd/>
                    <w:snapToGrid w:val="0"/>
                    <w:spacing w:line="240" w:lineRule="auto"/>
                    <w:ind w:firstLine="0" w:firstLineChars="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6.633</w:t>
                  </w:r>
                </w:p>
              </w:tc>
              <w:tc>
                <w:tcPr>
                  <w:tcW w:w="2085" w:type="dxa"/>
                  <w:noWrap w:val="0"/>
                  <w:vAlign w:val="center"/>
                </w:tcPr>
                <w:p w14:paraId="5FEFDFA3">
                  <w:pPr>
                    <w:keepNext w:val="0"/>
                    <w:keepLines w:val="0"/>
                    <w:pageBreakBefore w:val="0"/>
                    <w:widowControl/>
                    <w:kinsoku/>
                    <w:wordWrap/>
                    <w:overflowPunct/>
                    <w:topLinePunct w:val="0"/>
                    <w:bidi w:val="0"/>
                    <w:adjustRightInd/>
                    <w:snapToGrid w:val="0"/>
                    <w:spacing w:line="240" w:lineRule="auto"/>
                    <w:ind w:firstLine="0" w:firstLineChars="0"/>
                    <w:jc w:val="center"/>
                    <w:textAlignment w:val="center"/>
                    <w:rPr>
                      <w:rFonts w:hint="eastAsia"/>
                      <w:sz w:val="21"/>
                      <w:szCs w:val="21"/>
                      <w:lang w:val="en-US" w:eastAsia="zh-CN"/>
                    </w:rPr>
                  </w:pPr>
                  <w:r>
                    <w:rPr>
                      <w:rFonts w:hint="default" w:ascii="Times New Roman" w:hAnsi="Times New Roman" w:cs="Times New Roman"/>
                      <w:sz w:val="21"/>
                      <w:szCs w:val="21"/>
                      <w:lang w:val="en-US" w:eastAsia="zh-CN"/>
                    </w:rPr>
                    <w:t>/</w:t>
                  </w:r>
                </w:p>
              </w:tc>
              <w:tc>
                <w:tcPr>
                  <w:tcW w:w="1245" w:type="dxa"/>
                  <w:noWrap w:val="0"/>
                  <w:vAlign w:val="center"/>
                </w:tcPr>
                <w:p w14:paraId="0A4D4900">
                  <w:pPr>
                    <w:keepNext w:val="0"/>
                    <w:keepLines w:val="0"/>
                    <w:pageBreakBefore w:val="0"/>
                    <w:widowControl/>
                    <w:kinsoku/>
                    <w:wordWrap/>
                    <w:overflowPunct/>
                    <w:topLinePunct w:val="0"/>
                    <w:bidi w:val="0"/>
                    <w:adjustRightInd/>
                    <w:snapToGrid w:val="0"/>
                    <w:spacing w:line="240" w:lineRule="auto"/>
                    <w:ind w:firstLine="0" w:firstLineChars="0"/>
                    <w:jc w:val="center"/>
                    <w:textAlignment w:val="center"/>
                    <w:rPr>
                      <w:sz w:val="21"/>
                      <w:szCs w:val="21"/>
                    </w:rPr>
                  </w:pPr>
                  <w:r>
                    <w:rPr>
                      <w:rFonts w:hint="default" w:ascii="Times New Roman" w:hAnsi="Times New Roman" w:cs="Times New Roman"/>
                      <w:sz w:val="21"/>
                      <w:szCs w:val="21"/>
                      <w:lang w:val="en-US" w:eastAsia="zh-CN"/>
                    </w:rPr>
                    <w:t>/</w:t>
                  </w:r>
                </w:p>
              </w:tc>
              <w:tc>
                <w:tcPr>
                  <w:tcW w:w="1500" w:type="dxa"/>
                  <w:vMerge w:val="continue"/>
                  <w:noWrap w:val="0"/>
                  <w:vAlign w:val="center"/>
                </w:tcPr>
                <w:p w14:paraId="11976EC0">
                  <w:pPr>
                    <w:keepNext w:val="0"/>
                    <w:keepLines w:val="0"/>
                    <w:pageBreakBefore w:val="0"/>
                    <w:widowControl/>
                    <w:kinsoku/>
                    <w:wordWrap/>
                    <w:overflowPunct/>
                    <w:topLinePunct w:val="0"/>
                    <w:bidi w:val="0"/>
                    <w:adjustRightInd/>
                    <w:snapToGrid w:val="0"/>
                    <w:spacing w:line="240" w:lineRule="auto"/>
                    <w:ind w:firstLine="0" w:firstLineChars="0"/>
                    <w:jc w:val="center"/>
                    <w:textAlignment w:val="center"/>
                    <w:rPr>
                      <w:rFonts w:hint="eastAsia"/>
                      <w:sz w:val="21"/>
                      <w:szCs w:val="21"/>
                      <w:lang w:val="en-US" w:eastAsia="zh-CN"/>
                    </w:rPr>
                  </w:pPr>
                </w:p>
              </w:tc>
              <w:tc>
                <w:tcPr>
                  <w:tcW w:w="1676" w:type="dxa"/>
                  <w:noWrap w:val="0"/>
                  <w:vAlign w:val="center"/>
                </w:tcPr>
                <w:p w14:paraId="29BA695D">
                  <w:pPr>
                    <w:keepNext w:val="0"/>
                    <w:keepLines w:val="0"/>
                    <w:pageBreakBefore w:val="0"/>
                    <w:widowControl/>
                    <w:kinsoku/>
                    <w:wordWrap/>
                    <w:overflowPunct/>
                    <w:topLinePunct w:val="0"/>
                    <w:bidi w:val="0"/>
                    <w:adjustRightInd/>
                    <w:snapToGrid w:val="0"/>
                    <w:spacing w:line="240" w:lineRule="auto"/>
                    <w:ind w:firstLine="0" w:firstLineChars="0"/>
                    <w:jc w:val="center"/>
                    <w:textAlignment w:val="center"/>
                    <w:rPr>
                      <w:rFonts w:hint="default" w:ascii="Times New Roman" w:hAnsi="Times New Roman" w:cs="Times New Roman"/>
                      <w:sz w:val="21"/>
                      <w:szCs w:val="21"/>
                      <w:lang w:val="en-US" w:eastAsia="zh-CN"/>
                    </w:rPr>
                  </w:pPr>
                  <w:r>
                    <w:rPr>
                      <w:rFonts w:hint="eastAsia" w:cs="Times New Roman"/>
                      <w:sz w:val="21"/>
                      <w:szCs w:val="21"/>
                      <w:lang w:val="en-US" w:eastAsia="zh-CN"/>
                    </w:rPr>
                    <w:t>0.311</w:t>
                  </w:r>
                </w:p>
              </w:tc>
              <w:tc>
                <w:tcPr>
                  <w:tcW w:w="1320" w:type="dxa"/>
                  <w:noWrap w:val="0"/>
                  <w:vAlign w:val="center"/>
                </w:tcPr>
                <w:p w14:paraId="36A0DCD6">
                  <w:pPr>
                    <w:keepNext w:val="0"/>
                    <w:keepLines w:val="0"/>
                    <w:pageBreakBefore w:val="0"/>
                    <w:widowControl/>
                    <w:kinsoku/>
                    <w:wordWrap/>
                    <w:overflowPunct/>
                    <w:topLinePunct w:val="0"/>
                    <w:bidi w:val="0"/>
                    <w:adjustRightInd/>
                    <w:snapToGrid w:val="0"/>
                    <w:spacing w:line="240" w:lineRule="auto"/>
                    <w:ind w:firstLine="0" w:firstLineChars="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w:t>
                  </w:r>
                  <w:r>
                    <w:rPr>
                      <w:rFonts w:hint="eastAsia" w:cs="Times New Roman"/>
                      <w:sz w:val="21"/>
                      <w:szCs w:val="21"/>
                      <w:lang w:val="en-US" w:eastAsia="zh-CN"/>
                    </w:rPr>
                    <w:t>720</w:t>
                  </w:r>
                </w:p>
              </w:tc>
            </w:tr>
          </w:tbl>
          <w:p w14:paraId="213A365C">
            <w:pPr>
              <w:pStyle w:val="49"/>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由表</w:t>
            </w:r>
            <w:r>
              <w:rPr>
                <w:rFonts w:ascii="Times New Roman" w:hAnsi="Times New Roman" w:eastAsia="宋体" w:cs="Times New Roman"/>
                <w:color w:val="auto"/>
                <w:sz w:val="24"/>
                <w:szCs w:val="24"/>
                <w:lang w:val="en-US" w:eastAsia="zh-CN" w:bidi="ar-SA"/>
              </w:rPr>
              <w:t>4</w:t>
            </w:r>
            <w:r>
              <w:rPr>
                <w:rFonts w:hint="eastAsia" w:cs="Times New Roman"/>
                <w:color w:val="auto"/>
                <w:sz w:val="24"/>
                <w:szCs w:val="24"/>
                <w:lang w:val="en-US" w:eastAsia="zh-CN" w:bidi="ar-SA"/>
              </w:rPr>
              <w:t>.1</w:t>
            </w:r>
            <w:r>
              <w:rPr>
                <w:rFonts w:ascii="Times New Roman" w:hAnsi="Times New Roman" w:eastAsia="宋体" w:cs="Times New Roman"/>
                <w:color w:val="auto"/>
                <w:sz w:val="24"/>
                <w:szCs w:val="24"/>
                <w:lang w:val="en-US" w:eastAsia="zh-CN" w:bidi="ar-SA"/>
              </w:rPr>
              <w:t>-</w:t>
            </w:r>
            <w:r>
              <w:rPr>
                <w:rFonts w:hint="eastAsia" w:cs="Times New Roman"/>
                <w:color w:val="auto"/>
                <w:sz w:val="24"/>
                <w:szCs w:val="24"/>
                <w:lang w:val="en-US" w:eastAsia="zh-CN" w:bidi="ar-SA"/>
              </w:rPr>
              <w:t>4</w:t>
            </w:r>
            <w:r>
              <w:rPr>
                <w:rFonts w:hint="eastAsia" w:ascii="Times New Roman" w:hAnsi="Times New Roman" w:eastAsia="宋体" w:cs="Times New Roman"/>
                <w:color w:val="auto"/>
                <w:sz w:val="24"/>
                <w:szCs w:val="24"/>
                <w:lang w:val="en-US" w:eastAsia="zh-CN" w:bidi="ar-SA"/>
              </w:rPr>
              <w:t>和</w:t>
            </w:r>
            <w:r>
              <w:rPr>
                <w:rFonts w:ascii="Times New Roman" w:hAnsi="Times New Roman" w:eastAsia="宋体" w:cs="Times New Roman"/>
                <w:color w:val="auto"/>
                <w:sz w:val="24"/>
                <w:szCs w:val="24"/>
                <w:lang w:val="en-US" w:eastAsia="zh-CN" w:bidi="ar-SA"/>
              </w:rPr>
              <w:t>表</w:t>
            </w:r>
            <w:r>
              <w:rPr>
                <w:rFonts w:hint="eastAsia" w:ascii="Times New Roman" w:hAnsi="Times New Roman" w:eastAsia="宋体" w:cs="Times New Roman"/>
                <w:color w:val="auto"/>
                <w:sz w:val="24"/>
                <w:szCs w:val="24"/>
                <w:lang w:val="en-US" w:eastAsia="zh-CN" w:bidi="ar-SA"/>
              </w:rPr>
              <w:t>4</w:t>
            </w:r>
            <w:r>
              <w:rPr>
                <w:rFonts w:hint="eastAsia" w:cs="Times New Roman"/>
                <w:color w:val="auto"/>
                <w:sz w:val="24"/>
                <w:szCs w:val="24"/>
                <w:lang w:val="en-US" w:eastAsia="zh-CN" w:bidi="ar-SA"/>
              </w:rPr>
              <w:t>.1</w:t>
            </w:r>
            <w:r>
              <w:rPr>
                <w:rFonts w:ascii="Times New Roman" w:hAnsi="Times New Roman" w:eastAsia="宋体" w:cs="Times New Roman"/>
                <w:color w:val="auto"/>
                <w:sz w:val="24"/>
                <w:szCs w:val="24"/>
                <w:lang w:val="en-US" w:eastAsia="zh-CN" w:bidi="ar-SA"/>
              </w:rPr>
              <w:t>-</w:t>
            </w:r>
            <w:r>
              <w:rPr>
                <w:rFonts w:hint="eastAsia" w:cs="Times New Roman"/>
                <w:color w:val="auto"/>
                <w:sz w:val="24"/>
                <w:szCs w:val="24"/>
                <w:lang w:val="en-US" w:eastAsia="zh-CN" w:bidi="ar-SA"/>
              </w:rPr>
              <w:t>5</w:t>
            </w:r>
            <w:r>
              <w:rPr>
                <w:rFonts w:ascii="Times New Roman" w:hAnsi="Times New Roman" w:eastAsia="宋体" w:cs="Times New Roman"/>
                <w:color w:val="auto"/>
                <w:sz w:val="24"/>
                <w:szCs w:val="24"/>
                <w:lang w:val="en-US" w:eastAsia="zh-CN" w:bidi="ar-SA"/>
              </w:rPr>
              <w:t>可以看出，</w:t>
            </w:r>
            <w:r>
              <w:rPr>
                <w:rFonts w:hint="eastAsia" w:cs="Times New Roman"/>
                <w:color w:val="auto"/>
                <w:sz w:val="24"/>
                <w:szCs w:val="24"/>
                <w:lang w:val="en-US" w:eastAsia="zh-CN" w:bidi="ar-SA"/>
              </w:rPr>
              <w:t>本项目</w:t>
            </w:r>
            <w:r>
              <w:rPr>
                <w:rFonts w:hint="eastAsia" w:ascii="Times New Roman" w:hAnsi="Times New Roman" w:eastAsia="宋体" w:cs="Times New Roman"/>
                <w:color w:val="auto"/>
                <w:sz w:val="24"/>
                <w:szCs w:val="24"/>
                <w:lang w:val="en-US" w:eastAsia="zh-CN" w:bidi="ar-SA"/>
              </w:rPr>
              <w:t>非甲烷总烃</w:t>
            </w:r>
            <w:r>
              <w:rPr>
                <w:rFonts w:ascii="Times New Roman" w:hAnsi="Times New Roman" w:eastAsia="宋体" w:cs="Times New Roman"/>
                <w:color w:val="auto"/>
                <w:sz w:val="24"/>
                <w:szCs w:val="24"/>
                <w:lang w:val="en-US" w:eastAsia="zh-CN" w:bidi="ar-SA"/>
              </w:rPr>
              <w:t>产生</w:t>
            </w:r>
            <w:r>
              <w:rPr>
                <w:rFonts w:hint="eastAsia" w:ascii="Times New Roman" w:hAnsi="Times New Roman" w:eastAsia="宋体" w:cs="Times New Roman"/>
                <w:color w:val="auto"/>
                <w:sz w:val="24"/>
                <w:szCs w:val="24"/>
                <w:lang w:val="en-US" w:eastAsia="zh-CN" w:bidi="ar-SA"/>
              </w:rPr>
              <w:t>量</w:t>
            </w:r>
            <w:r>
              <w:rPr>
                <w:rFonts w:ascii="Times New Roman" w:hAnsi="Times New Roman" w:eastAsia="宋体" w:cs="Times New Roman"/>
                <w:color w:val="auto"/>
                <w:sz w:val="24"/>
                <w:szCs w:val="24"/>
                <w:lang w:val="en-US" w:eastAsia="zh-CN" w:bidi="ar-SA"/>
              </w:rPr>
              <w:t>为</w:t>
            </w:r>
            <w:r>
              <w:rPr>
                <w:rFonts w:hint="eastAsia" w:cs="Times New Roman"/>
                <w:color w:val="auto"/>
                <w:sz w:val="24"/>
                <w:szCs w:val="24"/>
                <w:lang w:val="en-US" w:eastAsia="zh-CN" w:bidi="ar-SA"/>
              </w:rPr>
              <w:t>11.510</w:t>
            </w:r>
            <w:r>
              <w:rPr>
                <w:rFonts w:ascii="Times New Roman" w:hAnsi="Times New Roman" w:eastAsia="宋体" w:cs="Times New Roman"/>
                <w:color w:val="auto"/>
                <w:sz w:val="24"/>
                <w:szCs w:val="24"/>
                <w:lang w:val="en-US" w:eastAsia="zh-CN" w:bidi="ar-SA"/>
              </w:rPr>
              <w:t>t/a，</w:t>
            </w:r>
            <w:r>
              <w:rPr>
                <w:rFonts w:hint="eastAsia" w:ascii="Times New Roman" w:hAnsi="Times New Roman" w:eastAsia="宋体" w:cs="Times New Roman"/>
                <w:color w:val="auto"/>
                <w:sz w:val="24"/>
                <w:szCs w:val="24"/>
                <w:lang w:val="en-US" w:eastAsia="zh-CN" w:bidi="ar-SA"/>
              </w:rPr>
              <w:t>汽油</w:t>
            </w:r>
            <w:r>
              <w:rPr>
                <w:rFonts w:hint="eastAsia" w:cs="Times New Roman"/>
                <w:color w:val="auto"/>
                <w:sz w:val="24"/>
                <w:szCs w:val="24"/>
                <w:lang w:val="en-US" w:eastAsia="zh-CN" w:bidi="ar-SA"/>
              </w:rPr>
              <w:t>油气</w:t>
            </w:r>
            <w:r>
              <w:rPr>
                <w:rFonts w:ascii="Times New Roman" w:hAnsi="Times New Roman" w:eastAsia="宋体" w:cs="Times New Roman"/>
                <w:color w:val="auto"/>
                <w:sz w:val="24"/>
                <w:szCs w:val="24"/>
                <w:lang w:val="en-US" w:eastAsia="zh-CN" w:bidi="ar-SA"/>
              </w:rPr>
              <w:t>经油气回收</w:t>
            </w:r>
            <w:r>
              <w:rPr>
                <w:rFonts w:hint="eastAsia" w:cs="Times New Roman"/>
                <w:color w:val="auto"/>
                <w:sz w:val="24"/>
                <w:szCs w:val="24"/>
                <w:lang w:val="en-US" w:eastAsia="zh-CN" w:bidi="ar-SA"/>
              </w:rPr>
              <w:t>系统</w:t>
            </w:r>
            <w:r>
              <w:rPr>
                <w:rFonts w:ascii="Times New Roman" w:hAnsi="Times New Roman" w:eastAsia="宋体" w:cs="Times New Roman"/>
                <w:color w:val="auto"/>
                <w:sz w:val="24"/>
                <w:szCs w:val="24"/>
                <w:lang w:val="en-US" w:eastAsia="zh-CN" w:bidi="ar-SA"/>
              </w:rPr>
              <w:t>收集至储油罐中，再由储油罐转运至油罐车中运往油库处理，其余</w:t>
            </w:r>
            <w:r>
              <w:rPr>
                <w:rFonts w:hint="eastAsia" w:ascii="Times New Roman" w:hAnsi="Times New Roman" w:eastAsia="宋体" w:cs="Times New Roman"/>
                <w:color w:val="auto"/>
                <w:sz w:val="24"/>
                <w:szCs w:val="24"/>
                <w:lang w:val="en-US" w:eastAsia="zh-CN" w:bidi="ar-SA"/>
              </w:rPr>
              <w:t>非甲烷总烃</w:t>
            </w:r>
            <w:r>
              <w:rPr>
                <w:rFonts w:ascii="Times New Roman" w:hAnsi="Times New Roman" w:eastAsia="宋体" w:cs="Times New Roman"/>
                <w:color w:val="auto"/>
                <w:sz w:val="24"/>
                <w:szCs w:val="24"/>
                <w:lang w:val="en-US" w:eastAsia="zh-CN" w:bidi="ar-SA"/>
              </w:rPr>
              <w:t>排放量为</w:t>
            </w:r>
            <w:r>
              <w:rPr>
                <w:rFonts w:hint="eastAsia" w:cs="Times New Roman"/>
                <w:color w:val="auto"/>
                <w:sz w:val="24"/>
                <w:szCs w:val="24"/>
                <w:lang w:val="en-US" w:eastAsia="zh-CN" w:bidi="ar-SA"/>
              </w:rPr>
              <w:t>4.320</w:t>
            </w:r>
            <w:r>
              <w:rPr>
                <w:rFonts w:ascii="Times New Roman" w:hAnsi="Times New Roman" w:eastAsia="宋体" w:cs="Times New Roman"/>
                <w:color w:val="auto"/>
                <w:sz w:val="24"/>
                <w:szCs w:val="24"/>
                <w:lang w:val="en-US" w:eastAsia="zh-CN" w:bidi="ar-SA"/>
              </w:rPr>
              <w:t>t/a，</w:t>
            </w:r>
            <w:r>
              <w:rPr>
                <w:rFonts w:ascii="Times New Roman" w:hAnsi="Times New Roman" w:eastAsia="宋体" w:cs="Times New Roman"/>
                <w:color w:val="FF0000"/>
                <w:sz w:val="24"/>
                <w:szCs w:val="24"/>
                <w:lang w:val="en-US" w:eastAsia="zh-CN" w:bidi="ar-SA"/>
              </w:rPr>
              <w:t>均呈无组织排放，对周围环境有一定影响，但影响不大。</w:t>
            </w:r>
          </w:p>
          <w:p w14:paraId="58E742E7">
            <w:pPr>
              <w:pStyle w:val="49"/>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lang w:val="en-US" w:eastAsia="zh-CN" w:bidi="ar-SA"/>
              </w:rPr>
            </w:pPr>
          </w:p>
          <w:p w14:paraId="740AB18E">
            <w:pPr>
              <w:pStyle w:val="49"/>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lang w:val="en-US" w:eastAsia="zh-CN" w:bidi="ar-SA"/>
              </w:rPr>
            </w:pPr>
          </w:p>
          <w:p w14:paraId="15916594">
            <w:pPr>
              <w:pStyle w:val="49"/>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lang w:val="en-US" w:eastAsia="zh-CN" w:bidi="ar-SA"/>
              </w:rPr>
            </w:pPr>
          </w:p>
          <w:p w14:paraId="29721BB4">
            <w:pPr>
              <w:pStyle w:val="49"/>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lang w:val="en-US" w:eastAsia="zh-CN" w:bidi="ar-SA"/>
              </w:rPr>
            </w:pPr>
          </w:p>
          <w:p w14:paraId="235E7899">
            <w:pPr>
              <w:pStyle w:val="49"/>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lang w:val="en-US" w:eastAsia="zh-CN" w:bidi="ar-SA"/>
              </w:rPr>
            </w:pPr>
          </w:p>
          <w:p w14:paraId="03C2FE78">
            <w:pPr>
              <w:pStyle w:val="49"/>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lang w:val="en-US" w:eastAsia="zh-CN" w:bidi="ar-SA"/>
              </w:rPr>
            </w:pPr>
          </w:p>
          <w:p w14:paraId="1DD23F53">
            <w:pPr>
              <w:pStyle w:val="49"/>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lang w:val="en-US" w:eastAsia="zh-CN" w:bidi="ar-SA"/>
              </w:rPr>
            </w:pPr>
          </w:p>
          <w:p w14:paraId="5DD91E4E">
            <w:pPr>
              <w:pStyle w:val="49"/>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lang w:val="en-US" w:eastAsia="zh-CN" w:bidi="ar-SA"/>
              </w:rPr>
            </w:pPr>
          </w:p>
          <w:p w14:paraId="25856219">
            <w:pPr>
              <w:pStyle w:val="49"/>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lang w:val="en-US" w:eastAsia="zh-CN" w:bidi="ar-SA"/>
              </w:rPr>
            </w:pPr>
          </w:p>
          <w:p w14:paraId="4941F372">
            <w:pPr>
              <w:pStyle w:val="49"/>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lang w:val="en-US" w:eastAsia="zh-CN" w:bidi="ar-SA"/>
              </w:rPr>
            </w:pPr>
          </w:p>
          <w:p w14:paraId="50EEA9FA">
            <w:pPr>
              <w:keepNext w:val="0"/>
              <w:keepLines w:val="0"/>
              <w:pageBreakBefore w:val="0"/>
              <w:widowControl w:val="0"/>
              <w:kinsoku/>
              <w:wordWrap w:val="0"/>
              <w:overflowPunct/>
              <w:topLinePunct w:val="0"/>
              <w:autoSpaceDE/>
              <w:autoSpaceDN/>
              <w:bidi w:val="0"/>
              <w:adjustRightInd/>
              <w:snapToGrid/>
              <w:spacing w:line="360" w:lineRule="auto"/>
              <w:ind w:left="0" w:leftChars="0" w:firstLine="480" w:firstLineChars="200"/>
              <w:jc w:val="both"/>
              <w:textAlignment w:val="auto"/>
              <w:rPr>
                <w:vertAlign w:val="baseline"/>
              </w:rPr>
            </w:pPr>
          </w:p>
        </w:tc>
      </w:tr>
    </w:tbl>
    <w:p w14:paraId="1A2AE95F">
      <w:pPr>
        <w:wordWrap w:val="0"/>
        <w:spacing w:line="240" w:lineRule="auto"/>
        <w:ind w:firstLine="0" w:firstLineChars="0"/>
        <w:jc w:val="center"/>
        <w:sectPr>
          <w:footerReference r:id="rId14" w:type="default"/>
          <w:headerReference r:id="rId13" w:type="even"/>
          <w:footerReference r:id="rId15" w:type="even"/>
          <w:pgSz w:w="16838" w:h="11906" w:orient="landscape"/>
          <w:pgMar w:top="1440" w:right="1080" w:bottom="1440" w:left="1080" w:header="851" w:footer="850" w:gutter="0"/>
          <w:pgBorders>
            <w:top w:val="none" w:sz="0" w:space="0"/>
            <w:left w:val="none" w:sz="0" w:space="0"/>
            <w:bottom w:val="none" w:sz="0" w:space="0"/>
            <w:right w:val="none" w:sz="0" w:space="0"/>
          </w:pgBorders>
          <w:pgNumType w:fmt="decimal"/>
          <w:cols w:space="0" w:num="1"/>
          <w:rtlGutter w:val="0"/>
          <w:docGrid w:type="lines" w:linePitch="326" w:charSpace="0"/>
        </w:sectPr>
      </w:pP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3"/>
        <w:gridCol w:w="9499"/>
      </w:tblGrid>
      <w:tr w14:paraId="506C7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dxa"/>
            <w:vAlign w:val="center"/>
          </w:tcPr>
          <w:p w14:paraId="467F1E3D">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vertAlign w:val="baseline"/>
              </w:rPr>
            </w:pPr>
            <w:r>
              <w:rPr>
                <w:rFonts w:hint="eastAsia"/>
                <w:vertAlign w:val="baseline"/>
                <w:lang w:val="en-US" w:eastAsia="zh-CN"/>
              </w:rPr>
              <w:t>运</w:t>
            </w:r>
            <w:r>
              <w:rPr>
                <w:rFonts w:hint="eastAsia"/>
                <w:vertAlign w:val="baseline"/>
              </w:rPr>
              <w:t>营期环境影响和保护措施</w:t>
            </w:r>
          </w:p>
        </w:tc>
        <w:tc>
          <w:tcPr>
            <w:tcW w:w="9304" w:type="dxa"/>
            <w:vAlign w:val="top"/>
          </w:tcPr>
          <w:p w14:paraId="5D2738AF">
            <w:pPr>
              <w:pStyle w:val="49"/>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Calibri" w:eastAsia="宋体" w:cs="Times New Roman"/>
                <w:snapToGrid/>
                <w:color w:val="auto"/>
                <w:kern w:val="2"/>
                <w:sz w:val="24"/>
                <w:szCs w:val="24"/>
                <w:lang w:val="en-US" w:eastAsia="zh-CN" w:bidi="ar-SA"/>
              </w:rPr>
            </w:pPr>
            <w:r>
              <w:rPr>
                <w:rFonts w:hint="eastAsia" w:hAnsi="Calibri" w:cs="Times New Roman"/>
                <w:snapToGrid/>
                <w:color w:val="auto"/>
                <w:kern w:val="2"/>
                <w:sz w:val="24"/>
                <w:szCs w:val="24"/>
                <w:lang w:val="en-US" w:eastAsia="zh-CN" w:bidi="ar-SA"/>
              </w:rPr>
              <w:t>2</w:t>
            </w:r>
            <w:r>
              <w:rPr>
                <w:rFonts w:hint="eastAsia" w:ascii="Times New Roman" w:hAnsi="Calibri" w:eastAsia="宋体" w:cs="Times New Roman"/>
                <w:snapToGrid/>
                <w:color w:val="auto"/>
                <w:kern w:val="2"/>
                <w:sz w:val="24"/>
                <w:szCs w:val="24"/>
                <w:lang w:val="en-US" w:eastAsia="zh-CN" w:bidi="ar-SA"/>
              </w:rPr>
              <w:t>）汽车尾气</w:t>
            </w:r>
          </w:p>
          <w:p w14:paraId="4A620EAB">
            <w:pPr>
              <w:pStyle w:val="109"/>
              <w:keepNext w:val="0"/>
              <w:keepLines w:val="0"/>
              <w:pageBreakBefore w:val="0"/>
              <w:widowControl w:val="0"/>
              <w:kinsoku/>
              <w:wordWrap/>
              <w:overflowPunct/>
              <w:topLinePunct w:val="0"/>
              <w:autoSpaceDE/>
              <w:autoSpaceDN/>
              <w:bidi w:val="0"/>
              <w:adjustRightInd/>
              <w:snapToGrid/>
              <w:ind w:firstLine="482"/>
              <w:textAlignment w:val="auto"/>
              <w:rPr>
                <w:rFonts w:hint="eastAsia"/>
                <w:b/>
                <w:bCs/>
                <w:szCs w:val="24"/>
              </w:rPr>
            </w:pPr>
            <w:r>
              <w:rPr>
                <w:rFonts w:hint="eastAsia" w:ascii="Times New Roman" w:hAnsi="Times New Roman" w:eastAsia="宋体" w:cs="Times New Roman"/>
                <w:color w:val="auto"/>
                <w:sz w:val="24"/>
                <w:szCs w:val="24"/>
                <w:lang w:val="en-US" w:eastAsia="zh-CN" w:bidi="ar-SA"/>
              </w:rPr>
              <w:t>本项目运营期会有汽车尾气产生，主要</w:t>
            </w:r>
            <w:r>
              <w:rPr>
                <w:rFonts w:hint="eastAsia" w:cs="Times New Roman"/>
                <w:color w:val="auto"/>
                <w:sz w:val="24"/>
                <w:szCs w:val="24"/>
                <w:lang w:val="en-US" w:eastAsia="zh-CN" w:bidi="ar-SA"/>
              </w:rPr>
              <w:t>来自</w:t>
            </w:r>
            <w:r>
              <w:rPr>
                <w:rFonts w:ascii="Times New Roman" w:hAnsi="Times New Roman" w:eastAsia="宋体" w:cs="Times New Roman"/>
                <w:color w:val="auto"/>
                <w:sz w:val="24"/>
                <w:szCs w:val="24"/>
                <w:lang w:val="en-US" w:eastAsia="zh-CN" w:bidi="ar-SA"/>
              </w:rPr>
              <w:t>加油</w:t>
            </w:r>
            <w:r>
              <w:rPr>
                <w:rFonts w:hint="eastAsia" w:ascii="Times New Roman" w:hAnsi="Times New Roman" w:eastAsia="宋体" w:cs="Times New Roman"/>
                <w:color w:val="auto"/>
                <w:sz w:val="24"/>
                <w:szCs w:val="24"/>
                <w:lang w:val="en-US" w:eastAsia="zh-CN" w:bidi="ar-SA"/>
              </w:rPr>
              <w:t>汽车</w:t>
            </w:r>
            <w:r>
              <w:rPr>
                <w:rFonts w:ascii="Times New Roman" w:hAnsi="Times New Roman" w:eastAsia="宋体" w:cs="Times New Roman"/>
                <w:color w:val="auto"/>
                <w:sz w:val="24"/>
                <w:szCs w:val="24"/>
                <w:lang w:val="en-US" w:eastAsia="zh-CN" w:bidi="ar-SA"/>
              </w:rPr>
              <w:t>及油罐车，这部分汽车尾气以无组织形式排放，且排放源属于移动式，排</w:t>
            </w:r>
            <w:r>
              <w:rPr>
                <w:rFonts w:hint="eastAsia" w:ascii="Times New Roman" w:hAnsi="Times New Roman" w:eastAsia="宋体" w:cs="Times New Roman"/>
                <w:color w:val="auto"/>
                <w:sz w:val="24"/>
                <w:szCs w:val="24"/>
                <w:lang w:val="en-US" w:eastAsia="zh-CN" w:bidi="ar-SA"/>
              </w:rPr>
              <w:t>放汽车尾气</w:t>
            </w:r>
            <w:r>
              <w:rPr>
                <w:rFonts w:ascii="Times New Roman" w:hAnsi="Times New Roman" w:eastAsia="宋体" w:cs="Times New Roman"/>
                <w:color w:val="auto"/>
                <w:sz w:val="24"/>
                <w:szCs w:val="24"/>
                <w:lang w:val="en-US" w:eastAsia="zh-CN" w:bidi="ar-SA"/>
              </w:rPr>
              <w:t>无法集中控制、收集，只能经大气流动扩散稀释排放，另加油</w:t>
            </w:r>
            <w:r>
              <w:rPr>
                <w:rFonts w:hint="eastAsia" w:ascii="Times New Roman" w:hAnsi="Times New Roman" w:eastAsia="宋体" w:cs="Times New Roman"/>
                <w:color w:val="auto"/>
                <w:sz w:val="24"/>
                <w:szCs w:val="24"/>
                <w:lang w:val="en-US" w:eastAsia="zh-CN" w:bidi="ar-SA"/>
              </w:rPr>
              <w:t>汽车</w:t>
            </w:r>
            <w:r>
              <w:rPr>
                <w:rFonts w:ascii="Times New Roman" w:hAnsi="Times New Roman" w:eastAsia="宋体" w:cs="Times New Roman"/>
                <w:color w:val="auto"/>
                <w:sz w:val="24"/>
                <w:szCs w:val="24"/>
                <w:lang w:val="en-US" w:eastAsia="zh-CN" w:bidi="ar-SA"/>
              </w:rPr>
              <w:t>进站后发动机要求为关闭状态，一般排放量都很少，且易扩散，</w:t>
            </w:r>
            <w:r>
              <w:rPr>
                <w:rFonts w:hint="eastAsia" w:ascii="Times New Roman" w:hAnsi="Times New Roman" w:eastAsia="宋体" w:cs="Times New Roman"/>
                <w:color w:val="auto"/>
                <w:sz w:val="24"/>
                <w:szCs w:val="24"/>
                <w:lang w:val="en-US" w:eastAsia="zh-CN" w:bidi="ar-SA"/>
              </w:rPr>
              <w:t>故本次环评不对汽车尾气作定量分析。</w:t>
            </w:r>
            <w:r>
              <w:rPr>
                <w:rFonts w:ascii="Times New Roman" w:hAnsi="Times New Roman" w:eastAsia="宋体" w:cs="Times New Roman"/>
                <w:color w:val="auto"/>
                <w:sz w:val="24"/>
                <w:szCs w:val="24"/>
                <w:lang w:val="en-US" w:eastAsia="zh-CN" w:bidi="ar-SA"/>
              </w:rPr>
              <w:t>建议加强车辆管理和厂区绿化，则汽车尾气对环境影响较小。</w:t>
            </w:r>
          </w:p>
          <w:p w14:paraId="4E4B5A80">
            <w:pPr>
              <w:pStyle w:val="109"/>
              <w:keepNext w:val="0"/>
              <w:keepLines w:val="0"/>
              <w:pageBreakBefore w:val="0"/>
              <w:widowControl w:val="0"/>
              <w:kinsoku/>
              <w:wordWrap/>
              <w:overflowPunct/>
              <w:topLinePunct w:val="0"/>
              <w:autoSpaceDE/>
              <w:autoSpaceDN/>
              <w:bidi w:val="0"/>
              <w:adjustRightInd/>
              <w:snapToGrid/>
              <w:ind w:firstLine="482"/>
              <w:textAlignment w:val="auto"/>
              <w:rPr>
                <w:b/>
                <w:bCs/>
                <w:szCs w:val="24"/>
              </w:rPr>
            </w:pPr>
            <w:r>
              <w:rPr>
                <w:rFonts w:hint="eastAsia"/>
                <w:b/>
                <w:bCs/>
                <w:szCs w:val="24"/>
              </w:rPr>
              <w:t>（2）</w:t>
            </w:r>
            <w:r>
              <w:rPr>
                <w:b/>
                <w:bCs/>
                <w:szCs w:val="24"/>
              </w:rPr>
              <w:t>废气处理措施可行性分析</w:t>
            </w:r>
          </w:p>
          <w:p w14:paraId="45F51D05">
            <w:pPr>
              <w:ind w:firstLine="480"/>
              <w:rPr>
                <w:rFonts w:hint="eastAsia"/>
                <w:color w:val="1F497D" w:themeColor="text2"/>
                <w:sz w:val="24"/>
                <w:lang w:val="en-US" w:eastAsia="zh-CN"/>
                <w14:textFill>
                  <w14:solidFill>
                    <w14:schemeClr w14:val="tx2"/>
                  </w14:solidFill>
                </w14:textFill>
              </w:rPr>
            </w:pPr>
            <w:r>
              <w:rPr>
                <w:rFonts w:hint="eastAsia"/>
                <w:color w:val="1F497D" w:themeColor="text2"/>
                <w:lang w:val="en-US" w:eastAsia="zh-CN"/>
                <w14:textFill>
                  <w14:solidFill>
                    <w14:schemeClr w14:val="tx2"/>
                  </w14:solidFill>
                </w14:textFill>
              </w:rPr>
              <w:t>本项目运营期废气主要为储油罐大小呼吸废气、加油挥发油气、汽车尾气。</w:t>
            </w:r>
            <w:r>
              <w:rPr>
                <w:rFonts w:hint="eastAsia"/>
                <w:color w:val="1F497D" w:themeColor="text2"/>
                <w:sz w:val="24"/>
                <w14:textFill>
                  <w14:solidFill>
                    <w14:schemeClr w14:val="tx2"/>
                  </w14:solidFill>
                </w14:textFill>
              </w:rPr>
              <w:t xml:space="preserve">参照《排污许可证申请与核发技术规范 </w:t>
            </w:r>
            <w:r>
              <w:rPr>
                <w:rFonts w:hint="eastAsia"/>
                <w:color w:val="1F497D" w:themeColor="text2"/>
                <w:sz w:val="24"/>
                <w:lang w:val="en-US" w:eastAsia="zh-CN"/>
                <w14:textFill>
                  <w14:solidFill>
                    <w14:schemeClr w14:val="tx2"/>
                  </w14:solidFill>
                </w14:textFill>
              </w:rPr>
              <w:t>储油库、加油站</w:t>
            </w:r>
            <w:r>
              <w:rPr>
                <w:rFonts w:hint="eastAsia"/>
                <w:color w:val="1F497D" w:themeColor="text2"/>
                <w:sz w:val="24"/>
                <w14:textFill>
                  <w14:solidFill>
                    <w14:schemeClr w14:val="tx2"/>
                  </w14:solidFill>
                </w14:textFill>
              </w:rPr>
              <w:t>》（</w:t>
            </w:r>
            <w:r>
              <w:rPr>
                <w:rFonts w:hint="eastAsia" w:cs="Times New Roman"/>
                <w:color w:val="1F497D" w:themeColor="text2"/>
                <w:sz w:val="24"/>
                <w:lang w:val="en-US" w:eastAsia="zh-CN"/>
                <w14:textFill>
                  <w14:solidFill>
                    <w14:schemeClr w14:val="tx2"/>
                  </w14:solidFill>
                </w14:textFill>
              </w:rPr>
              <w:t>HJ1118-2020</w:t>
            </w:r>
            <w:r>
              <w:rPr>
                <w:rFonts w:hint="eastAsia"/>
                <w:color w:val="1F497D" w:themeColor="text2"/>
                <w:sz w:val="24"/>
                <w14:textFill>
                  <w14:solidFill>
                    <w14:schemeClr w14:val="tx2"/>
                  </w14:solidFill>
                </w14:textFill>
              </w:rPr>
              <w:t>）</w:t>
            </w:r>
            <w:r>
              <w:rPr>
                <w:rFonts w:hint="eastAsia"/>
                <w:color w:val="1F497D" w:themeColor="text2"/>
                <w:sz w:val="24"/>
                <w:lang w:val="en-US" w:eastAsia="zh-CN"/>
                <w14:textFill>
                  <w14:solidFill>
                    <w14:schemeClr w14:val="tx2"/>
                  </w14:solidFill>
                </w14:textFill>
              </w:rPr>
              <w:t>可知，储油罐大小呼吸</w:t>
            </w:r>
            <w:r>
              <w:rPr>
                <w:rFonts w:hint="eastAsia"/>
                <w:color w:val="1F497D" w:themeColor="text2"/>
                <w:lang w:val="en-US" w:eastAsia="zh-CN"/>
                <w14:textFill>
                  <w14:solidFill>
                    <w14:schemeClr w14:val="tx2"/>
                  </w14:solidFill>
                </w14:textFill>
              </w:rPr>
              <w:t>废气</w:t>
            </w:r>
            <w:r>
              <w:rPr>
                <w:rFonts w:hint="eastAsia"/>
                <w:color w:val="1F497D" w:themeColor="text2"/>
                <w:sz w:val="24"/>
                <w:lang w:val="en-US" w:eastAsia="zh-CN"/>
                <w14:textFill>
                  <w14:solidFill>
                    <w14:schemeClr w14:val="tx2"/>
                  </w14:solidFill>
                </w14:textFill>
              </w:rPr>
              <w:t>采取卸油油气回收系统（污染治理工艺：油气平衡）处理非甲烷总烃，加油挥发油气采取加油油气回收系统（污染治理工艺：油气回收）处理非甲烷总烃属于可行技术。</w:t>
            </w:r>
          </w:p>
          <w:p w14:paraId="16A64AE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000000" w:themeColor="text1"/>
                <w:sz w:val="24"/>
                <w14:textFill>
                  <w14:solidFill>
                    <w14:schemeClr w14:val="tx1"/>
                  </w14:solidFill>
                </w14:textFill>
              </w:rPr>
            </w:pPr>
            <w:r>
              <w:rPr>
                <w:rFonts w:hint="eastAsia"/>
                <w:lang w:val="en-US" w:eastAsia="zh-CN"/>
              </w:rPr>
              <w:t>本项目</w:t>
            </w:r>
            <w:r>
              <w:rPr>
                <w:rFonts w:hint="eastAsia" w:ascii="Times New Roman" w:hAnsi="Times New Roman" w:eastAsia="宋体"/>
                <w:color w:val="000000" w:themeColor="text1"/>
                <w:sz w:val="24"/>
                <w14:textFill>
                  <w14:solidFill>
                    <w14:schemeClr w14:val="tx1"/>
                  </w14:solidFill>
                </w14:textFill>
              </w:rPr>
              <w:t>在采取油气回收措施后可减小非甲烷总烃排放量</w:t>
            </w:r>
            <w:r>
              <w:rPr>
                <w:rFonts w:ascii="Times New Roman" w:hAnsi="Times New Roman" w:eastAsia="宋体"/>
                <w:color w:val="000000" w:themeColor="text1"/>
                <w:sz w:val="24"/>
                <w14:textFill>
                  <w14:solidFill>
                    <w14:schemeClr w14:val="tx1"/>
                  </w14:solidFill>
                </w14:textFill>
              </w:rPr>
              <w:t>，非甲烷总烃预计排放量约为</w:t>
            </w:r>
            <w:r>
              <w:rPr>
                <w:rFonts w:hint="eastAsia" w:ascii="Times New Roman" w:hAnsi="Times New Roman" w:eastAsia="宋体"/>
                <w:color w:val="000000" w:themeColor="text1"/>
                <w:sz w:val="24"/>
                <w14:textFill>
                  <w14:solidFill>
                    <w14:schemeClr w14:val="tx1"/>
                  </w14:solidFill>
                </w14:textFill>
              </w:rPr>
              <w:t>4.</w:t>
            </w:r>
            <w:r>
              <w:rPr>
                <w:rFonts w:hint="eastAsia" w:ascii="Times New Roman" w:hAnsi="Times New Roman" w:eastAsia="宋体"/>
                <w:color w:val="000000" w:themeColor="text1"/>
                <w:sz w:val="24"/>
                <w:lang w:val="en-US" w:eastAsia="zh-CN"/>
                <w14:textFill>
                  <w14:solidFill>
                    <w14:schemeClr w14:val="tx1"/>
                  </w14:solidFill>
                </w14:textFill>
              </w:rPr>
              <w:t>320</w:t>
            </w:r>
            <w:r>
              <w:rPr>
                <w:rFonts w:ascii="Times New Roman" w:hAnsi="Times New Roman" w:eastAsia="宋体"/>
                <w:color w:val="000000" w:themeColor="text1"/>
                <w:sz w:val="24"/>
                <w14:textFill>
                  <w14:solidFill>
                    <w14:schemeClr w14:val="tx1"/>
                  </w14:solidFill>
                </w14:textFill>
              </w:rPr>
              <w:t>t/a，且最大落地浓度小于厂界大气污染物监控点浓度限值。项目非甲烷总烃排放量可达到《加油站大气污染物排放标准》（GB20952-2020）的要求</w:t>
            </w:r>
            <w:r>
              <w:rPr>
                <w:rFonts w:hint="eastAsia"/>
                <w:color w:val="000000" w:themeColor="text1"/>
                <w:sz w:val="24"/>
                <w:lang w:eastAsia="zh-CN"/>
                <w14:textFill>
                  <w14:solidFill>
                    <w14:schemeClr w14:val="tx1"/>
                  </w14:solidFill>
                </w14:textFill>
              </w:rPr>
              <w:t>，</w:t>
            </w:r>
            <w:r>
              <w:rPr>
                <w:rFonts w:ascii="Times New Roman" w:hAnsi="Times New Roman" w:eastAsia="宋体"/>
                <w:color w:val="000000" w:themeColor="text1"/>
                <w:sz w:val="24"/>
                <w14:textFill>
                  <w14:solidFill>
                    <w14:schemeClr w14:val="tx1"/>
                  </w14:solidFill>
                </w14:textFill>
              </w:rPr>
              <w:t>且项目环保措施满足《挥发性有机物（VOCs）污染防治技术政策》的相关要求，项目建设地点较为开阔，空气流动良好，排放的烃类有害物质浓度相对较小，预计对周围大气环境影响不大。</w:t>
            </w:r>
          </w:p>
          <w:p w14:paraId="0495318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为进一步减少项目废气对区域环境的影响，根据《加油站大气污染物排放标准》（</w:t>
            </w:r>
            <w:r>
              <w:rPr>
                <w:rFonts w:ascii="Times New Roman" w:hAnsi="Times New Roman" w:eastAsia="宋体"/>
                <w:color w:val="000000" w:themeColor="text1"/>
                <w:sz w:val="24"/>
                <w14:textFill>
                  <w14:solidFill>
                    <w14:schemeClr w14:val="tx1"/>
                  </w14:solidFill>
                </w14:textFill>
              </w:rPr>
              <w:t>GB20952-2020）要求，建议建设单位采取防治措施：</w:t>
            </w:r>
          </w:p>
          <w:p w14:paraId="6A9AC4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b/>
                <w:color w:val="00B050"/>
                <w:szCs w:val="21"/>
              </w:rPr>
            </w:pPr>
            <w:r>
              <w:rPr>
                <w:rFonts w:hint="eastAsia" w:ascii="Times New Roman" w:hAnsi="Times New Roman" w:eastAsia="宋体"/>
                <w:b/>
                <w:color w:val="00B050"/>
                <w:sz w:val="21"/>
                <w:szCs w:val="21"/>
              </w:rPr>
              <w:t>表</w:t>
            </w:r>
            <w:r>
              <w:rPr>
                <w:rFonts w:ascii="Times New Roman" w:hAnsi="Times New Roman" w:eastAsia="宋体"/>
                <w:b/>
                <w:color w:val="00B050"/>
                <w:sz w:val="21"/>
                <w:szCs w:val="21"/>
              </w:rPr>
              <w:t>4</w:t>
            </w:r>
            <w:r>
              <w:rPr>
                <w:rFonts w:hint="eastAsia" w:ascii="Times New Roman" w:hAnsi="Times New Roman" w:eastAsia="宋体"/>
                <w:b/>
                <w:color w:val="00B050"/>
                <w:sz w:val="21"/>
                <w:szCs w:val="21"/>
                <w:lang w:val="en-US" w:eastAsia="zh-CN"/>
              </w:rPr>
              <w:t>.1</w:t>
            </w:r>
            <w:r>
              <w:rPr>
                <w:rFonts w:ascii="Times New Roman" w:hAnsi="Times New Roman" w:eastAsia="宋体"/>
                <w:b/>
                <w:color w:val="00B050"/>
                <w:sz w:val="21"/>
                <w:szCs w:val="21"/>
              </w:rPr>
              <w:t>-</w:t>
            </w:r>
            <w:r>
              <w:rPr>
                <w:rFonts w:hint="eastAsia" w:ascii="Times New Roman" w:hAnsi="Times New Roman" w:eastAsia="宋体"/>
                <w:b/>
                <w:color w:val="00B050"/>
                <w:sz w:val="21"/>
                <w:szCs w:val="21"/>
                <w:lang w:val="en-US" w:eastAsia="zh-CN"/>
              </w:rPr>
              <w:t>6</w:t>
            </w:r>
            <w:r>
              <w:rPr>
                <w:rFonts w:ascii="Times New Roman" w:hAnsi="Times New Roman" w:eastAsia="宋体"/>
                <w:b/>
                <w:color w:val="00B050"/>
                <w:sz w:val="21"/>
                <w:szCs w:val="21"/>
              </w:rPr>
              <w:t xml:space="preserve">   《加油站大气污染物排放标准》（GB20952-2020）摘录</w:t>
            </w:r>
          </w:p>
          <w:tbl>
            <w:tblPr>
              <w:tblStyle w:val="3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5"/>
              <w:gridCol w:w="8598"/>
            </w:tblGrid>
            <w:tr w14:paraId="68458A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9" w:type="pct"/>
                  <w:shd w:val="clear" w:color="auto" w:fill="auto"/>
                  <w:vAlign w:val="center"/>
                </w:tcPr>
                <w:p w14:paraId="4E78854E">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宋体" w:hAnsi="宋体" w:eastAsia="宋体" w:cs="宋体"/>
                      <w:b/>
                      <w:bCs/>
                      <w:color w:val="000000" w:themeColor="text1"/>
                      <w:kern w:val="0"/>
                      <w:sz w:val="21"/>
                      <w:szCs w:val="21"/>
                      <w14:textFill>
                        <w14:solidFill>
                          <w14:schemeClr w14:val="tx1"/>
                        </w14:solidFill>
                      </w14:textFill>
                    </w:rPr>
                  </w:pPr>
                  <w:r>
                    <w:rPr>
                      <w:rFonts w:hint="eastAsia" w:ascii="宋体" w:hAnsi="宋体" w:eastAsia="宋体" w:cs="宋体"/>
                      <w:b/>
                      <w:bCs/>
                      <w:color w:val="000000" w:themeColor="text1"/>
                      <w:kern w:val="0"/>
                      <w:sz w:val="21"/>
                      <w:szCs w:val="21"/>
                      <w14:textFill>
                        <w14:solidFill>
                          <w14:schemeClr w14:val="tx1"/>
                        </w14:solidFill>
                      </w14:textFill>
                    </w:rPr>
                    <w:t>项目</w:t>
                  </w:r>
                </w:p>
              </w:tc>
              <w:tc>
                <w:tcPr>
                  <w:tcW w:w="4630" w:type="pct"/>
                  <w:shd w:val="clear" w:color="auto" w:fill="auto"/>
                  <w:vAlign w:val="center"/>
                </w:tcPr>
                <w:p w14:paraId="009ED45C">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宋体" w:hAnsi="宋体" w:eastAsia="宋体" w:cs="宋体"/>
                      <w:b/>
                      <w:bCs/>
                      <w:color w:val="000000" w:themeColor="text1"/>
                      <w:kern w:val="0"/>
                      <w:sz w:val="21"/>
                      <w:szCs w:val="21"/>
                      <w14:textFill>
                        <w14:solidFill>
                          <w14:schemeClr w14:val="tx1"/>
                        </w14:solidFill>
                      </w14:textFill>
                    </w:rPr>
                  </w:pPr>
                  <w:r>
                    <w:rPr>
                      <w:rFonts w:hint="eastAsia" w:ascii="宋体" w:hAnsi="宋体" w:eastAsia="宋体" w:cs="宋体"/>
                      <w:b/>
                      <w:bCs/>
                      <w:color w:val="000000" w:themeColor="text1"/>
                      <w:kern w:val="0"/>
                      <w:sz w:val="21"/>
                      <w:szCs w:val="21"/>
                      <w14:textFill>
                        <w14:solidFill>
                          <w14:schemeClr w14:val="tx1"/>
                        </w14:solidFill>
                      </w14:textFill>
                    </w:rPr>
                    <w:t>标准要求</w:t>
                  </w:r>
                </w:p>
              </w:tc>
            </w:tr>
            <w:tr w14:paraId="66DF97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9" w:type="pct"/>
                  <w:vMerge w:val="restart"/>
                  <w:shd w:val="clear" w:color="auto" w:fill="auto"/>
                  <w:vAlign w:val="center"/>
                </w:tcPr>
                <w:p w14:paraId="4EEA3828">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基本要求</w:t>
                  </w:r>
                </w:p>
              </w:tc>
              <w:tc>
                <w:tcPr>
                  <w:tcW w:w="4630" w:type="pct"/>
                  <w:shd w:val="clear" w:color="auto" w:fill="auto"/>
                  <w:vAlign w:val="center"/>
                </w:tcPr>
                <w:p w14:paraId="0A79347F">
                  <w:pPr>
                    <w:keepNext w:val="0"/>
                    <w:keepLines w:val="0"/>
                    <w:pageBreakBefore w:val="0"/>
                    <w:widowControl/>
                    <w:kinsoku/>
                    <w:wordWrap/>
                    <w:overflowPunct/>
                    <w:topLinePunct w:val="0"/>
                    <w:autoSpaceDE/>
                    <w:autoSpaceDN/>
                    <w:bidi w:val="0"/>
                    <w:adjustRightInd/>
                    <w:snapToGrid w:val="0"/>
                    <w:spacing w:line="240" w:lineRule="auto"/>
                    <w:ind w:firstLine="0" w:firstLineChars="0"/>
                    <w:textAlignment w:val="auto"/>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加油站卸油、储油和加油时排放的油气，应采用以密闭收集为基础的油气回收方法进行控制。</w:t>
                  </w:r>
                </w:p>
              </w:tc>
            </w:tr>
            <w:tr w14:paraId="7FA94A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9" w:type="pct"/>
                  <w:vMerge w:val="continue"/>
                  <w:vAlign w:val="center"/>
                </w:tcPr>
                <w:p w14:paraId="2AB36A74">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auto"/>
                    <w:rPr>
                      <w:rFonts w:ascii="宋体" w:hAnsi="宋体" w:eastAsia="宋体" w:cs="宋体"/>
                      <w:color w:val="000000" w:themeColor="text1"/>
                      <w:kern w:val="0"/>
                      <w:sz w:val="21"/>
                      <w:szCs w:val="21"/>
                      <w14:textFill>
                        <w14:solidFill>
                          <w14:schemeClr w14:val="tx1"/>
                        </w14:solidFill>
                      </w14:textFill>
                    </w:rPr>
                  </w:pPr>
                </w:p>
              </w:tc>
              <w:tc>
                <w:tcPr>
                  <w:tcW w:w="4630" w:type="pct"/>
                  <w:shd w:val="clear" w:color="auto" w:fill="auto"/>
                  <w:vAlign w:val="center"/>
                </w:tcPr>
                <w:p w14:paraId="4007A09C">
                  <w:pPr>
                    <w:keepNext w:val="0"/>
                    <w:keepLines w:val="0"/>
                    <w:pageBreakBefore w:val="0"/>
                    <w:widowControl/>
                    <w:kinsoku/>
                    <w:wordWrap/>
                    <w:overflowPunct/>
                    <w:topLinePunct w:val="0"/>
                    <w:autoSpaceDE/>
                    <w:autoSpaceDN/>
                    <w:bidi w:val="0"/>
                    <w:adjustRightInd/>
                    <w:snapToGrid w:val="0"/>
                    <w:spacing w:line="240" w:lineRule="auto"/>
                    <w:ind w:firstLine="0" w:firstLineChars="0"/>
                    <w:textAlignment w:val="auto"/>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加油站应建立油气回收施工图纸、油气回收系统测试校核、系统参数设置等技术档案，制定加油站油气回收系统管理、操作规程，定期进行检查、维护、维修并记录留档。</w:t>
                  </w:r>
                </w:p>
              </w:tc>
            </w:tr>
            <w:tr w14:paraId="22AF7C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9" w:type="pct"/>
                  <w:vMerge w:val="continue"/>
                  <w:vAlign w:val="center"/>
                </w:tcPr>
                <w:p w14:paraId="1C9DE0D0">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auto"/>
                    <w:rPr>
                      <w:rFonts w:ascii="宋体" w:hAnsi="宋体" w:eastAsia="宋体" w:cs="宋体"/>
                      <w:color w:val="000000" w:themeColor="text1"/>
                      <w:kern w:val="0"/>
                      <w:sz w:val="21"/>
                      <w:szCs w:val="21"/>
                      <w14:textFill>
                        <w14:solidFill>
                          <w14:schemeClr w14:val="tx1"/>
                        </w14:solidFill>
                      </w14:textFill>
                    </w:rPr>
                  </w:pPr>
                </w:p>
              </w:tc>
              <w:tc>
                <w:tcPr>
                  <w:tcW w:w="4630" w:type="pct"/>
                  <w:shd w:val="clear" w:color="auto" w:fill="auto"/>
                  <w:vAlign w:val="center"/>
                </w:tcPr>
                <w:p w14:paraId="6FC63A17">
                  <w:pPr>
                    <w:keepNext w:val="0"/>
                    <w:keepLines w:val="0"/>
                    <w:pageBreakBefore w:val="0"/>
                    <w:widowControl/>
                    <w:kinsoku/>
                    <w:wordWrap/>
                    <w:overflowPunct/>
                    <w:topLinePunct w:val="0"/>
                    <w:autoSpaceDE/>
                    <w:autoSpaceDN/>
                    <w:bidi w:val="0"/>
                    <w:adjustRightInd/>
                    <w:snapToGrid w:val="0"/>
                    <w:spacing w:line="240" w:lineRule="auto"/>
                    <w:ind w:firstLine="0" w:firstLineChars="0"/>
                    <w:textAlignment w:val="auto"/>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加油站应按照环境监测管理规定和技术规范的要求，设计、建设、维护采样口或采样测试平台。</w:t>
                  </w:r>
                </w:p>
              </w:tc>
            </w:tr>
            <w:tr w14:paraId="455345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9" w:type="pct"/>
                  <w:vMerge w:val="continue"/>
                  <w:vAlign w:val="center"/>
                </w:tcPr>
                <w:p w14:paraId="415520F1">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auto"/>
                    <w:rPr>
                      <w:rFonts w:ascii="宋体" w:hAnsi="宋体" w:eastAsia="宋体" w:cs="宋体"/>
                      <w:color w:val="000000" w:themeColor="text1"/>
                      <w:kern w:val="0"/>
                      <w:sz w:val="21"/>
                      <w:szCs w:val="21"/>
                      <w14:textFill>
                        <w14:solidFill>
                          <w14:schemeClr w14:val="tx1"/>
                        </w14:solidFill>
                      </w14:textFill>
                    </w:rPr>
                  </w:pPr>
                </w:p>
              </w:tc>
              <w:tc>
                <w:tcPr>
                  <w:tcW w:w="4630" w:type="pct"/>
                  <w:shd w:val="clear" w:color="auto" w:fill="auto"/>
                  <w:vAlign w:val="center"/>
                </w:tcPr>
                <w:p w14:paraId="79DD9969">
                  <w:pPr>
                    <w:keepNext w:val="0"/>
                    <w:keepLines w:val="0"/>
                    <w:pageBreakBefore w:val="0"/>
                    <w:widowControl/>
                    <w:kinsoku/>
                    <w:wordWrap/>
                    <w:overflowPunct/>
                    <w:topLinePunct w:val="0"/>
                    <w:autoSpaceDE/>
                    <w:autoSpaceDN/>
                    <w:bidi w:val="0"/>
                    <w:adjustRightInd/>
                    <w:snapToGrid w:val="0"/>
                    <w:spacing w:line="240" w:lineRule="auto"/>
                    <w:ind w:firstLine="0" w:firstLineChars="0"/>
                    <w:textAlignment w:val="auto"/>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油气回收系统、油气处理装置、在线监测系统应采用标准化连接。</w:t>
                  </w:r>
                </w:p>
              </w:tc>
            </w:tr>
            <w:tr w14:paraId="65E344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9" w:type="pct"/>
                  <w:vMerge w:val="continue"/>
                  <w:vAlign w:val="center"/>
                </w:tcPr>
                <w:p w14:paraId="269E6984">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auto"/>
                    <w:rPr>
                      <w:rFonts w:ascii="宋体" w:hAnsi="宋体" w:eastAsia="宋体" w:cs="宋体"/>
                      <w:color w:val="000000" w:themeColor="text1"/>
                      <w:kern w:val="0"/>
                      <w:sz w:val="21"/>
                      <w:szCs w:val="21"/>
                      <w14:textFill>
                        <w14:solidFill>
                          <w14:schemeClr w14:val="tx1"/>
                        </w14:solidFill>
                      </w14:textFill>
                    </w:rPr>
                  </w:pPr>
                </w:p>
              </w:tc>
              <w:tc>
                <w:tcPr>
                  <w:tcW w:w="4630" w:type="pct"/>
                  <w:shd w:val="clear" w:color="auto" w:fill="auto"/>
                  <w:vAlign w:val="center"/>
                </w:tcPr>
                <w:p w14:paraId="2642A5E7">
                  <w:pPr>
                    <w:keepNext w:val="0"/>
                    <w:keepLines w:val="0"/>
                    <w:pageBreakBefore w:val="0"/>
                    <w:widowControl/>
                    <w:kinsoku/>
                    <w:wordWrap/>
                    <w:overflowPunct/>
                    <w:topLinePunct w:val="0"/>
                    <w:autoSpaceDE/>
                    <w:autoSpaceDN/>
                    <w:bidi w:val="0"/>
                    <w:adjustRightInd/>
                    <w:snapToGrid w:val="0"/>
                    <w:spacing w:line="240" w:lineRule="auto"/>
                    <w:ind w:firstLine="0" w:firstLineChars="0"/>
                    <w:textAlignment w:val="auto"/>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在进行包括加油油气排放控制在内的油气回收设计和施工时，应将在线监测系统、油气处理装置等设备管线预先埋设。</w:t>
                  </w:r>
                </w:p>
              </w:tc>
            </w:tr>
            <w:tr w14:paraId="23E2F4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9" w:type="pct"/>
                  <w:vMerge w:val="restart"/>
                  <w:shd w:val="clear" w:color="auto" w:fill="auto"/>
                  <w:vAlign w:val="center"/>
                </w:tcPr>
                <w:p w14:paraId="5ABBEB42">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卸油油气排放控制</w:t>
                  </w:r>
                </w:p>
              </w:tc>
              <w:tc>
                <w:tcPr>
                  <w:tcW w:w="4630" w:type="pct"/>
                  <w:shd w:val="clear" w:color="auto" w:fill="auto"/>
                  <w:vAlign w:val="center"/>
                </w:tcPr>
                <w:p w14:paraId="763D2C8C">
                  <w:pPr>
                    <w:keepNext w:val="0"/>
                    <w:keepLines w:val="0"/>
                    <w:pageBreakBefore w:val="0"/>
                    <w:widowControl/>
                    <w:kinsoku/>
                    <w:wordWrap/>
                    <w:overflowPunct/>
                    <w:topLinePunct w:val="0"/>
                    <w:autoSpaceDE/>
                    <w:autoSpaceDN/>
                    <w:bidi w:val="0"/>
                    <w:adjustRightInd/>
                    <w:snapToGrid w:val="0"/>
                    <w:spacing w:line="240" w:lineRule="auto"/>
                    <w:ind w:firstLine="0" w:firstLineChars="0"/>
                    <w:textAlignment w:val="auto"/>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应采用浸没式卸油方式，卸油管出油口距罐底高度应小于</w:t>
                  </w:r>
                  <w:r>
                    <w:rPr>
                      <w:rFonts w:ascii="Times New Roman" w:hAnsi="Times New Roman" w:eastAsia="宋体" w:cs="Times New Roman"/>
                      <w:color w:val="000000" w:themeColor="text1"/>
                      <w:kern w:val="0"/>
                      <w:sz w:val="21"/>
                      <w:szCs w:val="21"/>
                      <w14:textFill>
                        <w14:solidFill>
                          <w14:schemeClr w14:val="tx1"/>
                        </w14:solidFill>
                      </w14:textFill>
                    </w:rPr>
                    <w:t>200mm</w:t>
                  </w:r>
                  <w:r>
                    <w:rPr>
                      <w:rFonts w:hint="eastAsia" w:ascii="Times New Roman" w:hAnsi="Times New Roman" w:eastAsia="宋体" w:cs="Times New Roman"/>
                      <w:color w:val="000000" w:themeColor="text1"/>
                      <w:kern w:val="0"/>
                      <w:sz w:val="21"/>
                      <w:szCs w:val="21"/>
                      <w14:textFill>
                        <w14:solidFill>
                          <w14:schemeClr w14:val="tx1"/>
                        </w14:solidFill>
                      </w14:textFill>
                    </w:rPr>
                    <w:t>。</w:t>
                  </w:r>
                </w:p>
              </w:tc>
            </w:tr>
            <w:tr w14:paraId="496197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9" w:type="pct"/>
                  <w:vMerge w:val="continue"/>
                  <w:vAlign w:val="center"/>
                </w:tcPr>
                <w:p w14:paraId="54C85703">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auto"/>
                    <w:rPr>
                      <w:rFonts w:ascii="宋体" w:hAnsi="宋体" w:eastAsia="宋体" w:cs="宋体"/>
                      <w:color w:val="000000" w:themeColor="text1"/>
                      <w:kern w:val="0"/>
                      <w:sz w:val="21"/>
                      <w:szCs w:val="21"/>
                      <w14:textFill>
                        <w14:solidFill>
                          <w14:schemeClr w14:val="tx1"/>
                        </w14:solidFill>
                      </w14:textFill>
                    </w:rPr>
                  </w:pPr>
                </w:p>
              </w:tc>
              <w:tc>
                <w:tcPr>
                  <w:tcW w:w="4630" w:type="pct"/>
                  <w:shd w:val="clear" w:color="auto" w:fill="auto"/>
                  <w:vAlign w:val="center"/>
                </w:tcPr>
                <w:p w14:paraId="24BEDE44">
                  <w:pPr>
                    <w:keepNext w:val="0"/>
                    <w:keepLines w:val="0"/>
                    <w:pageBreakBefore w:val="0"/>
                    <w:widowControl/>
                    <w:kinsoku/>
                    <w:wordWrap/>
                    <w:overflowPunct/>
                    <w:topLinePunct w:val="0"/>
                    <w:autoSpaceDE/>
                    <w:autoSpaceDN/>
                    <w:bidi w:val="0"/>
                    <w:adjustRightInd/>
                    <w:snapToGrid w:val="0"/>
                    <w:spacing w:line="240" w:lineRule="auto"/>
                    <w:ind w:firstLine="0" w:firstLineChars="0"/>
                    <w:textAlignment w:val="auto"/>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卸油和油气回收接口应安装公称直径为</w:t>
                  </w:r>
                  <w:r>
                    <w:rPr>
                      <w:rFonts w:ascii="Times New Roman" w:hAnsi="Times New Roman" w:eastAsia="宋体" w:cs="Times New Roman"/>
                      <w:color w:val="000000" w:themeColor="text1"/>
                      <w:kern w:val="0"/>
                      <w:sz w:val="21"/>
                      <w:szCs w:val="21"/>
                      <w14:textFill>
                        <w14:solidFill>
                          <w14:schemeClr w14:val="tx1"/>
                        </w14:solidFill>
                      </w14:textFill>
                    </w:rPr>
                    <w:t>100mm</w:t>
                  </w:r>
                  <w:r>
                    <w:rPr>
                      <w:rFonts w:hint="eastAsia" w:ascii="宋体" w:hAnsi="宋体" w:eastAsia="宋体" w:cs="宋体"/>
                      <w:color w:val="000000" w:themeColor="text1"/>
                      <w:kern w:val="0"/>
                      <w:sz w:val="21"/>
                      <w:szCs w:val="21"/>
                      <w14:textFill>
                        <w14:solidFill>
                          <w14:schemeClr w14:val="tx1"/>
                        </w14:solidFill>
                      </w14:textFill>
                    </w:rPr>
                    <w:t>的截流阀（或密封式快速接头）和帽盖，现有加油站已采取卸油油气排放控制措施但接口尺寸不符的可采用变径连接。</w:t>
                  </w:r>
                </w:p>
              </w:tc>
            </w:tr>
            <w:tr w14:paraId="5D33E3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9" w:type="pct"/>
                  <w:vMerge w:val="continue"/>
                  <w:vAlign w:val="center"/>
                </w:tcPr>
                <w:p w14:paraId="400A00D9">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auto"/>
                    <w:rPr>
                      <w:rFonts w:ascii="宋体" w:hAnsi="宋体" w:eastAsia="宋体" w:cs="宋体"/>
                      <w:color w:val="000000" w:themeColor="text1"/>
                      <w:kern w:val="0"/>
                      <w:sz w:val="21"/>
                      <w:szCs w:val="21"/>
                      <w14:textFill>
                        <w14:solidFill>
                          <w14:schemeClr w14:val="tx1"/>
                        </w14:solidFill>
                      </w14:textFill>
                    </w:rPr>
                  </w:pPr>
                </w:p>
              </w:tc>
              <w:tc>
                <w:tcPr>
                  <w:tcW w:w="4630" w:type="pct"/>
                  <w:shd w:val="clear" w:color="auto" w:fill="auto"/>
                  <w:vAlign w:val="center"/>
                </w:tcPr>
                <w:p w14:paraId="5ACF4917">
                  <w:pPr>
                    <w:keepNext w:val="0"/>
                    <w:keepLines w:val="0"/>
                    <w:pageBreakBefore w:val="0"/>
                    <w:widowControl/>
                    <w:kinsoku/>
                    <w:wordWrap/>
                    <w:overflowPunct/>
                    <w:topLinePunct w:val="0"/>
                    <w:autoSpaceDE/>
                    <w:autoSpaceDN/>
                    <w:bidi w:val="0"/>
                    <w:adjustRightInd/>
                    <w:snapToGrid w:val="0"/>
                    <w:spacing w:line="240" w:lineRule="auto"/>
                    <w:ind w:firstLine="0" w:firstLineChars="0"/>
                    <w:textAlignment w:val="auto"/>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连接软管应采用公称直径为</w:t>
                  </w:r>
                  <w:r>
                    <w:rPr>
                      <w:rFonts w:ascii="Times New Roman" w:hAnsi="Times New Roman" w:eastAsia="宋体" w:cs="Times New Roman"/>
                      <w:color w:val="000000" w:themeColor="text1"/>
                      <w:kern w:val="0"/>
                      <w:sz w:val="21"/>
                      <w:szCs w:val="21"/>
                      <w14:textFill>
                        <w14:solidFill>
                          <w14:schemeClr w14:val="tx1"/>
                        </w14:solidFill>
                      </w14:textFill>
                    </w:rPr>
                    <w:t>100mm</w:t>
                  </w:r>
                  <w:r>
                    <w:rPr>
                      <w:rFonts w:hint="eastAsia" w:ascii="宋体" w:hAnsi="宋体" w:eastAsia="宋体" w:cs="宋体"/>
                      <w:color w:val="000000" w:themeColor="text1"/>
                      <w:kern w:val="0"/>
                      <w:sz w:val="21"/>
                      <w:szCs w:val="21"/>
                      <w14:textFill>
                        <w14:solidFill>
                          <w14:schemeClr w14:val="tx1"/>
                        </w14:solidFill>
                      </w14:textFill>
                    </w:rPr>
                    <w:t>的密封式快速接头与卸油车连接。</w:t>
                  </w:r>
                </w:p>
              </w:tc>
            </w:tr>
            <w:tr w14:paraId="094582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9" w:type="pct"/>
                  <w:vMerge w:val="continue"/>
                  <w:vAlign w:val="center"/>
                </w:tcPr>
                <w:p w14:paraId="2AA7BD69">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auto"/>
                    <w:rPr>
                      <w:rFonts w:ascii="宋体" w:hAnsi="宋体" w:eastAsia="宋体" w:cs="宋体"/>
                      <w:color w:val="000000" w:themeColor="text1"/>
                      <w:kern w:val="0"/>
                      <w:sz w:val="21"/>
                      <w:szCs w:val="21"/>
                      <w14:textFill>
                        <w14:solidFill>
                          <w14:schemeClr w14:val="tx1"/>
                        </w14:solidFill>
                      </w14:textFill>
                    </w:rPr>
                  </w:pPr>
                </w:p>
              </w:tc>
              <w:tc>
                <w:tcPr>
                  <w:tcW w:w="4630" w:type="pct"/>
                  <w:shd w:val="clear" w:color="auto" w:fill="auto"/>
                  <w:vAlign w:val="center"/>
                </w:tcPr>
                <w:p w14:paraId="001A3A91">
                  <w:pPr>
                    <w:keepNext w:val="0"/>
                    <w:keepLines w:val="0"/>
                    <w:pageBreakBefore w:val="0"/>
                    <w:widowControl/>
                    <w:kinsoku/>
                    <w:wordWrap/>
                    <w:overflowPunct/>
                    <w:topLinePunct w:val="0"/>
                    <w:autoSpaceDE/>
                    <w:autoSpaceDN/>
                    <w:bidi w:val="0"/>
                    <w:adjustRightInd/>
                    <w:snapToGrid w:val="0"/>
                    <w:spacing w:line="240" w:lineRule="auto"/>
                    <w:ind w:firstLine="0" w:firstLineChars="0"/>
                    <w:textAlignment w:val="auto"/>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所有油气管线排放口应按</w:t>
                  </w:r>
                  <w:r>
                    <w:rPr>
                      <w:rFonts w:ascii="Times New Roman" w:hAnsi="Times New Roman" w:eastAsia="宋体" w:cs="Times New Roman"/>
                      <w:color w:val="000000" w:themeColor="text1"/>
                      <w:kern w:val="0"/>
                      <w:sz w:val="21"/>
                      <w:szCs w:val="21"/>
                      <w14:textFill>
                        <w14:solidFill>
                          <w14:schemeClr w14:val="tx1"/>
                        </w14:solidFill>
                      </w14:textFill>
                    </w:rPr>
                    <w:t>GB50156</w:t>
                  </w:r>
                  <w:r>
                    <w:rPr>
                      <w:rFonts w:hint="eastAsia" w:ascii="宋体" w:hAnsi="宋体" w:eastAsia="宋体" w:cs="宋体"/>
                      <w:color w:val="000000" w:themeColor="text1"/>
                      <w:kern w:val="0"/>
                      <w:sz w:val="21"/>
                      <w:szCs w:val="21"/>
                      <w14:textFill>
                        <w14:solidFill>
                          <w14:schemeClr w14:val="tx1"/>
                        </w14:solidFill>
                      </w14:textFill>
                    </w:rPr>
                    <w:t>的要求设置压力</w:t>
                  </w:r>
                  <w:r>
                    <w:rPr>
                      <w:rFonts w:ascii="Times New Roman" w:hAnsi="Times New Roman" w:eastAsia="宋体" w:cs="Times New Roman"/>
                      <w:color w:val="000000" w:themeColor="text1"/>
                      <w:kern w:val="0"/>
                      <w:sz w:val="21"/>
                      <w:szCs w:val="21"/>
                      <w14:textFill>
                        <w14:solidFill>
                          <w14:schemeClr w14:val="tx1"/>
                        </w14:solidFill>
                      </w14:textFill>
                    </w:rPr>
                    <w:t>/</w:t>
                  </w:r>
                  <w:r>
                    <w:rPr>
                      <w:rFonts w:hint="eastAsia" w:ascii="宋体" w:hAnsi="宋体" w:eastAsia="宋体" w:cs="宋体"/>
                      <w:color w:val="000000" w:themeColor="text1"/>
                      <w:kern w:val="0"/>
                      <w:sz w:val="21"/>
                      <w:szCs w:val="21"/>
                      <w14:textFill>
                        <w14:solidFill>
                          <w14:schemeClr w14:val="tx1"/>
                        </w14:solidFill>
                      </w14:textFill>
                    </w:rPr>
                    <w:t>真空阀，如设有阀门，阀门应保持常开状态；未安装压力</w:t>
                  </w:r>
                  <w:r>
                    <w:rPr>
                      <w:rFonts w:ascii="Times New Roman" w:hAnsi="Times New Roman" w:eastAsia="宋体" w:cs="Times New Roman"/>
                      <w:color w:val="000000" w:themeColor="text1"/>
                      <w:kern w:val="0"/>
                      <w:sz w:val="21"/>
                      <w:szCs w:val="21"/>
                      <w14:textFill>
                        <w14:solidFill>
                          <w14:schemeClr w14:val="tx1"/>
                        </w14:solidFill>
                      </w14:textFill>
                    </w:rPr>
                    <w:t>/</w:t>
                  </w:r>
                  <w:r>
                    <w:rPr>
                      <w:rFonts w:hint="eastAsia" w:ascii="宋体" w:hAnsi="宋体" w:eastAsia="宋体" w:cs="宋体"/>
                      <w:color w:val="000000" w:themeColor="text1"/>
                      <w:kern w:val="0"/>
                      <w:sz w:val="21"/>
                      <w:szCs w:val="21"/>
                      <w14:textFill>
                        <w14:solidFill>
                          <w14:schemeClr w14:val="tx1"/>
                        </w14:solidFill>
                      </w14:textFill>
                    </w:rPr>
                    <w:t>真空阀的汽油排放管应保持常闭状态。</w:t>
                  </w:r>
                </w:p>
              </w:tc>
            </w:tr>
            <w:tr w14:paraId="3DAF06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9" w:type="pct"/>
                  <w:vMerge w:val="continue"/>
                  <w:vAlign w:val="center"/>
                </w:tcPr>
                <w:p w14:paraId="4AB9A52F">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auto"/>
                    <w:rPr>
                      <w:rFonts w:ascii="宋体" w:hAnsi="宋体" w:eastAsia="宋体" w:cs="宋体"/>
                      <w:color w:val="000000" w:themeColor="text1"/>
                      <w:kern w:val="0"/>
                      <w:sz w:val="21"/>
                      <w:szCs w:val="21"/>
                      <w14:textFill>
                        <w14:solidFill>
                          <w14:schemeClr w14:val="tx1"/>
                        </w14:solidFill>
                      </w14:textFill>
                    </w:rPr>
                  </w:pPr>
                </w:p>
              </w:tc>
              <w:tc>
                <w:tcPr>
                  <w:tcW w:w="4630" w:type="pct"/>
                  <w:shd w:val="clear" w:color="auto" w:fill="auto"/>
                  <w:vAlign w:val="center"/>
                </w:tcPr>
                <w:p w14:paraId="4F02E8EF">
                  <w:pPr>
                    <w:keepNext w:val="0"/>
                    <w:keepLines w:val="0"/>
                    <w:pageBreakBefore w:val="0"/>
                    <w:widowControl/>
                    <w:kinsoku/>
                    <w:wordWrap/>
                    <w:overflowPunct/>
                    <w:topLinePunct w:val="0"/>
                    <w:autoSpaceDE/>
                    <w:autoSpaceDN/>
                    <w:bidi w:val="0"/>
                    <w:adjustRightInd/>
                    <w:snapToGrid w:val="0"/>
                    <w:spacing w:line="240" w:lineRule="auto"/>
                    <w:ind w:firstLine="0" w:firstLineChars="0"/>
                    <w:textAlignment w:val="auto"/>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连接排气管的地下管线应坡向油罐，坡度不应小于</w:t>
                  </w:r>
                  <w:r>
                    <w:rPr>
                      <w:rFonts w:ascii="Times New Roman" w:hAnsi="Times New Roman" w:eastAsia="宋体" w:cs="Times New Roman"/>
                      <w:color w:val="000000" w:themeColor="text1"/>
                      <w:kern w:val="0"/>
                      <w:sz w:val="21"/>
                      <w:szCs w:val="21"/>
                      <w14:textFill>
                        <w14:solidFill>
                          <w14:schemeClr w14:val="tx1"/>
                        </w14:solidFill>
                      </w14:textFill>
                    </w:rPr>
                    <w:t>1%</w:t>
                  </w:r>
                  <w:r>
                    <w:rPr>
                      <w:rFonts w:hint="eastAsia" w:ascii="宋体" w:hAnsi="宋体" w:eastAsia="宋体" w:cs="宋体"/>
                      <w:color w:val="000000" w:themeColor="text1"/>
                      <w:kern w:val="0"/>
                      <w:sz w:val="21"/>
                      <w:szCs w:val="21"/>
                      <w14:textFill>
                        <w14:solidFill>
                          <w14:schemeClr w14:val="tx1"/>
                        </w14:solidFill>
                      </w14:textFill>
                    </w:rPr>
                    <w:t>，管线公称直径不小于</w:t>
                  </w:r>
                  <w:r>
                    <w:rPr>
                      <w:rFonts w:ascii="Times New Roman" w:hAnsi="Times New Roman" w:eastAsia="宋体" w:cs="Times New Roman"/>
                      <w:color w:val="000000" w:themeColor="text1"/>
                      <w:kern w:val="0"/>
                      <w:sz w:val="21"/>
                      <w:szCs w:val="21"/>
                      <w14:textFill>
                        <w14:solidFill>
                          <w14:schemeClr w14:val="tx1"/>
                        </w14:solidFill>
                      </w14:textFill>
                    </w:rPr>
                    <w:t>50mm</w:t>
                  </w:r>
                  <w:r>
                    <w:rPr>
                      <w:rFonts w:hint="eastAsia" w:ascii="Times New Roman" w:hAnsi="Times New Roman" w:eastAsia="宋体" w:cs="Times New Roman"/>
                      <w:color w:val="000000" w:themeColor="text1"/>
                      <w:kern w:val="0"/>
                      <w:sz w:val="21"/>
                      <w:szCs w:val="21"/>
                      <w14:textFill>
                        <w14:solidFill>
                          <w14:schemeClr w14:val="tx1"/>
                        </w14:solidFill>
                      </w14:textFill>
                    </w:rPr>
                    <w:t>。</w:t>
                  </w:r>
                </w:p>
              </w:tc>
            </w:tr>
            <w:tr w14:paraId="297B0F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9" w:type="pct"/>
                  <w:vMerge w:val="continue"/>
                  <w:vAlign w:val="center"/>
                </w:tcPr>
                <w:p w14:paraId="7EA572A3">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auto"/>
                    <w:rPr>
                      <w:rFonts w:ascii="宋体" w:hAnsi="宋体" w:eastAsia="宋体" w:cs="宋体"/>
                      <w:color w:val="000000" w:themeColor="text1"/>
                      <w:kern w:val="0"/>
                      <w:sz w:val="21"/>
                      <w:szCs w:val="21"/>
                      <w14:textFill>
                        <w14:solidFill>
                          <w14:schemeClr w14:val="tx1"/>
                        </w14:solidFill>
                      </w14:textFill>
                    </w:rPr>
                  </w:pPr>
                </w:p>
              </w:tc>
              <w:tc>
                <w:tcPr>
                  <w:tcW w:w="4630" w:type="pct"/>
                  <w:shd w:val="clear" w:color="auto" w:fill="auto"/>
                  <w:vAlign w:val="center"/>
                </w:tcPr>
                <w:p w14:paraId="2C2BDAF1">
                  <w:pPr>
                    <w:keepNext w:val="0"/>
                    <w:keepLines w:val="0"/>
                    <w:pageBreakBefore w:val="0"/>
                    <w:widowControl/>
                    <w:kinsoku/>
                    <w:wordWrap/>
                    <w:overflowPunct/>
                    <w:topLinePunct w:val="0"/>
                    <w:autoSpaceDE/>
                    <w:autoSpaceDN/>
                    <w:bidi w:val="0"/>
                    <w:adjustRightInd/>
                    <w:snapToGrid w:val="0"/>
                    <w:spacing w:line="240" w:lineRule="auto"/>
                    <w:ind w:firstLine="0" w:firstLineChars="0"/>
                    <w:textAlignment w:val="auto"/>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卸油时应保证卸油油气回收系统密闭。卸油前卸油软管和油气回收软管应与油品运输汽车罐车和埋地油罐紧密连接，然后开启油气回收管路阀门，再开启卸油管路阀门进行卸油作业。</w:t>
                  </w:r>
                </w:p>
              </w:tc>
            </w:tr>
            <w:tr w14:paraId="3CCB64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9" w:type="pct"/>
                  <w:vMerge w:val="continue"/>
                  <w:vAlign w:val="center"/>
                </w:tcPr>
                <w:p w14:paraId="7112DF7C">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auto"/>
                    <w:rPr>
                      <w:rFonts w:ascii="宋体" w:hAnsi="宋体" w:eastAsia="宋体" w:cs="宋体"/>
                      <w:color w:val="000000" w:themeColor="text1"/>
                      <w:kern w:val="0"/>
                      <w:sz w:val="21"/>
                      <w:szCs w:val="21"/>
                      <w14:textFill>
                        <w14:solidFill>
                          <w14:schemeClr w14:val="tx1"/>
                        </w14:solidFill>
                      </w14:textFill>
                    </w:rPr>
                  </w:pPr>
                </w:p>
              </w:tc>
              <w:tc>
                <w:tcPr>
                  <w:tcW w:w="4630" w:type="pct"/>
                  <w:shd w:val="clear" w:color="auto" w:fill="auto"/>
                  <w:vAlign w:val="center"/>
                </w:tcPr>
                <w:p w14:paraId="7C1495FF">
                  <w:pPr>
                    <w:keepNext w:val="0"/>
                    <w:keepLines w:val="0"/>
                    <w:pageBreakBefore w:val="0"/>
                    <w:widowControl/>
                    <w:kinsoku/>
                    <w:wordWrap/>
                    <w:overflowPunct/>
                    <w:topLinePunct w:val="0"/>
                    <w:autoSpaceDE/>
                    <w:autoSpaceDN/>
                    <w:bidi w:val="0"/>
                    <w:adjustRightInd/>
                    <w:snapToGrid w:val="0"/>
                    <w:spacing w:line="240" w:lineRule="auto"/>
                    <w:ind w:firstLine="0" w:firstLineChars="0"/>
                    <w:textAlignment w:val="auto"/>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卸油后应先关闭与卸油软管及油气回收软管相关的阀门，再断开卸油软管和油气回收软管。</w:t>
                  </w:r>
                </w:p>
              </w:tc>
            </w:tr>
            <w:tr w14:paraId="091FD7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9" w:type="pct"/>
                  <w:vMerge w:val="restart"/>
                  <w:shd w:val="clear" w:color="auto" w:fill="auto"/>
                  <w:vAlign w:val="center"/>
                </w:tcPr>
                <w:p w14:paraId="61E9CE59">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储油油气排放控制</w:t>
                  </w:r>
                </w:p>
              </w:tc>
              <w:tc>
                <w:tcPr>
                  <w:tcW w:w="4630" w:type="pct"/>
                  <w:shd w:val="clear" w:color="auto" w:fill="auto"/>
                  <w:vAlign w:val="center"/>
                </w:tcPr>
                <w:p w14:paraId="619E1887">
                  <w:pPr>
                    <w:keepNext w:val="0"/>
                    <w:keepLines w:val="0"/>
                    <w:pageBreakBefore w:val="0"/>
                    <w:widowControl/>
                    <w:kinsoku/>
                    <w:wordWrap/>
                    <w:overflowPunct/>
                    <w:topLinePunct w:val="0"/>
                    <w:autoSpaceDE/>
                    <w:autoSpaceDN/>
                    <w:bidi w:val="0"/>
                    <w:adjustRightInd/>
                    <w:snapToGrid w:val="0"/>
                    <w:spacing w:line="240" w:lineRule="auto"/>
                    <w:ind w:firstLine="0" w:firstLineChars="0"/>
                    <w:textAlignment w:val="auto"/>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所有影响储油油气密闭性的部件，包括油气管线和所连接的法兰、阀门、快接头以及其他相关部件在正常工作状况下应保持密闭，油气泄漏浓度满足本标准油气回收系统密闭点位限值要求。</w:t>
                  </w:r>
                </w:p>
              </w:tc>
            </w:tr>
            <w:tr w14:paraId="3A412A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9" w:type="pct"/>
                  <w:vMerge w:val="continue"/>
                  <w:vAlign w:val="center"/>
                </w:tcPr>
                <w:p w14:paraId="25AD38A3">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auto"/>
                    <w:rPr>
                      <w:rFonts w:ascii="宋体" w:hAnsi="宋体" w:eastAsia="宋体" w:cs="宋体"/>
                      <w:color w:val="000000" w:themeColor="text1"/>
                      <w:kern w:val="0"/>
                      <w:sz w:val="21"/>
                      <w:szCs w:val="21"/>
                      <w14:textFill>
                        <w14:solidFill>
                          <w14:schemeClr w14:val="tx1"/>
                        </w14:solidFill>
                      </w14:textFill>
                    </w:rPr>
                  </w:pPr>
                </w:p>
              </w:tc>
              <w:tc>
                <w:tcPr>
                  <w:tcW w:w="4630" w:type="pct"/>
                  <w:shd w:val="clear" w:color="auto" w:fill="auto"/>
                  <w:vAlign w:val="center"/>
                </w:tcPr>
                <w:p w14:paraId="01627C24">
                  <w:pPr>
                    <w:keepNext w:val="0"/>
                    <w:keepLines w:val="0"/>
                    <w:pageBreakBefore w:val="0"/>
                    <w:widowControl/>
                    <w:kinsoku/>
                    <w:wordWrap/>
                    <w:overflowPunct/>
                    <w:topLinePunct w:val="0"/>
                    <w:autoSpaceDE/>
                    <w:autoSpaceDN/>
                    <w:bidi w:val="0"/>
                    <w:adjustRightInd/>
                    <w:snapToGrid w:val="0"/>
                    <w:spacing w:line="240" w:lineRule="auto"/>
                    <w:ind w:firstLine="0" w:firstLineChars="0"/>
                    <w:textAlignment w:val="auto"/>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采用红外摄像方式检测油气回收系统密闭点位时，不应有油气泄漏。</w:t>
                  </w:r>
                </w:p>
              </w:tc>
            </w:tr>
            <w:tr w14:paraId="19868D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9" w:type="pct"/>
                  <w:vMerge w:val="continue"/>
                  <w:vAlign w:val="center"/>
                </w:tcPr>
                <w:p w14:paraId="70F603D1">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auto"/>
                    <w:rPr>
                      <w:rFonts w:ascii="宋体" w:hAnsi="宋体" w:eastAsia="宋体" w:cs="宋体"/>
                      <w:color w:val="000000" w:themeColor="text1"/>
                      <w:kern w:val="0"/>
                      <w:sz w:val="21"/>
                      <w:szCs w:val="21"/>
                      <w14:textFill>
                        <w14:solidFill>
                          <w14:schemeClr w14:val="tx1"/>
                        </w14:solidFill>
                      </w14:textFill>
                    </w:rPr>
                  </w:pPr>
                </w:p>
              </w:tc>
              <w:tc>
                <w:tcPr>
                  <w:tcW w:w="4630" w:type="pct"/>
                  <w:shd w:val="clear" w:color="auto" w:fill="auto"/>
                  <w:vAlign w:val="center"/>
                </w:tcPr>
                <w:p w14:paraId="28FD53DA">
                  <w:pPr>
                    <w:keepNext w:val="0"/>
                    <w:keepLines w:val="0"/>
                    <w:pageBreakBefore w:val="0"/>
                    <w:widowControl/>
                    <w:kinsoku/>
                    <w:wordWrap/>
                    <w:overflowPunct/>
                    <w:topLinePunct w:val="0"/>
                    <w:autoSpaceDE/>
                    <w:autoSpaceDN/>
                    <w:bidi w:val="0"/>
                    <w:adjustRightInd/>
                    <w:snapToGrid w:val="0"/>
                    <w:spacing w:line="240" w:lineRule="auto"/>
                    <w:ind w:firstLine="0" w:firstLineChars="0"/>
                    <w:textAlignment w:val="auto"/>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埋地油罐应采用电子式液位计进行汽油密闭测量。</w:t>
                  </w:r>
                </w:p>
              </w:tc>
            </w:tr>
            <w:tr w14:paraId="0200CD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9" w:type="pct"/>
                  <w:vMerge w:val="continue"/>
                  <w:vAlign w:val="center"/>
                </w:tcPr>
                <w:p w14:paraId="59EDDBB4">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auto"/>
                    <w:rPr>
                      <w:rFonts w:ascii="宋体" w:hAnsi="宋体" w:eastAsia="宋体" w:cs="宋体"/>
                      <w:color w:val="000000" w:themeColor="text1"/>
                      <w:kern w:val="0"/>
                      <w:sz w:val="21"/>
                      <w:szCs w:val="21"/>
                      <w14:textFill>
                        <w14:solidFill>
                          <w14:schemeClr w14:val="tx1"/>
                        </w14:solidFill>
                      </w14:textFill>
                    </w:rPr>
                  </w:pPr>
                </w:p>
              </w:tc>
              <w:tc>
                <w:tcPr>
                  <w:tcW w:w="4630" w:type="pct"/>
                  <w:shd w:val="clear" w:color="auto" w:fill="auto"/>
                  <w:vAlign w:val="center"/>
                </w:tcPr>
                <w:p w14:paraId="1512818D">
                  <w:pPr>
                    <w:keepNext w:val="0"/>
                    <w:keepLines w:val="0"/>
                    <w:pageBreakBefore w:val="0"/>
                    <w:widowControl/>
                    <w:kinsoku/>
                    <w:wordWrap/>
                    <w:overflowPunct/>
                    <w:topLinePunct w:val="0"/>
                    <w:autoSpaceDE/>
                    <w:autoSpaceDN/>
                    <w:bidi w:val="0"/>
                    <w:adjustRightInd/>
                    <w:snapToGrid w:val="0"/>
                    <w:spacing w:line="240" w:lineRule="auto"/>
                    <w:ind w:firstLine="0" w:firstLineChars="0"/>
                    <w:textAlignment w:val="auto"/>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应采用符合</w:t>
                  </w:r>
                  <w:r>
                    <w:rPr>
                      <w:rFonts w:ascii="Times New Roman" w:hAnsi="Times New Roman" w:eastAsia="宋体" w:cs="Times New Roman"/>
                      <w:color w:val="000000" w:themeColor="text1"/>
                      <w:kern w:val="0"/>
                      <w:sz w:val="21"/>
                      <w:szCs w:val="21"/>
                      <w14:textFill>
                        <w14:solidFill>
                          <w14:schemeClr w14:val="tx1"/>
                        </w14:solidFill>
                      </w14:textFill>
                    </w:rPr>
                    <w:t>GB50156</w:t>
                  </w:r>
                  <w:r>
                    <w:rPr>
                      <w:rFonts w:hint="eastAsia" w:ascii="宋体" w:hAnsi="宋体" w:eastAsia="宋体" w:cs="宋体"/>
                      <w:color w:val="000000" w:themeColor="text1"/>
                      <w:kern w:val="0"/>
                      <w:sz w:val="21"/>
                      <w:szCs w:val="21"/>
                      <w14:textFill>
                        <w14:solidFill>
                          <w14:schemeClr w14:val="tx1"/>
                        </w14:solidFill>
                      </w14:textFill>
                    </w:rPr>
                    <w:t>相关规定的溢油控制措施。</w:t>
                  </w:r>
                </w:p>
              </w:tc>
            </w:tr>
            <w:tr w14:paraId="795BFD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9" w:type="pct"/>
                  <w:vMerge w:val="restart"/>
                  <w:shd w:val="clear" w:color="auto" w:fill="auto"/>
                  <w:vAlign w:val="center"/>
                </w:tcPr>
                <w:p w14:paraId="73C7227E">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加油油气排放控制</w:t>
                  </w:r>
                </w:p>
              </w:tc>
              <w:tc>
                <w:tcPr>
                  <w:tcW w:w="4630" w:type="pct"/>
                  <w:shd w:val="clear" w:color="auto" w:fill="auto"/>
                  <w:vAlign w:val="center"/>
                </w:tcPr>
                <w:p w14:paraId="39833383">
                  <w:pPr>
                    <w:keepNext w:val="0"/>
                    <w:keepLines w:val="0"/>
                    <w:pageBreakBefore w:val="0"/>
                    <w:widowControl/>
                    <w:kinsoku/>
                    <w:wordWrap/>
                    <w:overflowPunct/>
                    <w:topLinePunct w:val="0"/>
                    <w:autoSpaceDE/>
                    <w:autoSpaceDN/>
                    <w:bidi w:val="0"/>
                    <w:adjustRightInd/>
                    <w:snapToGrid w:val="0"/>
                    <w:spacing w:line="240" w:lineRule="auto"/>
                    <w:ind w:firstLine="0" w:firstLineChars="0"/>
                    <w:textAlignment w:val="auto"/>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加油产生的油气应采用真空辅助方式密闭收集。</w:t>
                  </w:r>
                </w:p>
              </w:tc>
            </w:tr>
            <w:tr w14:paraId="58AB49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9" w:type="pct"/>
                  <w:vMerge w:val="continue"/>
                  <w:vAlign w:val="center"/>
                </w:tcPr>
                <w:p w14:paraId="590CD0AF">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auto"/>
                    <w:rPr>
                      <w:rFonts w:ascii="宋体" w:hAnsi="宋体" w:eastAsia="宋体" w:cs="宋体"/>
                      <w:color w:val="000000" w:themeColor="text1"/>
                      <w:kern w:val="0"/>
                      <w:sz w:val="21"/>
                      <w:szCs w:val="21"/>
                      <w14:textFill>
                        <w14:solidFill>
                          <w14:schemeClr w14:val="tx1"/>
                        </w14:solidFill>
                      </w14:textFill>
                    </w:rPr>
                  </w:pPr>
                </w:p>
              </w:tc>
              <w:tc>
                <w:tcPr>
                  <w:tcW w:w="4630" w:type="pct"/>
                  <w:shd w:val="clear" w:color="auto" w:fill="auto"/>
                  <w:vAlign w:val="center"/>
                </w:tcPr>
                <w:p w14:paraId="5BAEB6E5">
                  <w:pPr>
                    <w:keepNext w:val="0"/>
                    <w:keepLines w:val="0"/>
                    <w:pageBreakBefore w:val="0"/>
                    <w:widowControl/>
                    <w:kinsoku/>
                    <w:wordWrap/>
                    <w:overflowPunct/>
                    <w:topLinePunct w:val="0"/>
                    <w:autoSpaceDE/>
                    <w:autoSpaceDN/>
                    <w:bidi w:val="0"/>
                    <w:adjustRightInd/>
                    <w:snapToGrid w:val="0"/>
                    <w:spacing w:line="240" w:lineRule="auto"/>
                    <w:ind w:firstLine="0" w:firstLineChars="0"/>
                    <w:textAlignment w:val="auto"/>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油气回收管线应坡向油罐，坡度不应小于</w:t>
                  </w:r>
                  <w:r>
                    <w:rPr>
                      <w:rFonts w:ascii="Times New Roman" w:hAnsi="Times New Roman" w:eastAsia="宋体" w:cs="Times New Roman"/>
                      <w:color w:val="000000" w:themeColor="text1"/>
                      <w:kern w:val="0"/>
                      <w:sz w:val="21"/>
                      <w:szCs w:val="21"/>
                      <w14:textFill>
                        <w14:solidFill>
                          <w14:schemeClr w14:val="tx1"/>
                        </w14:solidFill>
                      </w14:textFill>
                    </w:rPr>
                    <w:t>1%</w:t>
                  </w:r>
                  <w:r>
                    <w:rPr>
                      <w:rFonts w:hint="eastAsia" w:ascii="宋体" w:hAnsi="宋体" w:eastAsia="宋体" w:cs="宋体"/>
                      <w:color w:val="000000" w:themeColor="text1"/>
                      <w:kern w:val="0"/>
                      <w:sz w:val="21"/>
                      <w:szCs w:val="21"/>
                      <w14:textFill>
                        <w14:solidFill>
                          <w14:schemeClr w14:val="tx1"/>
                        </w14:solidFill>
                      </w14:textFill>
                    </w:rPr>
                    <w:t>，受地形限制无法满足坡度要求的可设置集液器，集液器的凝结液应能密闭回收至低标号的汽油罐中。</w:t>
                  </w:r>
                </w:p>
              </w:tc>
            </w:tr>
            <w:tr w14:paraId="0B421A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9" w:type="pct"/>
                  <w:vMerge w:val="continue"/>
                  <w:vAlign w:val="center"/>
                </w:tcPr>
                <w:p w14:paraId="3E31A8AC">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auto"/>
                    <w:rPr>
                      <w:rFonts w:ascii="宋体" w:hAnsi="宋体" w:eastAsia="宋体" w:cs="宋体"/>
                      <w:color w:val="000000" w:themeColor="text1"/>
                      <w:kern w:val="0"/>
                      <w:sz w:val="21"/>
                      <w:szCs w:val="21"/>
                      <w14:textFill>
                        <w14:solidFill>
                          <w14:schemeClr w14:val="tx1"/>
                        </w14:solidFill>
                      </w14:textFill>
                    </w:rPr>
                  </w:pPr>
                </w:p>
              </w:tc>
              <w:tc>
                <w:tcPr>
                  <w:tcW w:w="4630" w:type="pct"/>
                  <w:shd w:val="clear" w:color="auto" w:fill="auto"/>
                  <w:vAlign w:val="center"/>
                </w:tcPr>
                <w:p w14:paraId="1220B165">
                  <w:pPr>
                    <w:keepNext w:val="0"/>
                    <w:keepLines w:val="0"/>
                    <w:pageBreakBefore w:val="0"/>
                    <w:widowControl/>
                    <w:kinsoku/>
                    <w:wordWrap/>
                    <w:overflowPunct/>
                    <w:topLinePunct w:val="0"/>
                    <w:autoSpaceDE/>
                    <w:autoSpaceDN/>
                    <w:bidi w:val="0"/>
                    <w:adjustRightInd/>
                    <w:snapToGrid w:val="0"/>
                    <w:spacing w:line="240" w:lineRule="auto"/>
                    <w:ind w:firstLine="0" w:firstLineChars="0"/>
                    <w:textAlignment w:val="auto"/>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加油软管应配备拉断截止阀，加油时应防止溢油和滴油。</w:t>
                  </w:r>
                </w:p>
              </w:tc>
            </w:tr>
            <w:tr w14:paraId="2E9CEB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9" w:type="pct"/>
                  <w:vMerge w:val="continue"/>
                  <w:vAlign w:val="center"/>
                </w:tcPr>
                <w:p w14:paraId="01F309D1">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auto"/>
                    <w:rPr>
                      <w:rFonts w:ascii="宋体" w:hAnsi="宋体" w:eastAsia="宋体" w:cs="宋体"/>
                      <w:color w:val="000000" w:themeColor="text1"/>
                      <w:kern w:val="0"/>
                      <w:sz w:val="21"/>
                      <w:szCs w:val="21"/>
                      <w14:textFill>
                        <w14:solidFill>
                          <w14:schemeClr w14:val="tx1"/>
                        </w14:solidFill>
                      </w14:textFill>
                    </w:rPr>
                  </w:pPr>
                </w:p>
              </w:tc>
              <w:tc>
                <w:tcPr>
                  <w:tcW w:w="4630" w:type="pct"/>
                  <w:shd w:val="clear" w:color="auto" w:fill="auto"/>
                  <w:vAlign w:val="center"/>
                </w:tcPr>
                <w:p w14:paraId="63CC45C1">
                  <w:pPr>
                    <w:keepNext w:val="0"/>
                    <w:keepLines w:val="0"/>
                    <w:pageBreakBefore w:val="0"/>
                    <w:widowControl/>
                    <w:kinsoku/>
                    <w:wordWrap/>
                    <w:overflowPunct/>
                    <w:topLinePunct w:val="0"/>
                    <w:autoSpaceDE/>
                    <w:autoSpaceDN/>
                    <w:bidi w:val="0"/>
                    <w:adjustRightInd/>
                    <w:snapToGrid w:val="0"/>
                    <w:spacing w:line="240" w:lineRule="auto"/>
                    <w:ind w:firstLine="0" w:firstLineChars="0"/>
                    <w:textAlignment w:val="auto"/>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当辖区内采用</w:t>
                  </w:r>
                  <w:r>
                    <w:rPr>
                      <w:rFonts w:ascii="Times New Roman" w:hAnsi="Times New Roman" w:eastAsia="宋体" w:cs="Times New Roman"/>
                      <w:color w:val="000000" w:themeColor="text1"/>
                      <w:kern w:val="0"/>
                      <w:sz w:val="21"/>
                      <w:szCs w:val="21"/>
                      <w14:textFill>
                        <w14:solidFill>
                          <w14:schemeClr w14:val="tx1"/>
                        </w14:solidFill>
                      </w14:textFill>
                    </w:rPr>
                    <w:t>ORVR</w:t>
                  </w:r>
                  <w:r>
                    <w:rPr>
                      <w:rFonts w:hint="eastAsia" w:ascii="宋体" w:hAnsi="宋体" w:eastAsia="宋体" w:cs="宋体"/>
                      <w:color w:val="000000" w:themeColor="text1"/>
                      <w:kern w:val="0"/>
                      <w:sz w:val="21"/>
                      <w:szCs w:val="21"/>
                      <w14:textFill>
                        <w14:solidFill>
                          <w14:schemeClr w14:val="tx1"/>
                        </w14:solidFill>
                      </w14:textFill>
                    </w:rPr>
                    <w:t>的轻型汽车达到汽车保有量的</w:t>
                  </w:r>
                  <w:r>
                    <w:rPr>
                      <w:rFonts w:ascii="Times New Roman" w:hAnsi="Times New Roman" w:eastAsia="宋体" w:cs="Times New Roman"/>
                      <w:color w:val="000000" w:themeColor="text1"/>
                      <w:kern w:val="0"/>
                      <w:sz w:val="21"/>
                      <w:szCs w:val="21"/>
                      <w14:textFill>
                        <w14:solidFill>
                          <w14:schemeClr w14:val="tx1"/>
                        </w14:solidFill>
                      </w14:textFill>
                    </w:rPr>
                    <w:t>20%</w:t>
                  </w:r>
                  <w:r>
                    <w:rPr>
                      <w:rFonts w:hint="eastAsia" w:ascii="宋体" w:hAnsi="宋体" w:eastAsia="宋体" w:cs="宋体"/>
                      <w:color w:val="000000" w:themeColor="text1"/>
                      <w:kern w:val="0"/>
                      <w:sz w:val="21"/>
                      <w:szCs w:val="21"/>
                      <w14:textFill>
                        <w14:solidFill>
                          <w14:schemeClr w14:val="tx1"/>
                        </w14:solidFill>
                      </w14:textFill>
                    </w:rPr>
                    <w:t>后，油气回收系统、在线监测系统应兼容</w:t>
                  </w:r>
                  <w:r>
                    <w:rPr>
                      <w:rFonts w:ascii="Times New Roman" w:hAnsi="Times New Roman" w:eastAsia="宋体" w:cs="Times New Roman"/>
                      <w:color w:val="000000" w:themeColor="text1"/>
                      <w:kern w:val="0"/>
                      <w:sz w:val="21"/>
                      <w:szCs w:val="21"/>
                      <w14:textFill>
                        <w14:solidFill>
                          <w14:schemeClr w14:val="tx1"/>
                        </w14:solidFill>
                      </w14:textFill>
                    </w:rPr>
                    <w:t>GB18352.6</w:t>
                  </w:r>
                  <w:r>
                    <w:rPr>
                      <w:rFonts w:hint="eastAsia" w:ascii="宋体" w:hAnsi="宋体" w:eastAsia="宋体" w:cs="宋体"/>
                      <w:color w:val="000000" w:themeColor="text1"/>
                      <w:kern w:val="0"/>
                      <w:sz w:val="21"/>
                      <w:szCs w:val="21"/>
                      <w14:textFill>
                        <w14:solidFill>
                          <w14:schemeClr w14:val="tx1"/>
                        </w14:solidFill>
                      </w14:textFill>
                    </w:rPr>
                    <w:t>要求的轻型车</w:t>
                  </w:r>
                  <w:r>
                    <w:rPr>
                      <w:rFonts w:ascii="Times New Roman" w:hAnsi="Times New Roman" w:eastAsia="宋体" w:cs="Times New Roman"/>
                      <w:color w:val="000000" w:themeColor="text1"/>
                      <w:kern w:val="0"/>
                      <w:sz w:val="21"/>
                      <w:szCs w:val="21"/>
                      <w14:textFill>
                        <w14:solidFill>
                          <w14:schemeClr w14:val="tx1"/>
                        </w14:solidFill>
                      </w14:textFill>
                    </w:rPr>
                    <w:t>ORVR</w:t>
                  </w:r>
                  <w:r>
                    <w:rPr>
                      <w:rFonts w:hint="eastAsia" w:ascii="宋体" w:hAnsi="宋体" w:eastAsia="宋体" w:cs="宋体"/>
                      <w:color w:val="000000" w:themeColor="text1"/>
                      <w:kern w:val="0"/>
                      <w:sz w:val="21"/>
                      <w:szCs w:val="21"/>
                      <w14:textFill>
                        <w14:solidFill>
                          <w14:schemeClr w14:val="tx1"/>
                        </w14:solidFill>
                      </w14:textFill>
                    </w:rPr>
                    <w:t>系统。</w:t>
                  </w:r>
                </w:p>
              </w:tc>
            </w:tr>
            <w:tr w14:paraId="17E951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9" w:type="pct"/>
                  <w:vMerge w:val="continue"/>
                  <w:vAlign w:val="center"/>
                </w:tcPr>
                <w:p w14:paraId="54F47487">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auto"/>
                    <w:rPr>
                      <w:rFonts w:ascii="宋体" w:hAnsi="宋体" w:eastAsia="宋体" w:cs="宋体"/>
                      <w:color w:val="000000" w:themeColor="text1"/>
                      <w:kern w:val="0"/>
                      <w:sz w:val="21"/>
                      <w:szCs w:val="21"/>
                      <w14:textFill>
                        <w14:solidFill>
                          <w14:schemeClr w14:val="tx1"/>
                        </w14:solidFill>
                      </w14:textFill>
                    </w:rPr>
                  </w:pPr>
                </w:p>
              </w:tc>
              <w:tc>
                <w:tcPr>
                  <w:tcW w:w="4630" w:type="pct"/>
                  <w:shd w:val="clear" w:color="auto" w:fill="auto"/>
                  <w:vAlign w:val="center"/>
                </w:tcPr>
                <w:p w14:paraId="41273356">
                  <w:pPr>
                    <w:keepNext w:val="0"/>
                    <w:keepLines w:val="0"/>
                    <w:pageBreakBefore w:val="0"/>
                    <w:widowControl/>
                    <w:kinsoku/>
                    <w:wordWrap/>
                    <w:overflowPunct/>
                    <w:topLinePunct w:val="0"/>
                    <w:autoSpaceDE/>
                    <w:autoSpaceDN/>
                    <w:bidi w:val="0"/>
                    <w:adjustRightInd/>
                    <w:snapToGrid w:val="0"/>
                    <w:spacing w:line="240" w:lineRule="auto"/>
                    <w:ind w:firstLine="0" w:firstLineChars="0"/>
                    <w:textAlignment w:val="auto"/>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新建、改建、扩建的加油站在油气管线覆土、地面硬化施工之前，应向管线内注入</w:t>
                  </w:r>
                  <w:r>
                    <w:rPr>
                      <w:rFonts w:ascii="Times New Roman" w:hAnsi="Times New Roman" w:eastAsia="宋体" w:cs="Times New Roman"/>
                      <w:color w:val="000000" w:themeColor="text1"/>
                      <w:kern w:val="0"/>
                      <w:sz w:val="21"/>
                      <w:szCs w:val="21"/>
                      <w14:textFill>
                        <w14:solidFill>
                          <w14:schemeClr w14:val="tx1"/>
                        </w14:solidFill>
                      </w14:textFill>
                    </w:rPr>
                    <w:t>10L</w:t>
                  </w:r>
                  <w:r>
                    <w:rPr>
                      <w:rFonts w:hint="eastAsia" w:ascii="宋体" w:hAnsi="宋体" w:eastAsia="宋体" w:cs="宋体"/>
                      <w:color w:val="000000" w:themeColor="text1"/>
                      <w:kern w:val="0"/>
                      <w:sz w:val="21"/>
                      <w:szCs w:val="21"/>
                      <w14:textFill>
                        <w14:solidFill>
                          <w14:schemeClr w14:val="tx1"/>
                        </w14:solidFill>
                      </w14:textFill>
                    </w:rPr>
                    <w:t>汽油并检测液阻。</w:t>
                  </w:r>
                </w:p>
              </w:tc>
            </w:tr>
            <w:tr w14:paraId="6BFE6C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9" w:type="pct"/>
                  <w:vMerge w:val="restart"/>
                  <w:shd w:val="clear" w:color="auto" w:fill="auto"/>
                  <w:vAlign w:val="center"/>
                </w:tcPr>
                <w:p w14:paraId="6CE27468">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油气处理装置</w:t>
                  </w:r>
                </w:p>
              </w:tc>
              <w:tc>
                <w:tcPr>
                  <w:tcW w:w="4630" w:type="pct"/>
                  <w:shd w:val="clear" w:color="auto" w:fill="auto"/>
                  <w:vAlign w:val="center"/>
                </w:tcPr>
                <w:p w14:paraId="4698B902">
                  <w:pPr>
                    <w:keepNext w:val="0"/>
                    <w:keepLines w:val="0"/>
                    <w:pageBreakBefore w:val="0"/>
                    <w:widowControl/>
                    <w:kinsoku/>
                    <w:wordWrap/>
                    <w:overflowPunct/>
                    <w:topLinePunct w:val="0"/>
                    <w:autoSpaceDE/>
                    <w:autoSpaceDN/>
                    <w:bidi w:val="0"/>
                    <w:adjustRightInd/>
                    <w:snapToGrid w:val="0"/>
                    <w:spacing w:line="240" w:lineRule="auto"/>
                    <w:ind w:firstLine="0" w:firstLineChars="0"/>
                    <w:textAlignment w:val="auto"/>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油气处理装置启动运行的压力感应值宜设在</w:t>
                  </w:r>
                  <w:r>
                    <w:rPr>
                      <w:rFonts w:ascii="Times New Roman" w:hAnsi="Times New Roman" w:eastAsia="宋体" w:cs="Times New Roman"/>
                      <w:color w:val="000000" w:themeColor="text1"/>
                      <w:kern w:val="0"/>
                      <w:sz w:val="21"/>
                      <w:szCs w:val="21"/>
                      <w14:textFill>
                        <w14:solidFill>
                          <w14:schemeClr w14:val="tx1"/>
                        </w14:solidFill>
                      </w14:textFill>
                    </w:rPr>
                    <w:t>+150Pa</w:t>
                  </w:r>
                  <w:r>
                    <w:rPr>
                      <w:rFonts w:hint="eastAsia" w:ascii="宋体" w:hAnsi="宋体" w:eastAsia="宋体" w:cs="宋体"/>
                      <w:color w:val="000000" w:themeColor="text1"/>
                      <w:kern w:val="0"/>
                      <w:sz w:val="21"/>
                      <w:szCs w:val="21"/>
                      <w14:textFill>
                        <w14:solidFill>
                          <w14:schemeClr w14:val="tx1"/>
                        </w14:solidFill>
                      </w14:textFill>
                    </w:rPr>
                    <w:t>，停止运行的压力感应值宜设在</w:t>
                  </w:r>
                  <w:r>
                    <w:rPr>
                      <w:rFonts w:ascii="Times New Roman" w:hAnsi="Times New Roman" w:eastAsia="宋体" w:cs="Times New Roman"/>
                      <w:color w:val="000000" w:themeColor="text1"/>
                      <w:kern w:val="0"/>
                      <w:sz w:val="21"/>
                      <w:szCs w:val="21"/>
                      <w14:textFill>
                        <w14:solidFill>
                          <w14:schemeClr w14:val="tx1"/>
                        </w14:solidFill>
                      </w14:textFill>
                    </w:rPr>
                    <w:t>0</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ascii="Times New Roman" w:hAnsi="Times New Roman" w:eastAsia="宋体" w:cs="Times New Roman"/>
                      <w:color w:val="000000" w:themeColor="text1"/>
                      <w:kern w:val="0"/>
                      <w:sz w:val="21"/>
                      <w:szCs w:val="21"/>
                      <w14:textFill>
                        <w14:solidFill>
                          <w14:schemeClr w14:val="tx1"/>
                        </w14:solidFill>
                      </w14:textFill>
                    </w:rPr>
                    <w:t>50Pa</w:t>
                  </w:r>
                  <w:r>
                    <w:rPr>
                      <w:rFonts w:hint="eastAsia" w:ascii="宋体" w:hAnsi="宋体" w:eastAsia="宋体" w:cs="宋体"/>
                      <w:color w:val="000000" w:themeColor="text1"/>
                      <w:kern w:val="0"/>
                      <w:sz w:val="21"/>
                      <w:szCs w:val="21"/>
                      <w14:textFill>
                        <w14:solidFill>
                          <w14:schemeClr w14:val="tx1"/>
                        </w14:solidFill>
                      </w14:textFill>
                    </w:rPr>
                    <w:t>，或根据加油站情况自行调整。</w:t>
                  </w:r>
                </w:p>
              </w:tc>
            </w:tr>
            <w:tr w14:paraId="43CBF9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9" w:type="pct"/>
                  <w:vMerge w:val="continue"/>
                  <w:vAlign w:val="center"/>
                </w:tcPr>
                <w:p w14:paraId="1A83FEE6">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auto"/>
                    <w:rPr>
                      <w:rFonts w:ascii="宋体" w:hAnsi="宋体" w:eastAsia="宋体" w:cs="宋体"/>
                      <w:color w:val="000000" w:themeColor="text1"/>
                      <w:kern w:val="0"/>
                      <w:sz w:val="21"/>
                      <w:szCs w:val="21"/>
                      <w14:textFill>
                        <w14:solidFill>
                          <w14:schemeClr w14:val="tx1"/>
                        </w14:solidFill>
                      </w14:textFill>
                    </w:rPr>
                  </w:pPr>
                </w:p>
              </w:tc>
              <w:tc>
                <w:tcPr>
                  <w:tcW w:w="4630" w:type="pct"/>
                  <w:shd w:val="clear" w:color="auto" w:fill="auto"/>
                  <w:vAlign w:val="center"/>
                </w:tcPr>
                <w:p w14:paraId="54D67ED1">
                  <w:pPr>
                    <w:keepNext w:val="0"/>
                    <w:keepLines w:val="0"/>
                    <w:pageBreakBefore w:val="0"/>
                    <w:widowControl/>
                    <w:kinsoku/>
                    <w:wordWrap/>
                    <w:overflowPunct/>
                    <w:topLinePunct w:val="0"/>
                    <w:autoSpaceDE/>
                    <w:autoSpaceDN/>
                    <w:bidi w:val="0"/>
                    <w:adjustRightInd/>
                    <w:snapToGrid w:val="0"/>
                    <w:spacing w:line="240" w:lineRule="auto"/>
                    <w:ind w:firstLine="0" w:firstLineChars="0"/>
                    <w:textAlignment w:val="auto"/>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油气处理装置排气口距地平面高度不应小于</w:t>
                  </w:r>
                  <w:r>
                    <w:rPr>
                      <w:rFonts w:ascii="Times New Roman" w:hAnsi="Times New Roman" w:eastAsia="宋体" w:cs="Times New Roman"/>
                      <w:color w:val="000000" w:themeColor="text1"/>
                      <w:kern w:val="0"/>
                      <w:sz w:val="21"/>
                      <w:szCs w:val="21"/>
                      <w14:textFill>
                        <w14:solidFill>
                          <w14:schemeClr w14:val="tx1"/>
                        </w14:solidFill>
                      </w14:textFill>
                    </w:rPr>
                    <w:t>4m</w:t>
                  </w:r>
                  <w:r>
                    <w:rPr>
                      <w:rFonts w:hint="eastAsia" w:ascii="宋体" w:hAnsi="宋体" w:eastAsia="宋体" w:cs="宋体"/>
                      <w:color w:val="000000" w:themeColor="text1"/>
                      <w:kern w:val="0"/>
                      <w:sz w:val="21"/>
                      <w:szCs w:val="21"/>
                      <w14:textFill>
                        <w14:solidFill>
                          <w14:schemeClr w14:val="tx1"/>
                        </w14:solidFill>
                      </w14:textFill>
                    </w:rPr>
                    <w:t>，具体高度以及与周围建筑物的距离应根据环境影响评价文件确定，排气口应设阻火器。油气处理装置回油管横向地下油罐的坡度不应小于</w:t>
                  </w:r>
                  <w:r>
                    <w:rPr>
                      <w:rFonts w:ascii="Times New Roman" w:hAnsi="Times New Roman" w:eastAsia="宋体" w:cs="Times New Roman"/>
                      <w:color w:val="000000" w:themeColor="text1"/>
                      <w:kern w:val="0"/>
                      <w:sz w:val="21"/>
                      <w:szCs w:val="21"/>
                      <w14:textFill>
                        <w14:solidFill>
                          <w14:schemeClr w14:val="tx1"/>
                        </w14:solidFill>
                      </w14:textFill>
                    </w:rPr>
                    <w:t>1%</w:t>
                  </w:r>
                  <w:r>
                    <w:rPr>
                      <w:rFonts w:hint="eastAsia" w:ascii="Times New Roman" w:hAnsi="Times New Roman" w:eastAsia="宋体" w:cs="Times New Roman"/>
                      <w:color w:val="000000" w:themeColor="text1"/>
                      <w:kern w:val="0"/>
                      <w:sz w:val="21"/>
                      <w:szCs w:val="21"/>
                      <w14:textFill>
                        <w14:solidFill>
                          <w14:schemeClr w14:val="tx1"/>
                        </w14:solidFill>
                      </w14:textFill>
                    </w:rPr>
                    <w:t>。油气处理装置的油气排放浓度1小时平均浓度值应小于等于2</w:t>
                  </w:r>
                  <w:r>
                    <w:rPr>
                      <w:rFonts w:ascii="Times New Roman" w:hAnsi="Times New Roman" w:eastAsia="宋体" w:cs="Times New Roman"/>
                      <w:color w:val="000000" w:themeColor="text1"/>
                      <w:kern w:val="0"/>
                      <w:sz w:val="21"/>
                      <w:szCs w:val="21"/>
                      <w14:textFill>
                        <w14:solidFill>
                          <w14:schemeClr w14:val="tx1"/>
                        </w14:solidFill>
                      </w14:textFill>
                    </w:rPr>
                    <w:t>5</w:t>
                  </w:r>
                  <w:r>
                    <w:rPr>
                      <w:rFonts w:hint="eastAsia" w:ascii="Times New Roman" w:hAnsi="Times New Roman" w:eastAsia="宋体" w:cs="Times New Roman"/>
                      <w:color w:val="000000" w:themeColor="text1"/>
                      <w:kern w:val="0"/>
                      <w:sz w:val="21"/>
                      <w:szCs w:val="21"/>
                      <w14:textFill>
                        <w14:solidFill>
                          <w14:schemeClr w14:val="tx1"/>
                        </w14:solidFill>
                      </w14:textFill>
                    </w:rPr>
                    <w:t>g</w:t>
                  </w:r>
                  <w:r>
                    <w:rPr>
                      <w:rFonts w:ascii="Times New Roman" w:hAnsi="Times New Roman" w:eastAsia="宋体" w:cs="Times New Roman"/>
                      <w:color w:val="000000" w:themeColor="text1"/>
                      <w:kern w:val="0"/>
                      <w:sz w:val="21"/>
                      <w:szCs w:val="21"/>
                      <w14:textFill>
                        <w14:solidFill>
                          <w14:schemeClr w14:val="tx1"/>
                        </w14:solidFill>
                      </w14:textFill>
                    </w:rPr>
                    <w:t>/m</w:t>
                  </w:r>
                  <w:r>
                    <w:rPr>
                      <w:rFonts w:ascii="Times New Roman" w:hAnsi="Times New Roman" w:eastAsia="宋体" w:cs="Times New Roman"/>
                      <w:color w:val="000000" w:themeColor="text1"/>
                      <w:kern w:val="0"/>
                      <w:sz w:val="21"/>
                      <w:szCs w:val="21"/>
                      <w:vertAlign w:val="superscript"/>
                      <w14:textFill>
                        <w14:solidFill>
                          <w14:schemeClr w14:val="tx1"/>
                        </w14:solidFill>
                      </w14:textFill>
                    </w:rPr>
                    <w:t>3</w:t>
                  </w:r>
                  <w:r>
                    <w:rPr>
                      <w:rFonts w:hint="eastAsia" w:ascii="Times New Roman" w:hAnsi="Times New Roman" w:eastAsia="宋体" w:cs="Times New Roman"/>
                      <w:color w:val="000000" w:themeColor="text1"/>
                      <w:kern w:val="0"/>
                      <w:sz w:val="21"/>
                      <w:szCs w:val="21"/>
                      <w14:textFill>
                        <w14:solidFill>
                          <w14:schemeClr w14:val="tx1"/>
                        </w14:solidFill>
                      </w14:textFill>
                    </w:rPr>
                    <w:t>。</w:t>
                  </w:r>
                </w:p>
              </w:tc>
            </w:tr>
            <w:tr w14:paraId="537B9A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9" w:type="pct"/>
                  <w:vMerge w:val="continue"/>
                  <w:vAlign w:val="center"/>
                </w:tcPr>
                <w:p w14:paraId="033A500B">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auto"/>
                    <w:rPr>
                      <w:rFonts w:ascii="宋体" w:hAnsi="宋体" w:eastAsia="宋体" w:cs="宋体"/>
                      <w:color w:val="000000" w:themeColor="text1"/>
                      <w:kern w:val="0"/>
                      <w:sz w:val="21"/>
                      <w:szCs w:val="21"/>
                      <w14:textFill>
                        <w14:solidFill>
                          <w14:schemeClr w14:val="tx1"/>
                        </w14:solidFill>
                      </w14:textFill>
                    </w:rPr>
                  </w:pPr>
                </w:p>
              </w:tc>
              <w:tc>
                <w:tcPr>
                  <w:tcW w:w="4630" w:type="pct"/>
                  <w:shd w:val="clear" w:color="auto" w:fill="auto"/>
                  <w:vAlign w:val="center"/>
                </w:tcPr>
                <w:p w14:paraId="6F1D5610">
                  <w:pPr>
                    <w:keepNext w:val="0"/>
                    <w:keepLines w:val="0"/>
                    <w:pageBreakBefore w:val="0"/>
                    <w:widowControl/>
                    <w:kinsoku/>
                    <w:wordWrap/>
                    <w:overflowPunct/>
                    <w:topLinePunct w:val="0"/>
                    <w:autoSpaceDE/>
                    <w:autoSpaceDN/>
                    <w:bidi w:val="0"/>
                    <w:adjustRightInd/>
                    <w:snapToGrid w:val="0"/>
                    <w:spacing w:line="240" w:lineRule="auto"/>
                    <w:ind w:firstLine="0" w:firstLineChars="0"/>
                    <w:textAlignment w:val="auto"/>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油气处理装置在卸油期间应保持正常运行状态。</w:t>
                  </w:r>
                </w:p>
              </w:tc>
            </w:tr>
          </w:tbl>
          <w:p w14:paraId="3038037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sz w:val="24"/>
              </w:rPr>
            </w:pPr>
            <w:r>
              <w:rPr>
                <w:rFonts w:hint="eastAsia"/>
                <w:b/>
                <w:bCs/>
                <w:sz w:val="24"/>
              </w:rPr>
              <w:t>（3）废气达标分析</w:t>
            </w:r>
          </w:p>
          <w:p w14:paraId="5D22002F">
            <w:pPr>
              <w:pStyle w:val="54"/>
              <w:keepNext w:val="0"/>
              <w:keepLines w:val="0"/>
              <w:pageBreakBefore w:val="0"/>
              <w:widowControl w:val="0"/>
              <w:numPr>
                <w:ilvl w:val="0"/>
                <w:numId w:val="0"/>
              </w:numPr>
              <w:tabs>
                <w:tab w:val="left" w:pos="7821"/>
              </w:tabs>
              <w:kinsoku/>
              <w:wordWrap/>
              <w:overflowPunct/>
              <w:topLinePunct w:val="0"/>
              <w:autoSpaceDE/>
              <w:autoSpaceDN/>
              <w:bidi w:val="0"/>
              <w:adjustRightInd/>
              <w:snapToGrid/>
              <w:ind w:leftChars="0" w:firstLine="480" w:firstLineChars="200"/>
              <w:jc w:val="left"/>
              <w:textAlignment w:val="auto"/>
              <w:rPr>
                <w:spacing w:val="4"/>
                <w:kern w:val="0"/>
              </w:rPr>
            </w:pPr>
            <w:r>
              <w:rPr>
                <w:rFonts w:hint="eastAsia" w:ascii="Times New Roman" w:hAnsi="Times New Roman" w:eastAsia="宋体" w:cs="Times New Roman"/>
                <w:color w:val="auto"/>
                <w:sz w:val="24"/>
                <w:highlight w:val="none"/>
                <w:lang w:val="en-US" w:eastAsia="zh-CN"/>
              </w:rPr>
              <w:t>采用《环境影响评价技术导则 大气环境》（HJ2.2-2018）规定的AERSCEEN计算模式进行大气污染物扩散计算，本项目无组织污染源正常排放的污染物预测结果详见表4.1-7。</w:t>
            </w:r>
          </w:p>
          <w:p w14:paraId="5C712A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w:t>
            </w:r>
            <w:r>
              <w:rPr>
                <w:rFonts w:hint="eastAsia" w:ascii="Times New Roman" w:hAnsi="Times New Roman" w:eastAsia="宋体" w:cs="Times New Roman"/>
                <w:b/>
                <w:color w:val="auto"/>
                <w:sz w:val="21"/>
                <w:szCs w:val="21"/>
                <w:lang w:val="en-US" w:eastAsia="zh-CN"/>
              </w:rPr>
              <w:t>4.1-</w:t>
            </w:r>
            <w:r>
              <w:rPr>
                <w:rFonts w:hint="eastAsia" w:ascii="Times New Roman" w:hAnsi="Times New Roman" w:cs="Times New Roman"/>
                <w:b/>
                <w:color w:val="auto"/>
                <w:sz w:val="21"/>
                <w:szCs w:val="21"/>
                <w:lang w:val="en-US" w:eastAsia="zh-CN"/>
              </w:rPr>
              <w:t>7</w:t>
            </w:r>
            <w:r>
              <w:rPr>
                <w:rFonts w:hint="default" w:ascii="Times New Roman" w:hAnsi="Times New Roman" w:eastAsia="宋体" w:cs="Times New Roman"/>
                <w:b/>
                <w:color w:val="auto"/>
                <w:sz w:val="21"/>
                <w:szCs w:val="21"/>
              </w:rPr>
              <w:t xml:space="preserve">   </w:t>
            </w:r>
            <w:r>
              <w:rPr>
                <w:rFonts w:hint="eastAsia" w:ascii="Times New Roman" w:hAnsi="Times New Roman" w:cs="Times New Roman"/>
                <w:b/>
                <w:color w:val="auto"/>
                <w:sz w:val="21"/>
                <w:szCs w:val="21"/>
                <w:lang w:val="en-US" w:eastAsia="zh-CN"/>
              </w:rPr>
              <w:t>项目</w:t>
            </w:r>
            <w:r>
              <w:rPr>
                <w:rFonts w:hint="eastAsia" w:ascii="Times New Roman" w:hAnsi="Times New Roman" w:eastAsia="宋体" w:cs="Times New Roman"/>
                <w:b/>
                <w:color w:val="auto"/>
                <w:sz w:val="21"/>
                <w:szCs w:val="21"/>
                <w:lang w:val="en-US" w:eastAsia="zh-CN"/>
              </w:rPr>
              <w:t>无组织污染物排放达标分析</w:t>
            </w:r>
          </w:p>
          <w:tbl>
            <w:tblPr>
              <w:tblStyle w:val="3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08"/>
              <w:gridCol w:w="1759"/>
              <w:gridCol w:w="1863"/>
              <w:gridCol w:w="3059"/>
              <w:gridCol w:w="1094"/>
            </w:tblGrid>
            <w:tr w14:paraId="1CF955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12" w:type="pct"/>
                  <w:noWrap w:val="0"/>
                  <w:vAlign w:val="center"/>
                </w:tcPr>
                <w:p w14:paraId="11BD3B4F">
                  <w:pPr>
                    <w:pStyle w:val="74"/>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lang w:val="en-US" w:eastAsia="zh-CN"/>
                    </w:rPr>
                    <w:t>污染物名称</w:t>
                  </w:r>
                </w:p>
              </w:tc>
              <w:tc>
                <w:tcPr>
                  <w:tcW w:w="947" w:type="pct"/>
                  <w:noWrap w:val="0"/>
                  <w:vAlign w:val="center"/>
                </w:tcPr>
                <w:p w14:paraId="54B68709">
                  <w:pPr>
                    <w:pStyle w:val="74"/>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lang w:val="en-US" w:eastAsia="zh-CN"/>
                    </w:rPr>
                    <w:t>最大落地浓度值（</w:t>
                  </w:r>
                  <w:r>
                    <w:rPr>
                      <w:rFonts w:hint="default" w:ascii="Times New Roman" w:hAnsi="Times New Roman" w:cs="Times New Roman"/>
                      <w:b/>
                      <w:bCs/>
                      <w:color w:val="auto"/>
                      <w:sz w:val="21"/>
                      <w:szCs w:val="21"/>
                    </w:rPr>
                    <w:t>ug</w:t>
                  </w:r>
                  <w:r>
                    <w:rPr>
                      <w:rFonts w:hint="default" w:ascii="Times New Roman" w:hAnsi="Times New Roman" w:cs="Times New Roman"/>
                      <w:b/>
                      <w:color w:val="auto"/>
                      <w:sz w:val="21"/>
                      <w:szCs w:val="21"/>
                      <w:lang w:val="en-US" w:eastAsia="zh-CN"/>
                    </w:rPr>
                    <w:t>/m</w:t>
                  </w:r>
                  <w:r>
                    <w:rPr>
                      <w:rFonts w:hint="default" w:ascii="Times New Roman" w:hAnsi="Times New Roman" w:cs="Times New Roman"/>
                      <w:b/>
                      <w:color w:val="auto"/>
                      <w:sz w:val="21"/>
                      <w:szCs w:val="21"/>
                      <w:vertAlign w:val="superscript"/>
                      <w:lang w:val="en-US" w:eastAsia="zh-CN"/>
                    </w:rPr>
                    <w:t>3</w:t>
                  </w:r>
                  <w:r>
                    <w:rPr>
                      <w:rFonts w:hint="default" w:ascii="Times New Roman" w:hAnsi="Times New Roman" w:cs="Times New Roman"/>
                      <w:b/>
                      <w:color w:val="auto"/>
                      <w:sz w:val="21"/>
                      <w:szCs w:val="21"/>
                      <w:lang w:val="en-US" w:eastAsia="zh-CN"/>
                    </w:rPr>
                    <w:t>）</w:t>
                  </w:r>
                </w:p>
              </w:tc>
              <w:tc>
                <w:tcPr>
                  <w:tcW w:w="1003" w:type="pct"/>
                  <w:noWrap w:val="0"/>
                  <w:vAlign w:val="center"/>
                </w:tcPr>
                <w:p w14:paraId="35F14690">
                  <w:pPr>
                    <w:pStyle w:val="74"/>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lang w:val="en-US" w:eastAsia="zh-CN"/>
                    </w:rPr>
                    <w:t>厂界监控浓度限值（</w:t>
                  </w:r>
                  <w:r>
                    <w:rPr>
                      <w:rFonts w:hint="default" w:ascii="Times New Roman" w:hAnsi="Times New Roman" w:cs="Times New Roman"/>
                      <w:b/>
                      <w:bCs/>
                      <w:color w:val="auto"/>
                      <w:sz w:val="21"/>
                      <w:szCs w:val="21"/>
                    </w:rPr>
                    <w:t>ug</w:t>
                  </w:r>
                  <w:r>
                    <w:rPr>
                      <w:rFonts w:hint="default" w:ascii="Times New Roman" w:hAnsi="Times New Roman" w:cs="Times New Roman"/>
                      <w:b/>
                      <w:color w:val="auto"/>
                      <w:sz w:val="21"/>
                      <w:szCs w:val="21"/>
                      <w:lang w:val="en-US" w:eastAsia="zh-CN"/>
                    </w:rPr>
                    <w:t>/m</w:t>
                  </w:r>
                  <w:r>
                    <w:rPr>
                      <w:rFonts w:hint="default" w:ascii="Times New Roman" w:hAnsi="Times New Roman" w:cs="Times New Roman"/>
                      <w:b/>
                      <w:color w:val="auto"/>
                      <w:sz w:val="21"/>
                      <w:szCs w:val="21"/>
                      <w:vertAlign w:val="superscript"/>
                      <w:lang w:val="en-US" w:eastAsia="zh-CN"/>
                    </w:rPr>
                    <w:t>3</w:t>
                  </w:r>
                  <w:r>
                    <w:rPr>
                      <w:rFonts w:hint="default" w:ascii="Times New Roman" w:hAnsi="Times New Roman" w:cs="Times New Roman"/>
                      <w:b/>
                      <w:color w:val="auto"/>
                      <w:sz w:val="21"/>
                      <w:szCs w:val="21"/>
                      <w:lang w:val="en-US" w:eastAsia="zh-CN"/>
                    </w:rPr>
                    <w:t>）</w:t>
                  </w:r>
                </w:p>
              </w:tc>
              <w:tc>
                <w:tcPr>
                  <w:tcW w:w="1647" w:type="pct"/>
                  <w:noWrap w:val="0"/>
                  <w:vAlign w:val="center"/>
                </w:tcPr>
                <w:p w14:paraId="7D09953E">
                  <w:pPr>
                    <w:pStyle w:val="74"/>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lang w:val="en-US" w:eastAsia="zh-CN"/>
                    </w:rPr>
                    <w:t>标准来源</w:t>
                  </w:r>
                </w:p>
              </w:tc>
              <w:tc>
                <w:tcPr>
                  <w:tcW w:w="589" w:type="pct"/>
                  <w:noWrap w:val="0"/>
                  <w:vAlign w:val="center"/>
                </w:tcPr>
                <w:p w14:paraId="01CCEE20">
                  <w:pPr>
                    <w:pStyle w:val="74"/>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lang w:val="en-US" w:eastAsia="zh-CN"/>
                    </w:rPr>
                    <w:t>达标分析</w:t>
                  </w:r>
                </w:p>
              </w:tc>
            </w:tr>
            <w:tr w14:paraId="422EFD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12" w:type="pct"/>
                  <w:noWrap w:val="0"/>
                  <w:vAlign w:val="center"/>
                </w:tcPr>
                <w:p w14:paraId="058D74D9">
                  <w:pPr>
                    <w:pStyle w:val="74"/>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ì." w:cs="Times New Roman"/>
                      <w:bCs/>
                      <w:color w:val="auto"/>
                      <w:sz w:val="21"/>
                      <w:szCs w:val="21"/>
                      <w:lang w:val="en-US" w:eastAsia="zh-CN"/>
                    </w:rPr>
                  </w:pPr>
                  <w:r>
                    <w:rPr>
                      <w:rFonts w:hint="eastAsia" w:ascii="Times New Roman" w:hAnsi="Times New Roman" w:cs="Times New Roman"/>
                      <w:bCs/>
                      <w:color w:val="auto"/>
                      <w:sz w:val="21"/>
                      <w:szCs w:val="21"/>
                      <w:lang w:val="en-US" w:eastAsia="zh-CN"/>
                    </w:rPr>
                    <w:t>非甲烷总烃</w:t>
                  </w:r>
                </w:p>
              </w:tc>
              <w:tc>
                <w:tcPr>
                  <w:tcW w:w="947" w:type="pct"/>
                  <w:noWrap w:val="0"/>
                  <w:vAlign w:val="center"/>
                </w:tcPr>
                <w:p w14:paraId="70F2EC5D">
                  <w:pPr>
                    <w:pStyle w:val="74"/>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ì." w:cs="Times New Roman"/>
                      <w:bCs/>
                      <w:color w:val="auto"/>
                      <w:kern w:val="2"/>
                      <w:sz w:val="21"/>
                      <w:szCs w:val="21"/>
                      <w:lang w:val="en-US" w:eastAsia="zh-CN"/>
                    </w:rPr>
                  </w:pPr>
                  <w:r>
                    <w:rPr>
                      <w:rFonts w:hint="default" w:ascii="Times New Roman" w:hAnsi="Times New Roman" w:eastAsia="..ì." w:cs="Times New Roman"/>
                      <w:bCs/>
                      <w:color w:val="auto"/>
                      <w:kern w:val="2"/>
                      <w:sz w:val="21"/>
                      <w:szCs w:val="21"/>
                      <w:lang w:val="en-US" w:eastAsia="zh-CN"/>
                    </w:rPr>
                    <w:t>472.78</w:t>
                  </w:r>
                </w:p>
              </w:tc>
              <w:tc>
                <w:tcPr>
                  <w:tcW w:w="1003" w:type="pct"/>
                  <w:noWrap w:val="0"/>
                  <w:vAlign w:val="center"/>
                </w:tcPr>
                <w:p w14:paraId="7B57038B">
                  <w:pPr>
                    <w:pStyle w:val="74"/>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4000</w:t>
                  </w:r>
                </w:p>
              </w:tc>
              <w:tc>
                <w:tcPr>
                  <w:tcW w:w="1647" w:type="pct"/>
                  <w:noWrap w:val="0"/>
                  <w:vAlign w:val="center"/>
                </w:tcPr>
                <w:p w14:paraId="1519C19D">
                  <w:pPr>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《加油站大气污染物排放标准》（GB20952-2020）</w:t>
                  </w:r>
                </w:p>
              </w:tc>
              <w:tc>
                <w:tcPr>
                  <w:tcW w:w="589" w:type="pct"/>
                  <w:noWrap w:val="0"/>
                  <w:vAlign w:val="center"/>
                </w:tcPr>
                <w:p w14:paraId="7C087DE5">
                  <w:pPr>
                    <w:pStyle w:val="74"/>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达标</w:t>
                  </w:r>
                </w:p>
              </w:tc>
            </w:tr>
          </w:tbl>
          <w:p w14:paraId="6E222101">
            <w:pPr>
              <w:pStyle w:val="54"/>
              <w:keepNext w:val="0"/>
              <w:keepLines w:val="0"/>
              <w:pageBreakBefore w:val="0"/>
              <w:widowControl w:val="0"/>
              <w:numPr>
                <w:ilvl w:val="0"/>
                <w:numId w:val="0"/>
              </w:numPr>
              <w:tabs>
                <w:tab w:val="left" w:pos="7821"/>
              </w:tabs>
              <w:kinsoku/>
              <w:wordWrap/>
              <w:overflowPunct/>
              <w:topLinePunct w:val="0"/>
              <w:autoSpaceDE/>
              <w:autoSpaceDN/>
              <w:bidi w:val="0"/>
              <w:adjustRightInd/>
              <w:snapToGrid/>
              <w:ind w:leftChars="0" w:firstLine="480" w:firstLineChars="200"/>
              <w:jc w:val="left"/>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综上所述，本项目无组织废气污染物排放满足相应排放标准限值要求。因此，项目在正常生产情况下，生产废气可以做到达标排放，对周边环境影响较小。</w:t>
            </w:r>
          </w:p>
          <w:p w14:paraId="3C87BEF8">
            <w:pPr>
              <w:pStyle w:val="54"/>
              <w:numPr>
                <w:ilvl w:val="0"/>
                <w:numId w:val="0"/>
              </w:numPr>
              <w:tabs>
                <w:tab w:val="left" w:pos="7821"/>
              </w:tabs>
              <w:ind w:leftChars="200"/>
              <w:rPr>
                <w:rFonts w:hint="eastAsia" w:ascii="Times New Roman" w:hAnsi="Times New Roman" w:eastAsia="宋体" w:cs="Times New Roman"/>
                <w:b/>
                <w:bCs/>
                <w:sz w:val="24"/>
              </w:rPr>
            </w:pPr>
            <w:r>
              <w:rPr>
                <w:rFonts w:hint="eastAsia" w:ascii="Times New Roman" w:hAnsi="Times New Roman" w:eastAsia="宋体" w:cs="Times New Roman"/>
                <w:b/>
                <w:bCs/>
                <w:sz w:val="24"/>
                <w:lang w:eastAsia="zh-CN"/>
              </w:rPr>
              <w:t>（</w:t>
            </w:r>
            <w:r>
              <w:rPr>
                <w:rFonts w:hint="eastAsia" w:ascii="Times New Roman" w:hAnsi="Times New Roman" w:eastAsia="宋体" w:cs="Times New Roman"/>
                <w:b/>
                <w:bCs/>
                <w:sz w:val="24"/>
                <w:lang w:val="en-US" w:eastAsia="zh-CN"/>
              </w:rPr>
              <w:t>4</w:t>
            </w:r>
            <w:r>
              <w:rPr>
                <w:rFonts w:hint="eastAsia" w:ascii="Times New Roman" w:hAnsi="Times New Roman" w:eastAsia="宋体" w:cs="Times New Roman"/>
                <w:b/>
                <w:bCs/>
                <w:sz w:val="24"/>
                <w:lang w:eastAsia="zh-CN"/>
              </w:rPr>
              <w:t>）</w:t>
            </w:r>
            <w:r>
              <w:rPr>
                <w:rFonts w:hint="eastAsia" w:ascii="Times New Roman" w:hAnsi="Times New Roman" w:eastAsia="宋体" w:cs="Times New Roman"/>
                <w:b/>
                <w:bCs/>
                <w:sz w:val="24"/>
              </w:rPr>
              <w:t>废气监测要求</w:t>
            </w:r>
          </w:p>
          <w:p w14:paraId="7754409E">
            <w:pPr>
              <w:pStyle w:val="54"/>
              <w:keepNext w:val="0"/>
              <w:keepLines w:val="0"/>
              <w:pageBreakBefore w:val="0"/>
              <w:widowControl w:val="0"/>
              <w:numPr>
                <w:ilvl w:val="0"/>
                <w:numId w:val="0"/>
              </w:numPr>
              <w:tabs>
                <w:tab w:val="left" w:pos="7821"/>
              </w:tabs>
              <w:kinsoku/>
              <w:wordWrap/>
              <w:overflowPunct/>
              <w:topLinePunct w:val="0"/>
              <w:autoSpaceDE/>
              <w:autoSpaceDN/>
              <w:bidi w:val="0"/>
              <w:adjustRightInd/>
              <w:snapToGrid/>
              <w:ind w:leftChars="0"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根据《排污单位自行监测技术指南 储油库、加油站》（HJ1249-2022）</w:t>
            </w:r>
            <w:r>
              <w:rPr>
                <w:rFonts w:hint="eastAsia" w:cs="Times New Roman"/>
                <w:color w:val="auto"/>
                <w:kern w:val="2"/>
                <w:sz w:val="24"/>
                <w:szCs w:val="24"/>
                <w:lang w:val="en-US" w:eastAsia="zh-CN" w:bidi="ar-SA"/>
              </w:rPr>
              <w:t>的要求</w:t>
            </w:r>
            <w:r>
              <w:rPr>
                <w:rFonts w:hint="eastAsia"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lang w:val="en-US" w:eastAsia="zh-CN" w:bidi="ar-SA"/>
              </w:rPr>
              <w:t>本项目</w:t>
            </w:r>
            <w:r>
              <w:rPr>
                <w:rFonts w:hint="eastAsia" w:ascii="Times New Roman" w:hAnsi="Times New Roman" w:eastAsia="宋体" w:cs="Times New Roman"/>
                <w:color w:val="auto"/>
                <w:kern w:val="2"/>
                <w:sz w:val="24"/>
                <w:szCs w:val="24"/>
                <w:lang w:val="en-US" w:eastAsia="zh-CN" w:bidi="ar-SA"/>
              </w:rPr>
              <w:t>废气污染源监测计划详见表4</w:t>
            </w:r>
            <w:r>
              <w:rPr>
                <w:rFonts w:hint="eastAsia" w:cs="Times New Roman"/>
                <w:color w:val="auto"/>
                <w:kern w:val="2"/>
                <w:sz w:val="24"/>
                <w:szCs w:val="24"/>
                <w:lang w:val="en-US" w:eastAsia="zh-CN" w:bidi="ar-SA"/>
              </w:rPr>
              <w:t>.1</w:t>
            </w:r>
            <w:r>
              <w:rPr>
                <w:rFonts w:hint="eastAsia"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lang w:val="en-US" w:eastAsia="zh-CN" w:bidi="ar-SA"/>
              </w:rPr>
              <w:t>8</w:t>
            </w:r>
            <w:r>
              <w:rPr>
                <w:rFonts w:hint="eastAsia" w:ascii="Times New Roman" w:hAnsi="Times New Roman" w:eastAsia="宋体" w:cs="Times New Roman"/>
                <w:color w:val="auto"/>
                <w:kern w:val="2"/>
                <w:sz w:val="24"/>
                <w:szCs w:val="24"/>
                <w:lang w:val="en-US" w:eastAsia="zh-CN" w:bidi="ar-SA"/>
              </w:rPr>
              <w:t>。</w:t>
            </w:r>
          </w:p>
          <w:p w14:paraId="5C0F5C2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b/>
                <w:sz w:val="21"/>
                <w:szCs w:val="21"/>
                <w:lang w:val="zh-CN"/>
              </w:rPr>
            </w:pPr>
            <w:r>
              <w:rPr>
                <w:b/>
                <w:sz w:val="21"/>
                <w:szCs w:val="21"/>
                <w:lang w:val="zh-CN"/>
              </w:rPr>
              <w:t>表</w:t>
            </w:r>
            <w:r>
              <w:rPr>
                <w:rFonts w:hint="eastAsia"/>
                <w:b/>
                <w:sz w:val="21"/>
                <w:szCs w:val="21"/>
              </w:rPr>
              <w:t>4</w:t>
            </w:r>
            <w:r>
              <w:rPr>
                <w:rFonts w:hint="eastAsia"/>
                <w:b/>
                <w:sz w:val="21"/>
                <w:szCs w:val="21"/>
                <w:lang w:val="en-US" w:eastAsia="zh-CN"/>
              </w:rPr>
              <w:t>.1</w:t>
            </w:r>
            <w:r>
              <w:rPr>
                <w:rFonts w:hint="eastAsia"/>
                <w:b/>
                <w:sz w:val="21"/>
                <w:szCs w:val="21"/>
              </w:rPr>
              <w:t>-</w:t>
            </w:r>
            <w:r>
              <w:rPr>
                <w:rFonts w:hint="eastAsia"/>
                <w:b/>
                <w:sz w:val="21"/>
                <w:szCs w:val="21"/>
                <w:lang w:val="en-US" w:eastAsia="zh-CN"/>
              </w:rPr>
              <w:t>8</w:t>
            </w:r>
            <w:r>
              <w:rPr>
                <w:b/>
                <w:sz w:val="21"/>
                <w:szCs w:val="21"/>
                <w:lang w:val="zh-CN"/>
              </w:rPr>
              <w:t xml:space="preserve">   </w:t>
            </w:r>
            <w:r>
              <w:rPr>
                <w:rFonts w:hint="eastAsia"/>
                <w:b/>
                <w:sz w:val="21"/>
                <w:szCs w:val="21"/>
                <w:lang w:val="en-US" w:eastAsia="zh-CN"/>
              </w:rPr>
              <w:t>项目</w:t>
            </w:r>
            <w:r>
              <w:rPr>
                <w:rFonts w:hint="eastAsia"/>
                <w:b/>
                <w:sz w:val="21"/>
                <w:szCs w:val="21"/>
                <w:lang w:val="zh-CN"/>
              </w:rPr>
              <w:t>废气污染源</w:t>
            </w:r>
            <w:r>
              <w:rPr>
                <w:b/>
                <w:sz w:val="21"/>
                <w:szCs w:val="21"/>
                <w:lang w:val="zh-CN"/>
              </w:rPr>
              <w:t>监测计划</w:t>
            </w:r>
          </w:p>
          <w:tbl>
            <w:tblPr>
              <w:tblStyle w:val="35"/>
              <w:tblpPr w:leftFromText="180" w:rightFromText="180" w:vertAnchor="text" w:horzAnchor="margin" w:tblpXSpec="center" w:tblpY="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
            <w:tblGrid>
              <w:gridCol w:w="904"/>
              <w:gridCol w:w="2182"/>
              <w:gridCol w:w="1309"/>
              <w:gridCol w:w="1101"/>
              <w:gridCol w:w="1913"/>
              <w:gridCol w:w="1874"/>
            </w:tblGrid>
            <w:tr w14:paraId="0D095ECC">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0" w:hRule="atLeast"/>
                <w:jc w:val="center"/>
              </w:trPr>
              <w:tc>
                <w:tcPr>
                  <w:tcW w:w="904" w:type="dxa"/>
                  <w:tcBorders>
                    <w:tl2br w:val="nil"/>
                    <w:tr2bl w:val="nil"/>
                  </w:tcBorders>
                  <w:noWrap w:val="0"/>
                  <w:vAlign w:val="center"/>
                </w:tcPr>
                <w:p w14:paraId="467173C0">
                  <w:pPr>
                    <w:pStyle w:val="11"/>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b/>
                      <w:sz w:val="21"/>
                      <w:szCs w:val="21"/>
                    </w:rPr>
                  </w:pPr>
                  <w:r>
                    <w:rPr>
                      <w:rFonts w:ascii="Times New Roman" w:hAnsi="Times New Roman"/>
                      <w:b/>
                      <w:sz w:val="21"/>
                      <w:szCs w:val="21"/>
                    </w:rPr>
                    <w:t>阶段</w:t>
                  </w:r>
                </w:p>
              </w:tc>
              <w:tc>
                <w:tcPr>
                  <w:tcW w:w="2182" w:type="dxa"/>
                  <w:tcBorders>
                    <w:tl2br w:val="nil"/>
                    <w:tr2bl w:val="nil"/>
                  </w:tcBorders>
                  <w:noWrap w:val="0"/>
                  <w:vAlign w:val="center"/>
                </w:tcPr>
                <w:p w14:paraId="08D08D51">
                  <w:pPr>
                    <w:pStyle w:val="11"/>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b/>
                      <w:sz w:val="21"/>
                      <w:szCs w:val="21"/>
                    </w:rPr>
                  </w:pPr>
                  <w:r>
                    <w:rPr>
                      <w:rFonts w:ascii="Times New Roman" w:hAnsi="Times New Roman"/>
                      <w:b/>
                      <w:sz w:val="21"/>
                      <w:szCs w:val="21"/>
                    </w:rPr>
                    <w:t>监测</w:t>
                  </w:r>
                  <w:r>
                    <w:rPr>
                      <w:rFonts w:hint="eastAsia" w:ascii="Times New Roman" w:hAnsi="Times New Roman"/>
                      <w:b/>
                      <w:sz w:val="21"/>
                      <w:szCs w:val="21"/>
                    </w:rPr>
                    <w:t>点位</w:t>
                  </w:r>
                </w:p>
              </w:tc>
              <w:tc>
                <w:tcPr>
                  <w:tcW w:w="1309" w:type="dxa"/>
                  <w:tcBorders>
                    <w:tl2br w:val="nil"/>
                    <w:tr2bl w:val="nil"/>
                  </w:tcBorders>
                  <w:noWrap w:val="0"/>
                  <w:vAlign w:val="center"/>
                </w:tcPr>
                <w:p w14:paraId="3652C65D">
                  <w:pPr>
                    <w:pStyle w:val="11"/>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b/>
                      <w:sz w:val="21"/>
                      <w:szCs w:val="21"/>
                    </w:rPr>
                  </w:pPr>
                  <w:r>
                    <w:rPr>
                      <w:rFonts w:ascii="Times New Roman" w:hAnsi="Times New Roman"/>
                      <w:b/>
                      <w:sz w:val="21"/>
                      <w:szCs w:val="21"/>
                    </w:rPr>
                    <w:t>监测</w:t>
                  </w:r>
                  <w:r>
                    <w:rPr>
                      <w:rFonts w:hint="eastAsia" w:ascii="Times New Roman" w:hAnsi="Times New Roman"/>
                      <w:b/>
                      <w:sz w:val="21"/>
                      <w:szCs w:val="21"/>
                    </w:rPr>
                    <w:t>因子</w:t>
                  </w:r>
                </w:p>
              </w:tc>
              <w:tc>
                <w:tcPr>
                  <w:tcW w:w="1101" w:type="dxa"/>
                  <w:tcBorders>
                    <w:tl2br w:val="nil"/>
                    <w:tr2bl w:val="nil"/>
                  </w:tcBorders>
                  <w:noWrap w:val="0"/>
                  <w:vAlign w:val="center"/>
                </w:tcPr>
                <w:p w14:paraId="42AE73A7">
                  <w:pPr>
                    <w:pStyle w:val="11"/>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b/>
                      <w:sz w:val="21"/>
                      <w:szCs w:val="21"/>
                    </w:rPr>
                  </w:pPr>
                  <w:r>
                    <w:rPr>
                      <w:rFonts w:ascii="Times New Roman" w:hAnsi="Times New Roman"/>
                      <w:b/>
                      <w:sz w:val="21"/>
                      <w:szCs w:val="21"/>
                    </w:rPr>
                    <w:t>监测频</w:t>
                  </w:r>
                  <w:r>
                    <w:rPr>
                      <w:rFonts w:hint="eastAsia" w:ascii="Times New Roman" w:hAnsi="Times New Roman"/>
                      <w:b/>
                      <w:sz w:val="21"/>
                      <w:szCs w:val="21"/>
                    </w:rPr>
                    <w:t>次</w:t>
                  </w:r>
                </w:p>
              </w:tc>
              <w:tc>
                <w:tcPr>
                  <w:tcW w:w="1912" w:type="dxa"/>
                  <w:tcBorders>
                    <w:tl2br w:val="nil"/>
                    <w:tr2bl w:val="nil"/>
                  </w:tcBorders>
                  <w:noWrap w:val="0"/>
                  <w:vAlign w:val="center"/>
                </w:tcPr>
                <w:p w14:paraId="78416F65">
                  <w:pPr>
                    <w:pStyle w:val="11"/>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b/>
                      <w:sz w:val="21"/>
                      <w:szCs w:val="21"/>
                    </w:rPr>
                  </w:pPr>
                  <w:r>
                    <w:rPr>
                      <w:rFonts w:ascii="Times New Roman" w:hAnsi="Times New Roman"/>
                      <w:b/>
                      <w:sz w:val="21"/>
                      <w:szCs w:val="21"/>
                    </w:rPr>
                    <w:t>实施机构</w:t>
                  </w:r>
                </w:p>
              </w:tc>
              <w:tc>
                <w:tcPr>
                  <w:tcW w:w="1873" w:type="dxa"/>
                  <w:tcBorders>
                    <w:tl2br w:val="nil"/>
                    <w:tr2bl w:val="nil"/>
                  </w:tcBorders>
                  <w:noWrap w:val="0"/>
                  <w:vAlign w:val="center"/>
                </w:tcPr>
                <w:p w14:paraId="68D843AD">
                  <w:pPr>
                    <w:pStyle w:val="11"/>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b/>
                      <w:sz w:val="21"/>
                      <w:szCs w:val="21"/>
                    </w:rPr>
                  </w:pPr>
                  <w:r>
                    <w:rPr>
                      <w:rFonts w:hint="eastAsia" w:ascii="Times New Roman" w:hAnsi="Times New Roman"/>
                      <w:b/>
                      <w:sz w:val="21"/>
                      <w:szCs w:val="21"/>
                    </w:rPr>
                    <w:t>执行标准</w:t>
                  </w:r>
                </w:p>
              </w:tc>
            </w:tr>
            <w:tr w14:paraId="5B324D81">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0" w:hRule="atLeast"/>
                <w:jc w:val="center"/>
              </w:trPr>
              <w:tc>
                <w:tcPr>
                  <w:tcW w:w="904" w:type="dxa"/>
                  <w:vMerge w:val="restart"/>
                  <w:tcBorders>
                    <w:tl2br w:val="nil"/>
                    <w:tr2bl w:val="nil"/>
                  </w:tcBorders>
                  <w:noWrap w:val="0"/>
                  <w:vAlign w:val="center"/>
                </w:tcPr>
                <w:p w14:paraId="7ADC5251">
                  <w:pPr>
                    <w:pStyle w:val="11"/>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sz w:val="21"/>
                      <w:szCs w:val="21"/>
                    </w:rPr>
                  </w:pPr>
                  <w:r>
                    <w:rPr>
                      <w:rFonts w:ascii="Times New Roman" w:hAnsi="Times New Roman"/>
                      <w:sz w:val="21"/>
                      <w:szCs w:val="21"/>
                    </w:rPr>
                    <w:t>运营期</w:t>
                  </w:r>
                </w:p>
              </w:tc>
              <w:tc>
                <w:tcPr>
                  <w:tcW w:w="2182" w:type="dxa"/>
                  <w:tcBorders>
                    <w:tl2br w:val="nil"/>
                    <w:tr2bl w:val="nil"/>
                  </w:tcBorders>
                  <w:noWrap w:val="0"/>
                  <w:vAlign w:val="center"/>
                </w:tcPr>
                <w:p w14:paraId="121A96ED">
                  <w:pPr>
                    <w:pStyle w:val="11"/>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sz w:val="21"/>
                      <w:szCs w:val="21"/>
                      <w:lang w:val="en-US" w:eastAsia="zh-CN"/>
                    </w:rPr>
                    <w:t>油气回收系统密闭点</w:t>
                  </w:r>
                </w:p>
              </w:tc>
              <w:tc>
                <w:tcPr>
                  <w:tcW w:w="1309" w:type="dxa"/>
                  <w:tcBorders>
                    <w:tl2br w:val="nil"/>
                    <w:tr2bl w:val="nil"/>
                  </w:tcBorders>
                  <w:noWrap w:val="0"/>
                  <w:vAlign w:val="center"/>
                </w:tcPr>
                <w:p w14:paraId="7FC4C0ED">
                  <w:pPr>
                    <w:pStyle w:val="11"/>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bCs/>
                      <w:sz w:val="21"/>
                      <w:szCs w:val="21"/>
                    </w:rPr>
                  </w:pPr>
                  <w:r>
                    <w:rPr>
                      <w:rFonts w:hint="eastAsia" w:ascii="宋体" w:hAnsi="宋体" w:eastAsia="宋体" w:cs="宋体"/>
                      <w:color w:val="000000"/>
                      <w:kern w:val="0"/>
                      <w:sz w:val="21"/>
                      <w:szCs w:val="21"/>
                      <w:lang w:val="en-US" w:eastAsia="zh-CN" w:bidi="ar"/>
                    </w:rPr>
                    <w:t>泄漏检测值</w:t>
                  </w:r>
                </w:p>
              </w:tc>
              <w:tc>
                <w:tcPr>
                  <w:tcW w:w="1101" w:type="dxa"/>
                  <w:tcBorders>
                    <w:tl2br w:val="nil"/>
                    <w:tr2bl w:val="nil"/>
                  </w:tcBorders>
                  <w:noWrap w:val="0"/>
                  <w:vAlign w:val="center"/>
                </w:tcPr>
                <w:p w14:paraId="7AE4EFCC">
                  <w:pPr>
                    <w:pStyle w:val="11"/>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bCs/>
                      <w:sz w:val="21"/>
                      <w:szCs w:val="21"/>
                      <w:lang w:val="en-US" w:eastAsia="zh-CN"/>
                    </w:rPr>
                  </w:pPr>
                  <w:r>
                    <w:rPr>
                      <w:rFonts w:ascii="Times New Roman" w:hAnsi="Times New Roman"/>
                      <w:sz w:val="21"/>
                      <w:szCs w:val="21"/>
                    </w:rPr>
                    <w:t>1次/</w:t>
                  </w:r>
                  <w:r>
                    <w:rPr>
                      <w:rFonts w:hint="eastAsia" w:ascii="Times New Roman" w:hAnsi="Times New Roman"/>
                      <w:sz w:val="21"/>
                      <w:szCs w:val="21"/>
                      <w:lang w:val="en-US" w:eastAsia="zh-CN"/>
                    </w:rPr>
                    <w:t>年</w:t>
                  </w:r>
                </w:p>
              </w:tc>
              <w:tc>
                <w:tcPr>
                  <w:tcW w:w="1912" w:type="dxa"/>
                  <w:vMerge w:val="restart"/>
                  <w:tcBorders>
                    <w:tl2br w:val="nil"/>
                    <w:tr2bl w:val="nil"/>
                  </w:tcBorders>
                  <w:noWrap w:val="0"/>
                  <w:vAlign w:val="center"/>
                </w:tcPr>
                <w:p w14:paraId="4DD07174">
                  <w:pPr>
                    <w:pStyle w:val="11"/>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sz w:val="21"/>
                      <w:szCs w:val="21"/>
                    </w:rPr>
                  </w:pPr>
                  <w:r>
                    <w:rPr>
                      <w:rFonts w:ascii="Times New Roman" w:hAnsi="Times New Roman"/>
                      <w:sz w:val="21"/>
                      <w:szCs w:val="21"/>
                    </w:rPr>
                    <w:t>有资质的监测单位</w:t>
                  </w:r>
                </w:p>
              </w:tc>
              <w:tc>
                <w:tcPr>
                  <w:tcW w:w="1873" w:type="dxa"/>
                  <w:vMerge w:val="restart"/>
                  <w:tcBorders>
                    <w:tl2br w:val="nil"/>
                    <w:tr2bl w:val="nil"/>
                  </w:tcBorders>
                  <w:noWrap w:val="0"/>
                  <w:vAlign w:val="center"/>
                </w:tcPr>
                <w:p w14:paraId="39605410">
                  <w:pPr>
                    <w:pStyle w:val="11"/>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sz w:val="21"/>
                      <w:szCs w:val="21"/>
                    </w:rPr>
                  </w:pPr>
                  <w:r>
                    <w:rPr>
                      <w:rFonts w:hint="default" w:ascii="Times New Roman" w:hAnsi="Times New Roman"/>
                      <w:sz w:val="21"/>
                      <w:szCs w:val="21"/>
                      <w:lang w:val="en-US" w:eastAsia="zh-CN"/>
                    </w:rPr>
                    <w:t>《加油站大气污染物排放标准》（GB20952-2020）</w:t>
                  </w:r>
                </w:p>
              </w:tc>
            </w:tr>
            <w:tr w14:paraId="5D8787BB">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0" w:hRule="atLeast"/>
                <w:jc w:val="center"/>
              </w:trPr>
              <w:tc>
                <w:tcPr>
                  <w:tcW w:w="904" w:type="dxa"/>
                  <w:vMerge w:val="continue"/>
                  <w:tcBorders>
                    <w:tl2br w:val="nil"/>
                    <w:tr2bl w:val="nil"/>
                  </w:tcBorders>
                  <w:noWrap w:val="0"/>
                  <w:vAlign w:val="center"/>
                </w:tcPr>
                <w:p w14:paraId="775A5FEF">
                  <w:pPr>
                    <w:pStyle w:val="11"/>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sz w:val="21"/>
                      <w:szCs w:val="21"/>
                    </w:rPr>
                  </w:pPr>
                </w:p>
              </w:tc>
              <w:tc>
                <w:tcPr>
                  <w:tcW w:w="2182" w:type="dxa"/>
                  <w:vMerge w:val="restart"/>
                  <w:tcBorders>
                    <w:tl2br w:val="nil"/>
                    <w:tr2bl w:val="nil"/>
                  </w:tcBorders>
                  <w:noWrap w:val="0"/>
                  <w:vAlign w:val="center"/>
                </w:tcPr>
                <w:p w14:paraId="69436720">
                  <w:pPr>
                    <w:pStyle w:val="11"/>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sz w:val="21"/>
                      <w:szCs w:val="21"/>
                      <w:lang w:eastAsia="zh-CN"/>
                    </w:rPr>
                  </w:pPr>
                  <w:r>
                    <w:rPr>
                      <w:rFonts w:hint="eastAsia" w:ascii="Times New Roman" w:hAnsi="Times New Roman" w:eastAsia="宋体"/>
                      <w:sz w:val="21"/>
                      <w:szCs w:val="21"/>
                      <w:lang w:val="en-US" w:eastAsia="zh-CN"/>
                    </w:rPr>
                    <w:t>加油油气回收立管</w:t>
                  </w:r>
                </w:p>
              </w:tc>
              <w:tc>
                <w:tcPr>
                  <w:tcW w:w="1309" w:type="dxa"/>
                  <w:tcBorders>
                    <w:tl2br w:val="nil"/>
                    <w:tr2bl w:val="nil"/>
                  </w:tcBorders>
                  <w:noWrap w:val="0"/>
                  <w:vAlign w:val="center"/>
                </w:tcPr>
                <w:p w14:paraId="4D65BC6A">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auto"/>
                    <w:rPr>
                      <w:rFonts w:ascii="Times New Roman" w:hAnsi="Times New Roman"/>
                      <w:sz w:val="21"/>
                      <w:szCs w:val="21"/>
                    </w:rPr>
                  </w:pPr>
                  <w:r>
                    <w:rPr>
                      <w:rFonts w:hint="eastAsia" w:ascii="Times New Roman" w:hAnsi="Times New Roman"/>
                      <w:sz w:val="21"/>
                      <w:szCs w:val="21"/>
                      <w:lang w:val="en-US" w:eastAsia="zh-CN"/>
                    </w:rPr>
                    <w:t>液阻</w:t>
                  </w:r>
                </w:p>
              </w:tc>
              <w:tc>
                <w:tcPr>
                  <w:tcW w:w="1101" w:type="dxa"/>
                  <w:tcBorders>
                    <w:tl2br w:val="nil"/>
                    <w:tr2bl w:val="nil"/>
                  </w:tcBorders>
                  <w:noWrap w:val="0"/>
                  <w:vAlign w:val="center"/>
                </w:tcPr>
                <w:p w14:paraId="239D8155">
                  <w:pPr>
                    <w:pStyle w:val="11"/>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sz w:val="21"/>
                      <w:szCs w:val="21"/>
                    </w:rPr>
                  </w:pPr>
                  <w:r>
                    <w:rPr>
                      <w:rFonts w:ascii="Times New Roman" w:hAnsi="Times New Roman"/>
                      <w:sz w:val="21"/>
                      <w:szCs w:val="21"/>
                    </w:rPr>
                    <w:t>1次/</w:t>
                  </w:r>
                  <w:r>
                    <w:rPr>
                      <w:rFonts w:hint="eastAsia" w:ascii="Times New Roman" w:hAnsi="Times New Roman"/>
                      <w:sz w:val="21"/>
                      <w:szCs w:val="21"/>
                      <w:lang w:val="en-US" w:eastAsia="zh-CN"/>
                    </w:rPr>
                    <w:t>年</w:t>
                  </w:r>
                </w:p>
              </w:tc>
              <w:tc>
                <w:tcPr>
                  <w:tcW w:w="1912" w:type="dxa"/>
                  <w:vMerge w:val="continue"/>
                  <w:tcBorders>
                    <w:tl2br w:val="nil"/>
                    <w:tr2bl w:val="nil"/>
                  </w:tcBorders>
                  <w:noWrap w:val="0"/>
                  <w:vAlign w:val="center"/>
                </w:tcPr>
                <w:p w14:paraId="05EB4B18">
                  <w:pPr>
                    <w:pStyle w:val="11"/>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sz w:val="21"/>
                      <w:szCs w:val="21"/>
                    </w:rPr>
                  </w:pPr>
                </w:p>
              </w:tc>
              <w:tc>
                <w:tcPr>
                  <w:tcW w:w="1873" w:type="dxa"/>
                  <w:vMerge w:val="continue"/>
                  <w:tcBorders>
                    <w:tl2br w:val="nil"/>
                    <w:tr2bl w:val="nil"/>
                  </w:tcBorders>
                  <w:noWrap w:val="0"/>
                  <w:vAlign w:val="center"/>
                </w:tcPr>
                <w:p w14:paraId="6EE2E014">
                  <w:pPr>
                    <w:pStyle w:val="11"/>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sz w:val="21"/>
                      <w:szCs w:val="21"/>
                    </w:rPr>
                  </w:pPr>
                </w:p>
              </w:tc>
            </w:tr>
            <w:tr w14:paraId="4779DB73">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0" w:hRule="atLeast"/>
                <w:jc w:val="center"/>
              </w:trPr>
              <w:tc>
                <w:tcPr>
                  <w:tcW w:w="904" w:type="dxa"/>
                  <w:vMerge w:val="continue"/>
                  <w:tcBorders>
                    <w:tl2br w:val="nil"/>
                    <w:tr2bl w:val="nil"/>
                  </w:tcBorders>
                  <w:noWrap w:val="0"/>
                  <w:vAlign w:val="center"/>
                </w:tcPr>
                <w:p w14:paraId="6C2941A9">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auto"/>
                  </w:pPr>
                </w:p>
              </w:tc>
              <w:tc>
                <w:tcPr>
                  <w:tcW w:w="2182" w:type="dxa"/>
                  <w:vMerge w:val="continue"/>
                  <w:tcBorders>
                    <w:tl2br w:val="nil"/>
                    <w:tr2bl w:val="nil"/>
                  </w:tcBorders>
                  <w:noWrap w:val="0"/>
                  <w:vAlign w:val="center"/>
                </w:tcPr>
                <w:p w14:paraId="750FC534">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auto"/>
                  </w:pPr>
                </w:p>
              </w:tc>
              <w:tc>
                <w:tcPr>
                  <w:tcW w:w="1309" w:type="dxa"/>
                  <w:tcBorders>
                    <w:tl2br w:val="nil"/>
                    <w:tr2bl w:val="nil"/>
                  </w:tcBorders>
                  <w:noWrap w:val="0"/>
                  <w:vAlign w:val="center"/>
                </w:tcPr>
                <w:p w14:paraId="75BEAFA2">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密闭性</w:t>
                  </w:r>
                </w:p>
              </w:tc>
              <w:tc>
                <w:tcPr>
                  <w:tcW w:w="1101" w:type="dxa"/>
                  <w:tcBorders>
                    <w:tl2br w:val="nil"/>
                    <w:tr2bl w:val="nil"/>
                  </w:tcBorders>
                  <w:noWrap w:val="0"/>
                  <w:vAlign w:val="center"/>
                </w:tcPr>
                <w:p w14:paraId="12C7EFF5">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宋体" w:hAnsi="宋体" w:eastAsia="宋体" w:cs="宋体"/>
                      <w:color w:val="000000"/>
                      <w:kern w:val="0"/>
                      <w:sz w:val="21"/>
                      <w:szCs w:val="21"/>
                      <w:lang w:val="en-US" w:eastAsia="zh-CN" w:bidi="ar"/>
                    </w:rPr>
                  </w:pPr>
                  <w:r>
                    <w:rPr>
                      <w:rFonts w:ascii="Times New Roman" w:hAnsi="Times New Roman"/>
                      <w:sz w:val="21"/>
                      <w:szCs w:val="21"/>
                    </w:rPr>
                    <w:t>1次/</w:t>
                  </w:r>
                  <w:r>
                    <w:rPr>
                      <w:rFonts w:hint="eastAsia" w:ascii="Times New Roman" w:hAnsi="Times New Roman"/>
                      <w:sz w:val="21"/>
                      <w:szCs w:val="21"/>
                      <w:lang w:val="en-US" w:eastAsia="zh-CN"/>
                    </w:rPr>
                    <w:t>年</w:t>
                  </w:r>
                </w:p>
              </w:tc>
              <w:tc>
                <w:tcPr>
                  <w:tcW w:w="1912" w:type="dxa"/>
                  <w:vMerge w:val="continue"/>
                  <w:tcBorders>
                    <w:tl2br w:val="nil"/>
                    <w:tr2bl w:val="nil"/>
                  </w:tcBorders>
                  <w:noWrap w:val="0"/>
                  <w:vAlign w:val="center"/>
                </w:tcPr>
                <w:p w14:paraId="728FD8E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宋体" w:hAnsi="宋体" w:eastAsia="宋体" w:cs="宋体"/>
                      <w:color w:val="000000"/>
                      <w:kern w:val="0"/>
                      <w:sz w:val="21"/>
                      <w:szCs w:val="21"/>
                      <w:lang w:val="en-US" w:eastAsia="zh-CN" w:bidi="ar"/>
                    </w:rPr>
                  </w:pPr>
                </w:p>
              </w:tc>
              <w:tc>
                <w:tcPr>
                  <w:tcW w:w="1873" w:type="dxa"/>
                  <w:vMerge w:val="continue"/>
                  <w:tcBorders>
                    <w:tl2br w:val="nil"/>
                    <w:tr2bl w:val="nil"/>
                  </w:tcBorders>
                  <w:noWrap w:val="0"/>
                  <w:vAlign w:val="center"/>
                </w:tcPr>
                <w:p w14:paraId="4CC11377">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宋体" w:hAnsi="宋体" w:eastAsia="宋体" w:cs="宋体"/>
                      <w:color w:val="000000"/>
                      <w:kern w:val="0"/>
                      <w:sz w:val="21"/>
                      <w:szCs w:val="21"/>
                      <w:lang w:val="en-US" w:eastAsia="zh-CN" w:bidi="ar"/>
                    </w:rPr>
                  </w:pPr>
                </w:p>
              </w:tc>
            </w:tr>
            <w:tr w14:paraId="3D4D743F">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0" w:hRule="atLeast"/>
                <w:jc w:val="center"/>
              </w:trPr>
              <w:tc>
                <w:tcPr>
                  <w:tcW w:w="904" w:type="dxa"/>
                  <w:vMerge w:val="continue"/>
                  <w:tcBorders>
                    <w:tl2br w:val="nil"/>
                    <w:tr2bl w:val="nil"/>
                  </w:tcBorders>
                  <w:noWrap w:val="0"/>
                  <w:vAlign w:val="center"/>
                </w:tcPr>
                <w:p w14:paraId="4A6ABDBF">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auto"/>
                  </w:pPr>
                </w:p>
              </w:tc>
              <w:tc>
                <w:tcPr>
                  <w:tcW w:w="2182" w:type="dxa"/>
                  <w:tcBorders>
                    <w:tl2br w:val="nil"/>
                    <w:tr2bl w:val="nil"/>
                  </w:tcBorders>
                  <w:noWrap w:val="0"/>
                  <w:vAlign w:val="center"/>
                </w:tcPr>
                <w:p w14:paraId="3533D204">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auto"/>
                  </w:pPr>
                  <w:r>
                    <w:rPr>
                      <w:rFonts w:hint="eastAsia" w:ascii="Times New Roman" w:hAnsi="Times New Roman" w:eastAsia="宋体" w:cs="Times New Roman"/>
                      <w:bCs/>
                      <w:kern w:val="44"/>
                      <w:sz w:val="21"/>
                      <w:szCs w:val="21"/>
                      <w:lang w:val="en-US" w:eastAsia="zh-CN" w:bidi="ar-SA"/>
                    </w:rPr>
                    <w:t>加油枪喷管</w:t>
                  </w:r>
                </w:p>
              </w:tc>
              <w:tc>
                <w:tcPr>
                  <w:tcW w:w="1309" w:type="dxa"/>
                  <w:tcBorders>
                    <w:tl2br w:val="nil"/>
                    <w:tr2bl w:val="nil"/>
                  </w:tcBorders>
                  <w:noWrap w:val="0"/>
                  <w:vAlign w:val="center"/>
                </w:tcPr>
                <w:p w14:paraId="530A3C17">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气液比</w:t>
                  </w:r>
                </w:p>
              </w:tc>
              <w:tc>
                <w:tcPr>
                  <w:tcW w:w="1101" w:type="dxa"/>
                  <w:tcBorders>
                    <w:tl2br w:val="nil"/>
                    <w:tr2bl w:val="nil"/>
                  </w:tcBorders>
                  <w:noWrap w:val="0"/>
                  <w:vAlign w:val="center"/>
                </w:tcPr>
                <w:p w14:paraId="67B125D2">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宋体" w:hAnsi="宋体" w:eastAsia="宋体" w:cs="宋体"/>
                      <w:color w:val="000000"/>
                      <w:kern w:val="0"/>
                      <w:sz w:val="21"/>
                      <w:szCs w:val="21"/>
                      <w:lang w:val="en-US" w:eastAsia="zh-CN" w:bidi="ar"/>
                    </w:rPr>
                  </w:pPr>
                  <w:r>
                    <w:rPr>
                      <w:rFonts w:ascii="Times New Roman" w:hAnsi="Times New Roman"/>
                      <w:sz w:val="21"/>
                      <w:szCs w:val="21"/>
                    </w:rPr>
                    <w:t>1次/</w:t>
                  </w:r>
                  <w:r>
                    <w:rPr>
                      <w:rFonts w:hint="eastAsia" w:ascii="Times New Roman" w:hAnsi="Times New Roman"/>
                      <w:sz w:val="21"/>
                      <w:szCs w:val="21"/>
                      <w:lang w:val="en-US" w:eastAsia="zh-CN"/>
                    </w:rPr>
                    <w:t>年</w:t>
                  </w:r>
                </w:p>
              </w:tc>
              <w:tc>
                <w:tcPr>
                  <w:tcW w:w="1912" w:type="dxa"/>
                  <w:vMerge w:val="continue"/>
                  <w:tcBorders>
                    <w:tl2br w:val="nil"/>
                    <w:tr2bl w:val="nil"/>
                  </w:tcBorders>
                  <w:noWrap w:val="0"/>
                  <w:vAlign w:val="center"/>
                </w:tcPr>
                <w:p w14:paraId="227BF10D">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宋体" w:hAnsi="宋体" w:eastAsia="宋体" w:cs="宋体"/>
                      <w:color w:val="000000"/>
                      <w:kern w:val="0"/>
                      <w:sz w:val="21"/>
                      <w:szCs w:val="21"/>
                      <w:lang w:val="en-US" w:eastAsia="zh-CN" w:bidi="ar"/>
                    </w:rPr>
                  </w:pPr>
                </w:p>
              </w:tc>
              <w:tc>
                <w:tcPr>
                  <w:tcW w:w="1873" w:type="dxa"/>
                  <w:vMerge w:val="continue"/>
                  <w:tcBorders>
                    <w:tl2br w:val="nil"/>
                    <w:tr2bl w:val="nil"/>
                  </w:tcBorders>
                  <w:noWrap w:val="0"/>
                  <w:vAlign w:val="center"/>
                </w:tcPr>
                <w:p w14:paraId="740995CB">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宋体" w:hAnsi="宋体" w:eastAsia="宋体" w:cs="宋体"/>
                      <w:color w:val="000000"/>
                      <w:kern w:val="0"/>
                      <w:sz w:val="21"/>
                      <w:szCs w:val="21"/>
                      <w:lang w:val="en-US" w:eastAsia="zh-CN" w:bidi="ar"/>
                    </w:rPr>
                  </w:pPr>
                </w:p>
              </w:tc>
            </w:tr>
            <w:tr w14:paraId="18C5763C">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0" w:hRule="atLeast"/>
                <w:jc w:val="center"/>
              </w:trPr>
              <w:tc>
                <w:tcPr>
                  <w:tcW w:w="904" w:type="dxa"/>
                  <w:vMerge w:val="continue"/>
                  <w:tcBorders>
                    <w:tl2br w:val="nil"/>
                    <w:tr2bl w:val="nil"/>
                  </w:tcBorders>
                  <w:noWrap w:val="0"/>
                  <w:vAlign w:val="center"/>
                </w:tcPr>
                <w:p w14:paraId="4FD1974C">
                  <w:pPr>
                    <w:pStyle w:val="11"/>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sz w:val="21"/>
                      <w:szCs w:val="21"/>
                    </w:rPr>
                  </w:pPr>
                </w:p>
              </w:tc>
              <w:tc>
                <w:tcPr>
                  <w:tcW w:w="2182" w:type="dxa"/>
                  <w:tcBorders>
                    <w:tl2br w:val="nil"/>
                    <w:tr2bl w:val="nil"/>
                  </w:tcBorders>
                  <w:noWrap w:val="0"/>
                  <w:vAlign w:val="center"/>
                </w:tcPr>
                <w:p w14:paraId="26F0CDBF">
                  <w:pPr>
                    <w:pStyle w:val="11"/>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sz w:val="21"/>
                      <w:szCs w:val="21"/>
                    </w:rPr>
                  </w:pPr>
                  <w:r>
                    <w:rPr>
                      <w:rFonts w:ascii="Times New Roman" w:hAnsi="Times New Roman"/>
                      <w:sz w:val="21"/>
                      <w:szCs w:val="21"/>
                    </w:rPr>
                    <w:t>厂界</w:t>
                  </w:r>
                </w:p>
              </w:tc>
              <w:tc>
                <w:tcPr>
                  <w:tcW w:w="1309" w:type="dxa"/>
                  <w:tcBorders>
                    <w:tl2br w:val="nil"/>
                    <w:tr2bl w:val="nil"/>
                  </w:tcBorders>
                  <w:noWrap w:val="0"/>
                  <w:vAlign w:val="center"/>
                </w:tcPr>
                <w:p w14:paraId="25F751EF">
                  <w:pPr>
                    <w:pStyle w:val="11"/>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非甲烷总烃</w:t>
                  </w:r>
                </w:p>
              </w:tc>
              <w:tc>
                <w:tcPr>
                  <w:tcW w:w="1101" w:type="dxa"/>
                  <w:tcBorders>
                    <w:tl2br w:val="nil"/>
                    <w:tr2bl w:val="nil"/>
                  </w:tcBorders>
                  <w:noWrap w:val="0"/>
                  <w:vAlign w:val="center"/>
                </w:tcPr>
                <w:p w14:paraId="75CA4960">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szCs w:val="21"/>
                    </w:rPr>
                  </w:pPr>
                  <w:r>
                    <w:rPr>
                      <w:rFonts w:ascii="Times New Roman" w:hAnsi="Times New Roman"/>
                      <w:sz w:val="21"/>
                      <w:szCs w:val="21"/>
                    </w:rPr>
                    <w:t>1次/</w:t>
                  </w:r>
                  <w:r>
                    <w:rPr>
                      <w:rFonts w:hint="eastAsia" w:ascii="Times New Roman" w:hAnsi="Times New Roman"/>
                      <w:sz w:val="21"/>
                      <w:szCs w:val="21"/>
                      <w:lang w:val="en-US" w:eastAsia="zh-CN"/>
                    </w:rPr>
                    <w:t>年</w:t>
                  </w:r>
                </w:p>
              </w:tc>
              <w:tc>
                <w:tcPr>
                  <w:tcW w:w="1912" w:type="dxa"/>
                  <w:vMerge w:val="continue"/>
                  <w:tcBorders>
                    <w:tl2br w:val="nil"/>
                    <w:tr2bl w:val="nil"/>
                  </w:tcBorders>
                  <w:noWrap w:val="0"/>
                  <w:vAlign w:val="center"/>
                </w:tcPr>
                <w:p w14:paraId="2785BC1D">
                  <w:pPr>
                    <w:pStyle w:val="11"/>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sz w:val="21"/>
                      <w:szCs w:val="21"/>
                    </w:rPr>
                  </w:pPr>
                </w:p>
              </w:tc>
              <w:tc>
                <w:tcPr>
                  <w:tcW w:w="1873" w:type="dxa"/>
                  <w:vMerge w:val="continue"/>
                  <w:tcBorders>
                    <w:tl2br w:val="nil"/>
                    <w:tr2bl w:val="nil"/>
                  </w:tcBorders>
                  <w:noWrap w:val="0"/>
                  <w:vAlign w:val="center"/>
                </w:tcPr>
                <w:p w14:paraId="1E54B432">
                  <w:pPr>
                    <w:pStyle w:val="11"/>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sz w:val="21"/>
                      <w:szCs w:val="21"/>
                    </w:rPr>
                  </w:pPr>
                </w:p>
              </w:tc>
            </w:tr>
            <w:tr w14:paraId="6F817106">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0" w:hRule="atLeast"/>
                <w:jc w:val="center"/>
              </w:trPr>
              <w:tc>
                <w:tcPr>
                  <w:tcW w:w="904" w:type="dxa"/>
                  <w:vMerge w:val="continue"/>
                  <w:tcBorders>
                    <w:tl2br w:val="nil"/>
                    <w:tr2bl w:val="nil"/>
                  </w:tcBorders>
                  <w:noWrap w:val="0"/>
                  <w:vAlign w:val="center"/>
                </w:tcPr>
                <w:p w14:paraId="4D32167A">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pPr>
                </w:p>
              </w:tc>
              <w:tc>
                <w:tcPr>
                  <w:tcW w:w="2182" w:type="dxa"/>
                  <w:tcBorders>
                    <w:tl2br w:val="nil"/>
                    <w:tr2bl w:val="nil"/>
                  </w:tcBorders>
                  <w:noWrap w:val="0"/>
                  <w:vAlign w:val="center"/>
                </w:tcPr>
                <w:p w14:paraId="3BEF36C7">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sz w:val="21"/>
                      <w:szCs w:val="21"/>
                      <w:lang w:val="en-US" w:eastAsia="zh-CN"/>
                    </w:rPr>
                  </w:pPr>
                  <w:r>
                    <w:rPr>
                      <w:rFonts w:hint="eastAsia"/>
                      <w:sz w:val="21"/>
                      <w:szCs w:val="21"/>
                      <w:lang w:val="en-US" w:eastAsia="zh-CN"/>
                    </w:rPr>
                    <w:t>厂区内</w:t>
                  </w:r>
                </w:p>
              </w:tc>
              <w:tc>
                <w:tcPr>
                  <w:tcW w:w="1309" w:type="dxa"/>
                  <w:tcBorders>
                    <w:tl2br w:val="nil"/>
                    <w:tr2bl w:val="nil"/>
                  </w:tcBorders>
                  <w:noWrap w:val="0"/>
                  <w:vAlign w:val="center"/>
                </w:tcPr>
                <w:p w14:paraId="20B65585">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ascii="Times New Roman" w:hAnsi="Times New Roman"/>
                      <w:sz w:val="21"/>
                      <w:szCs w:val="21"/>
                    </w:rPr>
                  </w:pPr>
                  <w:r>
                    <w:rPr>
                      <w:rFonts w:hint="eastAsia" w:ascii="Times New Roman" w:hAnsi="Times New Roman"/>
                      <w:sz w:val="21"/>
                      <w:szCs w:val="21"/>
                      <w:lang w:val="en-US" w:eastAsia="zh-CN"/>
                    </w:rPr>
                    <w:t>非甲烷总烃</w:t>
                  </w:r>
                </w:p>
              </w:tc>
              <w:tc>
                <w:tcPr>
                  <w:tcW w:w="1101" w:type="dxa"/>
                  <w:tcBorders>
                    <w:tl2br w:val="nil"/>
                    <w:tr2bl w:val="nil"/>
                  </w:tcBorders>
                  <w:noWrap w:val="0"/>
                  <w:vAlign w:val="center"/>
                </w:tcPr>
                <w:p w14:paraId="4D36BB94">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ascii="Times New Roman" w:hAnsi="Times New Roman"/>
                      <w:sz w:val="21"/>
                      <w:szCs w:val="21"/>
                    </w:rPr>
                  </w:pPr>
                  <w:r>
                    <w:rPr>
                      <w:rFonts w:ascii="Times New Roman" w:hAnsi="Times New Roman"/>
                      <w:sz w:val="21"/>
                      <w:szCs w:val="21"/>
                    </w:rPr>
                    <w:t>1次/</w:t>
                  </w:r>
                  <w:r>
                    <w:rPr>
                      <w:rFonts w:hint="eastAsia" w:ascii="Times New Roman" w:hAnsi="Times New Roman"/>
                      <w:sz w:val="21"/>
                      <w:szCs w:val="21"/>
                      <w:lang w:val="en-US" w:eastAsia="zh-CN"/>
                    </w:rPr>
                    <w:t>年</w:t>
                  </w:r>
                </w:p>
              </w:tc>
              <w:tc>
                <w:tcPr>
                  <w:tcW w:w="1912" w:type="dxa"/>
                  <w:vMerge w:val="continue"/>
                  <w:tcBorders>
                    <w:tl2br w:val="nil"/>
                    <w:tr2bl w:val="nil"/>
                  </w:tcBorders>
                  <w:noWrap w:val="0"/>
                  <w:vAlign w:val="center"/>
                </w:tcPr>
                <w:p w14:paraId="2B5B806D">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ascii="Times New Roman" w:hAnsi="Times New Roman"/>
                      <w:sz w:val="21"/>
                      <w:szCs w:val="21"/>
                    </w:rPr>
                  </w:pPr>
                </w:p>
              </w:tc>
              <w:tc>
                <w:tcPr>
                  <w:tcW w:w="1873" w:type="dxa"/>
                  <w:vMerge w:val="continue"/>
                  <w:tcBorders>
                    <w:tl2br w:val="nil"/>
                    <w:tr2bl w:val="nil"/>
                  </w:tcBorders>
                  <w:noWrap w:val="0"/>
                  <w:vAlign w:val="center"/>
                </w:tcPr>
                <w:p w14:paraId="7082D2E2">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ascii="Times New Roman" w:hAnsi="Times New Roman"/>
                      <w:sz w:val="21"/>
                      <w:szCs w:val="21"/>
                    </w:rPr>
                  </w:pPr>
                </w:p>
              </w:tc>
            </w:tr>
          </w:tbl>
          <w:p w14:paraId="3C7D1962">
            <w:pPr>
              <w:pStyle w:val="54"/>
              <w:keepNext w:val="0"/>
              <w:keepLines w:val="0"/>
              <w:pageBreakBefore w:val="0"/>
              <w:widowControl w:val="0"/>
              <w:numPr>
                <w:ilvl w:val="0"/>
                <w:numId w:val="0"/>
              </w:numPr>
              <w:tabs>
                <w:tab w:val="left" w:pos="7821"/>
              </w:tabs>
              <w:kinsoku/>
              <w:wordWrap/>
              <w:overflowPunct/>
              <w:topLinePunct w:val="0"/>
              <w:autoSpaceDE/>
              <w:autoSpaceDN/>
              <w:bidi w:val="0"/>
              <w:adjustRightInd/>
              <w:snapToGrid/>
              <w:ind w:leftChars="0" w:firstLine="480" w:firstLineChars="200"/>
              <w:textAlignment w:val="auto"/>
              <w:rPr>
                <w:rFonts w:hint="eastAsia" w:ascii="Times New Roman" w:hAnsi="Times New Roman" w:eastAsia="宋体" w:cs="Times New Roman"/>
                <w:color w:val="FF0000"/>
                <w:kern w:val="2"/>
                <w:sz w:val="24"/>
                <w:szCs w:val="24"/>
                <w:lang w:val="en-US" w:eastAsia="zh-CN" w:bidi="ar-SA"/>
              </w:rPr>
            </w:pPr>
            <w:r>
              <w:rPr>
                <w:rFonts w:hint="eastAsia" w:ascii="Times New Roman" w:hAnsi="Times New Roman" w:eastAsia="宋体" w:cs="Times New Roman"/>
                <w:color w:val="FF0000"/>
                <w:kern w:val="2"/>
                <w:sz w:val="24"/>
                <w:szCs w:val="24"/>
                <w:lang w:val="en-US" w:eastAsia="zh-CN" w:bidi="ar-SA"/>
              </w:rPr>
              <w:t>根据《排污单位自行监测技术指南 储油库、加油站》（HJ1249-2022）的要求，本项目在线监测要求如下：</w:t>
            </w:r>
          </w:p>
          <w:p w14:paraId="579902DD">
            <w:pPr>
              <w:pStyle w:val="54"/>
              <w:keepNext w:val="0"/>
              <w:keepLines w:val="0"/>
              <w:pageBreakBefore w:val="0"/>
              <w:widowControl w:val="0"/>
              <w:numPr>
                <w:ilvl w:val="0"/>
                <w:numId w:val="0"/>
              </w:numPr>
              <w:tabs>
                <w:tab w:val="left" w:pos="7821"/>
              </w:tabs>
              <w:kinsoku/>
              <w:wordWrap/>
              <w:overflowPunct/>
              <w:topLinePunct w:val="0"/>
              <w:autoSpaceDE/>
              <w:autoSpaceDN/>
              <w:bidi w:val="0"/>
              <w:adjustRightInd/>
              <w:snapToGrid/>
              <w:ind w:leftChars="0" w:firstLine="480" w:firstLineChars="200"/>
              <w:textAlignment w:val="auto"/>
              <w:rPr>
                <w:rFonts w:hint="eastAsia" w:ascii="Times New Roman" w:hAnsi="Times New Roman" w:eastAsia="宋体" w:cs="Times New Roman"/>
                <w:color w:val="FF0000"/>
                <w:kern w:val="2"/>
                <w:sz w:val="24"/>
                <w:szCs w:val="24"/>
                <w:lang w:val="en-US" w:eastAsia="zh-CN" w:bidi="ar-SA"/>
              </w:rPr>
            </w:pPr>
            <w:r>
              <w:rPr>
                <w:rFonts w:hint="eastAsia" w:ascii="Times New Roman" w:hAnsi="Times New Roman" w:eastAsia="宋体" w:cs="Times New Roman"/>
                <w:color w:val="FF0000"/>
                <w:kern w:val="2"/>
                <w:sz w:val="24"/>
                <w:szCs w:val="24"/>
                <w:lang w:val="en-US" w:eastAsia="zh-CN" w:bidi="ar-SA"/>
              </w:rPr>
              <w:t>1）加油站在线监测系统应能够监测每条加油枪气液比和油气回收系统压力，具备至少储存1年数据、远距离传输，具备预警、警告功能。在线监测系统监测功能、技术要求和预报警条件等执行GB20952中附录E。</w:t>
            </w:r>
          </w:p>
          <w:p w14:paraId="2F47CE90">
            <w:pPr>
              <w:pStyle w:val="54"/>
              <w:keepNext w:val="0"/>
              <w:keepLines w:val="0"/>
              <w:pageBreakBefore w:val="0"/>
              <w:widowControl w:val="0"/>
              <w:numPr>
                <w:ilvl w:val="0"/>
                <w:numId w:val="0"/>
              </w:numPr>
              <w:tabs>
                <w:tab w:val="left" w:pos="7821"/>
              </w:tabs>
              <w:kinsoku/>
              <w:wordWrap/>
              <w:overflowPunct/>
              <w:topLinePunct w:val="0"/>
              <w:autoSpaceDE/>
              <w:autoSpaceDN/>
              <w:bidi w:val="0"/>
              <w:adjustRightInd/>
              <w:snapToGrid/>
              <w:ind w:leftChars="0" w:firstLine="480" w:firstLineChars="200"/>
              <w:textAlignment w:val="auto"/>
              <w:rPr>
                <w:rFonts w:hint="eastAsia" w:ascii="Times New Roman" w:hAnsi="Times New Roman" w:eastAsia="宋体" w:cs="Times New Roman"/>
                <w:color w:val="FF0000"/>
                <w:kern w:val="2"/>
                <w:sz w:val="24"/>
                <w:szCs w:val="24"/>
                <w:lang w:val="en-US" w:eastAsia="zh-CN" w:bidi="ar-SA"/>
              </w:rPr>
            </w:pPr>
            <w:r>
              <w:rPr>
                <w:rFonts w:hint="eastAsia" w:ascii="Times New Roman" w:hAnsi="Times New Roman" w:eastAsia="宋体" w:cs="Times New Roman"/>
                <w:color w:val="FF0000"/>
                <w:kern w:val="2"/>
                <w:sz w:val="24"/>
                <w:szCs w:val="24"/>
                <w:lang w:val="en-US" w:eastAsia="zh-CN" w:bidi="ar-SA"/>
              </w:rPr>
              <w:t>2）加油站在线监测系统可在卸油口附近、加油机内/外（加油区）、人工量油井等处安装浓度传感器监测油气泄漏浓度。</w:t>
            </w:r>
          </w:p>
          <w:p w14:paraId="74C4D6E7">
            <w:pPr>
              <w:pStyle w:val="54"/>
              <w:keepNext w:val="0"/>
              <w:keepLines w:val="0"/>
              <w:pageBreakBefore w:val="0"/>
              <w:widowControl w:val="0"/>
              <w:numPr>
                <w:ilvl w:val="0"/>
                <w:numId w:val="0"/>
              </w:numPr>
              <w:tabs>
                <w:tab w:val="left" w:pos="7821"/>
              </w:tabs>
              <w:kinsoku/>
              <w:wordWrap/>
              <w:overflowPunct/>
              <w:topLinePunct w:val="0"/>
              <w:autoSpaceDE/>
              <w:autoSpaceDN/>
              <w:bidi w:val="0"/>
              <w:adjustRightInd/>
              <w:snapToGrid/>
              <w:ind w:leftChars="0" w:firstLine="480" w:firstLineChars="200"/>
              <w:textAlignment w:val="auto"/>
              <w:rPr>
                <w:rFonts w:hint="default" w:ascii="Times New Roman" w:hAnsi="Times New Roman" w:eastAsia="宋体" w:cs="Times New Roman"/>
                <w:color w:val="FF0000"/>
                <w:kern w:val="2"/>
                <w:sz w:val="24"/>
                <w:szCs w:val="24"/>
                <w:lang w:val="en-US" w:eastAsia="zh-CN" w:bidi="ar-SA"/>
              </w:rPr>
            </w:pPr>
            <w:r>
              <w:rPr>
                <w:rFonts w:hint="eastAsia" w:ascii="Times New Roman" w:hAnsi="Times New Roman" w:eastAsia="宋体" w:cs="Times New Roman"/>
                <w:color w:val="FF0000"/>
                <w:kern w:val="2"/>
                <w:sz w:val="24"/>
                <w:szCs w:val="24"/>
                <w:lang w:val="en-US" w:eastAsia="zh-CN" w:bidi="ar-SA"/>
              </w:rPr>
              <w:t>3）加油站在线监测系统可在卸油区附近、人工量油井、加油区等重点区域安装视频监测用高清摄像头，连续对卸油操作、手工量油、加油操作等进行视频录像并存储。可整合利用加油站现有视频设备，视频资料应保持3个月以上以备生态环境部门监督检查，并预留接入到环保管理平台的条件。</w:t>
            </w:r>
          </w:p>
          <w:p w14:paraId="52EFEDA2">
            <w:pPr>
              <w:pStyle w:val="54"/>
              <w:keepNext w:val="0"/>
              <w:keepLines w:val="0"/>
              <w:pageBreakBefore w:val="0"/>
              <w:widowControl w:val="0"/>
              <w:numPr>
                <w:ilvl w:val="0"/>
                <w:numId w:val="0"/>
              </w:numPr>
              <w:tabs>
                <w:tab w:val="left" w:pos="7821"/>
              </w:tabs>
              <w:kinsoku/>
              <w:wordWrap/>
              <w:overflowPunct/>
              <w:topLinePunct w:val="0"/>
              <w:autoSpaceDE/>
              <w:autoSpaceDN/>
              <w:bidi w:val="0"/>
              <w:adjustRightInd/>
              <w:snapToGrid/>
              <w:ind w:leftChars="0" w:firstLine="480" w:firstLineChars="200"/>
              <w:textAlignment w:val="auto"/>
              <w:rPr>
                <w:rFonts w:hint="eastAsia" w:ascii="Times New Roman" w:hAnsi="Times New Roman" w:eastAsia="宋体" w:cs="Times New Roman"/>
                <w:color w:val="FF0000"/>
                <w:kern w:val="2"/>
                <w:sz w:val="24"/>
                <w:szCs w:val="24"/>
                <w:lang w:val="en-US" w:eastAsia="zh-CN" w:bidi="ar-SA"/>
              </w:rPr>
            </w:pPr>
            <w:r>
              <w:rPr>
                <w:rFonts w:hint="eastAsia" w:ascii="Times New Roman" w:hAnsi="Times New Roman" w:eastAsia="宋体" w:cs="Times New Roman"/>
                <w:color w:val="FF0000"/>
                <w:kern w:val="2"/>
                <w:sz w:val="24"/>
                <w:szCs w:val="24"/>
                <w:lang w:val="en-US" w:eastAsia="zh-CN" w:bidi="ar-SA"/>
              </w:rPr>
              <w:t>4）加油站在线监测系统应每年至少校准检测1次，校准检测方法参见GB20952中附录F。</w:t>
            </w:r>
          </w:p>
          <w:p w14:paraId="70794F48">
            <w:pPr>
              <w:pStyle w:val="54"/>
              <w:numPr>
                <w:ilvl w:val="0"/>
                <w:numId w:val="0"/>
              </w:numPr>
              <w:ind w:left="420" w:leftChars="0"/>
              <w:rPr>
                <w:b/>
              </w:rPr>
            </w:pPr>
            <w:r>
              <w:rPr>
                <w:rFonts w:hint="eastAsia"/>
                <w:b/>
                <w:lang w:eastAsia="zh-CN"/>
              </w:rPr>
              <w:t>（</w:t>
            </w:r>
            <w:r>
              <w:rPr>
                <w:rFonts w:hint="eastAsia"/>
                <w:b/>
                <w:lang w:val="en-US" w:eastAsia="zh-CN"/>
              </w:rPr>
              <w:t>5</w:t>
            </w:r>
            <w:r>
              <w:rPr>
                <w:rFonts w:hint="eastAsia"/>
                <w:b/>
                <w:lang w:eastAsia="zh-CN"/>
              </w:rPr>
              <w:t>）</w:t>
            </w:r>
            <w:r>
              <w:rPr>
                <w:rFonts w:hint="eastAsia"/>
                <w:b/>
              </w:rPr>
              <w:t>非正常工况</w:t>
            </w:r>
          </w:p>
          <w:p w14:paraId="50D82A0D">
            <w:pPr>
              <w:keepNext w:val="0"/>
              <w:keepLines w:val="0"/>
              <w:pageBreakBefore w:val="0"/>
              <w:widowControl w:val="0"/>
              <w:kinsoku/>
              <w:wordWrap/>
              <w:overflowPunct/>
              <w:topLinePunct w:val="0"/>
              <w:autoSpaceDE/>
              <w:autoSpaceDN/>
              <w:bidi w:val="0"/>
              <w:adjustRightInd/>
              <w:snapToGrid/>
              <w:ind w:firstLine="480"/>
              <w:jc w:val="left"/>
              <w:textAlignment w:val="auto"/>
              <w:rPr>
                <w:kern w:val="18"/>
                <w:szCs w:val="21"/>
              </w:rPr>
            </w:pPr>
            <w:r>
              <w:rPr>
                <w:kern w:val="18"/>
              </w:rPr>
              <w:t>本项目非正常工况主要是污染物排放控制措施达不到应有效率，即油气回收</w:t>
            </w:r>
            <w:r>
              <w:rPr>
                <w:rFonts w:hint="eastAsia"/>
                <w:kern w:val="18"/>
                <w:lang w:val="en-US" w:eastAsia="zh-CN"/>
              </w:rPr>
              <w:t>系统</w:t>
            </w:r>
            <w:r>
              <w:rPr>
                <w:kern w:val="18"/>
              </w:rPr>
              <w:t>失效，造成废气污染物未经净化直接排放，其排放情况</w:t>
            </w:r>
            <w:r>
              <w:rPr>
                <w:rFonts w:hint="eastAsia"/>
                <w:kern w:val="18"/>
                <w:lang w:val="en-US" w:eastAsia="zh-CN"/>
              </w:rPr>
              <w:t>详</w:t>
            </w:r>
            <w:r>
              <w:rPr>
                <w:rFonts w:hint="eastAsia"/>
                <w:kern w:val="18"/>
              </w:rPr>
              <w:t>见表</w:t>
            </w:r>
            <w:r>
              <w:rPr>
                <w:rFonts w:hint="eastAsia"/>
                <w:kern w:val="18"/>
                <w:lang w:val="en-US" w:eastAsia="zh-CN"/>
              </w:rPr>
              <w:t>4.1-9</w:t>
            </w:r>
            <w:r>
              <w:rPr>
                <w:kern w:val="18"/>
              </w:rPr>
              <w:t>。</w:t>
            </w:r>
          </w:p>
          <w:p w14:paraId="712B2A24">
            <w:pPr>
              <w:pStyle w:val="49"/>
              <w:keepNext w:val="0"/>
              <w:keepLines w:val="0"/>
              <w:pageBreakBefore w:val="0"/>
              <w:widowControl w:val="0"/>
              <w:kinsoku/>
              <w:wordWrap/>
              <w:overflowPunct/>
              <w:topLinePunct w:val="0"/>
              <w:autoSpaceDE/>
              <w:autoSpaceDN/>
              <w:bidi w:val="0"/>
              <w:adjustRightInd/>
              <w:snapToGrid/>
              <w:textAlignment w:val="auto"/>
              <w:rPr>
                <w:rFonts w:hint="eastAsia" w:eastAsia="宋体"/>
                <w:b/>
                <w:lang w:val="en-US" w:eastAsia="zh-CN"/>
              </w:rPr>
            </w:pPr>
            <w:r>
              <w:rPr>
                <w:b/>
              </w:rPr>
              <w:t>表4</w:t>
            </w:r>
            <w:r>
              <w:rPr>
                <w:rFonts w:hint="eastAsia"/>
                <w:b/>
                <w:lang w:val="en-US" w:eastAsia="zh-CN"/>
              </w:rPr>
              <w:t>.1</w:t>
            </w:r>
            <w:r>
              <w:rPr>
                <w:b/>
              </w:rPr>
              <w:t>-</w:t>
            </w:r>
            <w:r>
              <w:rPr>
                <w:rFonts w:hint="eastAsia"/>
                <w:b/>
                <w:lang w:val="en-US" w:eastAsia="zh-CN"/>
              </w:rPr>
              <w:t xml:space="preserve">9   </w:t>
            </w:r>
            <w:r>
              <w:rPr>
                <w:b/>
              </w:rPr>
              <w:t>项目</w:t>
            </w:r>
            <w:r>
              <w:rPr>
                <w:rFonts w:hint="eastAsia"/>
                <w:b/>
              </w:rPr>
              <w:t>非正常工况</w:t>
            </w:r>
            <w:r>
              <w:rPr>
                <w:b/>
              </w:rPr>
              <w:t>废气产排情况</w:t>
            </w:r>
            <w:r>
              <w:rPr>
                <w:rFonts w:hint="eastAsia"/>
                <w:b/>
                <w:lang w:val="en-US" w:eastAsia="zh-CN"/>
              </w:rPr>
              <w:t>一览表</w:t>
            </w:r>
          </w:p>
          <w:tbl>
            <w:tblPr>
              <w:tblStyle w:val="3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3"/>
              <w:gridCol w:w="1418"/>
              <w:gridCol w:w="1787"/>
              <w:gridCol w:w="1705"/>
              <w:gridCol w:w="1718"/>
              <w:gridCol w:w="1492"/>
            </w:tblGrid>
            <w:tr w14:paraId="1EF0DB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6" w:type="pct"/>
                  <w:vAlign w:val="center"/>
                </w:tcPr>
                <w:p w14:paraId="709F81B6">
                  <w:pPr>
                    <w:pStyle w:val="49"/>
                    <w:keepNext w:val="0"/>
                    <w:keepLines w:val="0"/>
                    <w:pageBreakBefore w:val="0"/>
                    <w:widowControl w:val="0"/>
                    <w:kinsoku/>
                    <w:wordWrap/>
                    <w:overflowPunct/>
                    <w:topLinePunct w:val="0"/>
                    <w:autoSpaceDE/>
                    <w:autoSpaceDN/>
                    <w:bidi w:val="0"/>
                    <w:adjustRightInd/>
                    <w:snapToGrid w:val="0"/>
                    <w:textAlignment w:val="auto"/>
                    <w:rPr>
                      <w:rFonts w:hint="eastAsia" w:eastAsia="宋体"/>
                      <w:b/>
                      <w:lang w:val="en-US" w:eastAsia="zh-CN"/>
                    </w:rPr>
                  </w:pPr>
                  <w:r>
                    <w:rPr>
                      <w:rFonts w:hint="eastAsia"/>
                      <w:b/>
                      <w:lang w:val="en-US" w:eastAsia="zh-CN"/>
                    </w:rPr>
                    <w:t>污染源</w:t>
                  </w:r>
                </w:p>
              </w:tc>
              <w:tc>
                <w:tcPr>
                  <w:tcW w:w="763" w:type="pct"/>
                  <w:vAlign w:val="center"/>
                </w:tcPr>
                <w:p w14:paraId="75D9445B">
                  <w:pPr>
                    <w:pStyle w:val="49"/>
                    <w:keepNext w:val="0"/>
                    <w:keepLines w:val="0"/>
                    <w:pageBreakBefore w:val="0"/>
                    <w:widowControl w:val="0"/>
                    <w:kinsoku/>
                    <w:wordWrap/>
                    <w:overflowPunct/>
                    <w:topLinePunct w:val="0"/>
                    <w:autoSpaceDE/>
                    <w:autoSpaceDN/>
                    <w:bidi w:val="0"/>
                    <w:adjustRightInd/>
                    <w:snapToGrid w:val="0"/>
                    <w:textAlignment w:val="auto"/>
                    <w:rPr>
                      <w:b/>
                    </w:rPr>
                  </w:pPr>
                  <w:r>
                    <w:rPr>
                      <w:b/>
                    </w:rPr>
                    <w:t>污染物</w:t>
                  </w:r>
                </w:p>
              </w:tc>
              <w:tc>
                <w:tcPr>
                  <w:tcW w:w="962" w:type="pct"/>
                  <w:vAlign w:val="center"/>
                </w:tcPr>
                <w:p w14:paraId="1A91DAED">
                  <w:pPr>
                    <w:pStyle w:val="49"/>
                    <w:keepNext w:val="0"/>
                    <w:keepLines w:val="0"/>
                    <w:pageBreakBefore w:val="0"/>
                    <w:widowControl w:val="0"/>
                    <w:kinsoku/>
                    <w:wordWrap/>
                    <w:overflowPunct/>
                    <w:topLinePunct w:val="0"/>
                    <w:autoSpaceDE/>
                    <w:autoSpaceDN/>
                    <w:bidi w:val="0"/>
                    <w:adjustRightInd/>
                    <w:snapToGrid w:val="0"/>
                    <w:textAlignment w:val="auto"/>
                    <w:rPr>
                      <w:rFonts w:eastAsia="..ì."/>
                      <w:b/>
                    </w:rPr>
                  </w:pPr>
                  <w:r>
                    <w:rPr>
                      <w:rFonts w:eastAsia="..ì."/>
                      <w:b/>
                    </w:rPr>
                    <w:t>非正常工况原因</w:t>
                  </w:r>
                </w:p>
              </w:tc>
              <w:tc>
                <w:tcPr>
                  <w:tcW w:w="918" w:type="pct"/>
                  <w:vAlign w:val="center"/>
                </w:tcPr>
                <w:p w14:paraId="34B18E12">
                  <w:pPr>
                    <w:pStyle w:val="49"/>
                    <w:keepNext w:val="0"/>
                    <w:keepLines w:val="0"/>
                    <w:pageBreakBefore w:val="0"/>
                    <w:widowControl w:val="0"/>
                    <w:kinsoku/>
                    <w:wordWrap/>
                    <w:overflowPunct/>
                    <w:topLinePunct w:val="0"/>
                    <w:autoSpaceDE/>
                    <w:autoSpaceDN/>
                    <w:bidi w:val="0"/>
                    <w:adjustRightInd/>
                    <w:snapToGrid w:val="0"/>
                    <w:textAlignment w:val="auto"/>
                    <w:rPr>
                      <w:b/>
                    </w:rPr>
                  </w:pPr>
                  <w:r>
                    <w:rPr>
                      <w:b/>
                    </w:rPr>
                    <w:t>排放速率（kg/h）</w:t>
                  </w:r>
                </w:p>
              </w:tc>
              <w:tc>
                <w:tcPr>
                  <w:tcW w:w="925" w:type="pct"/>
                  <w:vAlign w:val="center"/>
                </w:tcPr>
                <w:p w14:paraId="315ED319">
                  <w:pPr>
                    <w:pStyle w:val="49"/>
                    <w:keepNext w:val="0"/>
                    <w:keepLines w:val="0"/>
                    <w:pageBreakBefore w:val="0"/>
                    <w:widowControl w:val="0"/>
                    <w:kinsoku/>
                    <w:wordWrap/>
                    <w:overflowPunct/>
                    <w:topLinePunct w:val="0"/>
                    <w:autoSpaceDE/>
                    <w:autoSpaceDN/>
                    <w:bidi w:val="0"/>
                    <w:adjustRightInd/>
                    <w:snapToGrid w:val="0"/>
                    <w:textAlignment w:val="auto"/>
                    <w:rPr>
                      <w:b/>
                    </w:rPr>
                  </w:pPr>
                  <w:r>
                    <w:rPr>
                      <w:rFonts w:hint="eastAsia"/>
                      <w:b/>
                    </w:rPr>
                    <w:t>频次及持续时间</w:t>
                  </w:r>
                </w:p>
              </w:tc>
              <w:tc>
                <w:tcPr>
                  <w:tcW w:w="803" w:type="pct"/>
                  <w:vAlign w:val="center"/>
                </w:tcPr>
                <w:p w14:paraId="122168F4">
                  <w:pPr>
                    <w:pStyle w:val="49"/>
                    <w:keepNext w:val="0"/>
                    <w:keepLines w:val="0"/>
                    <w:pageBreakBefore w:val="0"/>
                    <w:widowControl w:val="0"/>
                    <w:kinsoku/>
                    <w:wordWrap/>
                    <w:overflowPunct/>
                    <w:topLinePunct w:val="0"/>
                    <w:autoSpaceDE/>
                    <w:autoSpaceDN/>
                    <w:bidi w:val="0"/>
                    <w:adjustRightInd/>
                    <w:snapToGrid w:val="0"/>
                    <w:textAlignment w:val="auto"/>
                    <w:rPr>
                      <w:b/>
                      <w:bCs/>
                    </w:rPr>
                  </w:pPr>
                  <w:r>
                    <w:rPr>
                      <w:b/>
                    </w:rPr>
                    <w:t>排放量（kg/a）</w:t>
                  </w:r>
                </w:p>
              </w:tc>
            </w:tr>
            <w:tr w14:paraId="58D1EF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6" w:type="pct"/>
                  <w:vAlign w:val="center"/>
                </w:tcPr>
                <w:p w14:paraId="4229C54A">
                  <w:pPr>
                    <w:pStyle w:val="49"/>
                    <w:keepNext w:val="0"/>
                    <w:keepLines w:val="0"/>
                    <w:pageBreakBefore w:val="0"/>
                    <w:widowControl w:val="0"/>
                    <w:kinsoku/>
                    <w:wordWrap/>
                    <w:overflowPunct/>
                    <w:topLinePunct w:val="0"/>
                    <w:autoSpaceDE/>
                    <w:autoSpaceDN/>
                    <w:bidi w:val="0"/>
                    <w:adjustRightInd/>
                    <w:snapToGrid w:val="0"/>
                    <w:textAlignment w:val="auto"/>
                    <w:rPr>
                      <w:rFonts w:hint="default"/>
                      <w:bCs/>
                      <w:lang w:val="en-US" w:eastAsia="zh-CN"/>
                    </w:rPr>
                  </w:pPr>
                  <w:r>
                    <w:rPr>
                      <w:rFonts w:hint="eastAsia"/>
                      <w:bCs/>
                      <w:lang w:val="en-US" w:eastAsia="zh-CN"/>
                    </w:rPr>
                    <w:t>加油区</w:t>
                  </w:r>
                </w:p>
              </w:tc>
              <w:tc>
                <w:tcPr>
                  <w:tcW w:w="763" w:type="pct"/>
                  <w:vAlign w:val="center"/>
                </w:tcPr>
                <w:p w14:paraId="0A278AFF">
                  <w:pPr>
                    <w:pStyle w:val="49"/>
                    <w:keepNext w:val="0"/>
                    <w:keepLines w:val="0"/>
                    <w:pageBreakBefore w:val="0"/>
                    <w:widowControl w:val="0"/>
                    <w:kinsoku/>
                    <w:wordWrap/>
                    <w:overflowPunct/>
                    <w:topLinePunct w:val="0"/>
                    <w:autoSpaceDE/>
                    <w:autoSpaceDN/>
                    <w:bidi w:val="0"/>
                    <w:adjustRightInd/>
                    <w:snapToGrid w:val="0"/>
                    <w:textAlignment w:val="auto"/>
                    <w:rPr>
                      <w:rFonts w:hint="eastAsia"/>
                      <w:bCs/>
                      <w:lang w:val="en-US" w:eastAsia="zh-CN"/>
                    </w:rPr>
                  </w:pPr>
                  <w:r>
                    <w:t>非甲烷总烃</w:t>
                  </w:r>
                </w:p>
              </w:tc>
              <w:tc>
                <w:tcPr>
                  <w:tcW w:w="962" w:type="pct"/>
                  <w:vMerge w:val="restart"/>
                  <w:vAlign w:val="center"/>
                </w:tcPr>
                <w:p w14:paraId="79D7A3CA">
                  <w:pPr>
                    <w:pStyle w:val="49"/>
                    <w:keepNext w:val="0"/>
                    <w:keepLines w:val="0"/>
                    <w:pageBreakBefore w:val="0"/>
                    <w:widowControl w:val="0"/>
                    <w:kinsoku/>
                    <w:wordWrap/>
                    <w:overflowPunct/>
                    <w:topLinePunct w:val="0"/>
                    <w:autoSpaceDE/>
                    <w:autoSpaceDN/>
                    <w:bidi w:val="0"/>
                    <w:adjustRightInd/>
                    <w:snapToGrid w:val="0"/>
                    <w:textAlignment w:val="auto"/>
                    <w:rPr>
                      <w:rFonts w:eastAsia="..ì."/>
                    </w:rPr>
                  </w:pPr>
                  <w:r>
                    <w:rPr>
                      <w:rFonts w:eastAsia="..ì."/>
                    </w:rPr>
                    <w:t>油气回收</w:t>
                  </w:r>
                  <w:r>
                    <w:rPr>
                      <w:rFonts w:hint="eastAsia" w:eastAsia="..ì."/>
                      <w:lang w:val="en-US" w:eastAsia="zh-CN"/>
                    </w:rPr>
                    <w:t>系统</w:t>
                  </w:r>
                  <w:r>
                    <w:rPr>
                      <w:rFonts w:eastAsia="..ì."/>
                    </w:rPr>
                    <w:t>故障，处理效率为0</w:t>
                  </w:r>
                </w:p>
              </w:tc>
              <w:tc>
                <w:tcPr>
                  <w:tcW w:w="918" w:type="pct"/>
                  <w:vAlign w:val="center"/>
                </w:tcPr>
                <w:p w14:paraId="49A7584D">
                  <w:pPr>
                    <w:pStyle w:val="49"/>
                    <w:keepNext w:val="0"/>
                    <w:keepLines w:val="0"/>
                    <w:pageBreakBefore w:val="0"/>
                    <w:widowControl w:val="0"/>
                    <w:kinsoku/>
                    <w:wordWrap/>
                    <w:overflowPunct/>
                    <w:topLinePunct w:val="0"/>
                    <w:autoSpaceDE/>
                    <w:autoSpaceDN/>
                    <w:bidi w:val="0"/>
                    <w:adjustRightInd/>
                    <w:snapToGrid w:val="0"/>
                    <w:textAlignment w:val="auto"/>
                    <w:rPr>
                      <w:rFonts w:hint="default"/>
                      <w:bCs/>
                      <w:lang w:val="en-US" w:eastAsia="zh-CN"/>
                    </w:rPr>
                  </w:pPr>
                  <w:r>
                    <w:rPr>
                      <w:rFonts w:hint="default"/>
                      <w:bCs/>
                      <w:lang w:val="en-US" w:eastAsia="zh-CN"/>
                    </w:rPr>
                    <w:t>0.757</w:t>
                  </w:r>
                </w:p>
              </w:tc>
              <w:tc>
                <w:tcPr>
                  <w:tcW w:w="925" w:type="pct"/>
                  <w:vAlign w:val="center"/>
                </w:tcPr>
                <w:p w14:paraId="376B56B1">
                  <w:pPr>
                    <w:pStyle w:val="49"/>
                    <w:keepNext w:val="0"/>
                    <w:keepLines w:val="0"/>
                    <w:pageBreakBefore w:val="0"/>
                    <w:widowControl w:val="0"/>
                    <w:kinsoku/>
                    <w:wordWrap/>
                    <w:overflowPunct/>
                    <w:topLinePunct w:val="0"/>
                    <w:autoSpaceDE/>
                    <w:autoSpaceDN/>
                    <w:bidi w:val="0"/>
                    <w:adjustRightInd/>
                    <w:snapToGrid w:val="0"/>
                    <w:textAlignment w:val="auto"/>
                    <w:rPr>
                      <w:rFonts w:hint="eastAsia"/>
                      <w:bCs/>
                      <w:lang w:val="en-US" w:eastAsia="zh-CN"/>
                    </w:rPr>
                  </w:pPr>
                  <w:r>
                    <w:rPr>
                      <w:rFonts w:hint="eastAsia"/>
                    </w:rPr>
                    <w:t>2次/a，1h/次</w:t>
                  </w:r>
                </w:p>
              </w:tc>
              <w:tc>
                <w:tcPr>
                  <w:tcW w:w="803" w:type="pct"/>
                  <w:vAlign w:val="center"/>
                </w:tcPr>
                <w:p w14:paraId="57AB0AAC">
                  <w:pPr>
                    <w:pStyle w:val="49"/>
                    <w:keepNext w:val="0"/>
                    <w:keepLines w:val="0"/>
                    <w:pageBreakBefore w:val="0"/>
                    <w:widowControl w:val="0"/>
                    <w:kinsoku/>
                    <w:wordWrap/>
                    <w:overflowPunct/>
                    <w:topLinePunct w:val="0"/>
                    <w:autoSpaceDE/>
                    <w:autoSpaceDN/>
                    <w:bidi w:val="0"/>
                    <w:adjustRightInd/>
                    <w:snapToGrid w:val="0"/>
                    <w:textAlignment w:val="auto"/>
                    <w:rPr>
                      <w:rFonts w:hint="default"/>
                      <w:bCs/>
                      <w:lang w:val="en-US" w:eastAsia="zh-CN"/>
                    </w:rPr>
                  </w:pPr>
                  <w:r>
                    <w:rPr>
                      <w:rFonts w:hint="eastAsia"/>
                      <w:bCs/>
                      <w:lang w:val="en-US" w:eastAsia="zh-CN"/>
                    </w:rPr>
                    <w:t>1.514</w:t>
                  </w:r>
                </w:p>
              </w:tc>
            </w:tr>
            <w:tr w14:paraId="1AF3D6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6" w:type="pct"/>
                  <w:vAlign w:val="center"/>
                </w:tcPr>
                <w:p w14:paraId="4A3474BB">
                  <w:pPr>
                    <w:pStyle w:val="49"/>
                    <w:keepNext w:val="0"/>
                    <w:keepLines w:val="0"/>
                    <w:pageBreakBefore w:val="0"/>
                    <w:widowControl w:val="0"/>
                    <w:kinsoku/>
                    <w:wordWrap/>
                    <w:overflowPunct/>
                    <w:topLinePunct w:val="0"/>
                    <w:autoSpaceDE/>
                    <w:autoSpaceDN/>
                    <w:bidi w:val="0"/>
                    <w:adjustRightInd/>
                    <w:snapToGrid w:val="0"/>
                    <w:textAlignment w:val="auto"/>
                    <w:rPr>
                      <w:rFonts w:hint="eastAsia"/>
                      <w:bCs/>
                      <w:lang w:val="en-US" w:eastAsia="zh-CN"/>
                    </w:rPr>
                  </w:pPr>
                  <w:r>
                    <w:rPr>
                      <w:rFonts w:hint="eastAsia"/>
                      <w:bCs/>
                      <w:lang w:val="en-US" w:eastAsia="zh-CN"/>
                    </w:rPr>
                    <w:t>储罐区</w:t>
                  </w:r>
                </w:p>
              </w:tc>
              <w:tc>
                <w:tcPr>
                  <w:tcW w:w="763" w:type="pct"/>
                  <w:vAlign w:val="center"/>
                </w:tcPr>
                <w:p w14:paraId="0B437C3B">
                  <w:pPr>
                    <w:pStyle w:val="49"/>
                    <w:keepNext w:val="0"/>
                    <w:keepLines w:val="0"/>
                    <w:pageBreakBefore w:val="0"/>
                    <w:widowControl w:val="0"/>
                    <w:kinsoku/>
                    <w:wordWrap/>
                    <w:overflowPunct/>
                    <w:topLinePunct w:val="0"/>
                    <w:autoSpaceDE/>
                    <w:autoSpaceDN/>
                    <w:bidi w:val="0"/>
                    <w:adjustRightInd/>
                    <w:snapToGrid w:val="0"/>
                    <w:textAlignment w:val="auto"/>
                    <w:rPr>
                      <w:rFonts w:hint="eastAsia"/>
                      <w:bCs/>
                      <w:lang w:val="en-US" w:eastAsia="zh-CN"/>
                    </w:rPr>
                  </w:pPr>
                  <w:r>
                    <w:t>非甲烷总烃</w:t>
                  </w:r>
                </w:p>
              </w:tc>
              <w:tc>
                <w:tcPr>
                  <w:tcW w:w="962" w:type="pct"/>
                  <w:vMerge w:val="continue"/>
                  <w:vAlign w:val="center"/>
                </w:tcPr>
                <w:p w14:paraId="07246BC0">
                  <w:pPr>
                    <w:pStyle w:val="49"/>
                    <w:keepNext w:val="0"/>
                    <w:keepLines w:val="0"/>
                    <w:pageBreakBefore w:val="0"/>
                    <w:widowControl w:val="0"/>
                    <w:kinsoku/>
                    <w:wordWrap/>
                    <w:overflowPunct/>
                    <w:topLinePunct w:val="0"/>
                    <w:autoSpaceDE/>
                    <w:autoSpaceDN/>
                    <w:bidi w:val="0"/>
                    <w:adjustRightInd/>
                    <w:snapToGrid w:val="0"/>
                    <w:textAlignment w:val="auto"/>
                    <w:rPr>
                      <w:rFonts w:hint="eastAsia"/>
                      <w:bCs/>
                      <w:lang w:val="en-US" w:eastAsia="zh-CN"/>
                    </w:rPr>
                  </w:pPr>
                </w:p>
              </w:tc>
              <w:tc>
                <w:tcPr>
                  <w:tcW w:w="918" w:type="pct"/>
                  <w:vAlign w:val="center"/>
                </w:tcPr>
                <w:p w14:paraId="524EDD3C">
                  <w:pPr>
                    <w:pStyle w:val="49"/>
                    <w:keepNext w:val="0"/>
                    <w:keepLines w:val="0"/>
                    <w:pageBreakBefore w:val="0"/>
                    <w:widowControl w:val="0"/>
                    <w:kinsoku/>
                    <w:wordWrap/>
                    <w:overflowPunct/>
                    <w:topLinePunct w:val="0"/>
                    <w:autoSpaceDE/>
                    <w:autoSpaceDN/>
                    <w:bidi w:val="0"/>
                    <w:adjustRightInd/>
                    <w:snapToGrid w:val="0"/>
                    <w:textAlignment w:val="auto"/>
                    <w:rPr>
                      <w:rFonts w:hint="default"/>
                      <w:bCs/>
                      <w:lang w:val="en-US" w:eastAsia="zh-CN"/>
                    </w:rPr>
                  </w:pPr>
                  <w:r>
                    <w:rPr>
                      <w:rFonts w:hint="default"/>
                      <w:bCs/>
                      <w:lang w:val="en-US" w:eastAsia="zh-CN"/>
                    </w:rPr>
                    <w:t>0.557</w:t>
                  </w:r>
                </w:p>
              </w:tc>
              <w:tc>
                <w:tcPr>
                  <w:tcW w:w="925" w:type="pct"/>
                  <w:vAlign w:val="center"/>
                </w:tcPr>
                <w:p w14:paraId="13E8CFB1">
                  <w:pPr>
                    <w:pStyle w:val="49"/>
                    <w:keepNext w:val="0"/>
                    <w:keepLines w:val="0"/>
                    <w:pageBreakBefore w:val="0"/>
                    <w:widowControl w:val="0"/>
                    <w:kinsoku/>
                    <w:wordWrap/>
                    <w:overflowPunct/>
                    <w:topLinePunct w:val="0"/>
                    <w:autoSpaceDE/>
                    <w:autoSpaceDN/>
                    <w:bidi w:val="0"/>
                    <w:adjustRightInd/>
                    <w:snapToGrid w:val="0"/>
                    <w:textAlignment w:val="auto"/>
                    <w:rPr>
                      <w:rFonts w:hint="eastAsia"/>
                      <w:bCs/>
                      <w:lang w:val="en-US" w:eastAsia="zh-CN"/>
                    </w:rPr>
                  </w:pPr>
                  <w:r>
                    <w:rPr>
                      <w:rFonts w:hint="eastAsia"/>
                    </w:rPr>
                    <w:t>2次/a，1h/次</w:t>
                  </w:r>
                </w:p>
              </w:tc>
              <w:tc>
                <w:tcPr>
                  <w:tcW w:w="803" w:type="pct"/>
                  <w:vAlign w:val="center"/>
                </w:tcPr>
                <w:p w14:paraId="1BC32ACC">
                  <w:pPr>
                    <w:pStyle w:val="49"/>
                    <w:keepNext w:val="0"/>
                    <w:keepLines w:val="0"/>
                    <w:pageBreakBefore w:val="0"/>
                    <w:widowControl w:val="0"/>
                    <w:kinsoku/>
                    <w:wordWrap/>
                    <w:overflowPunct/>
                    <w:topLinePunct w:val="0"/>
                    <w:autoSpaceDE/>
                    <w:autoSpaceDN/>
                    <w:bidi w:val="0"/>
                    <w:adjustRightInd/>
                    <w:snapToGrid w:val="0"/>
                    <w:textAlignment w:val="auto"/>
                    <w:rPr>
                      <w:rFonts w:hint="default"/>
                      <w:bCs/>
                      <w:lang w:val="en-US" w:eastAsia="zh-CN"/>
                    </w:rPr>
                  </w:pPr>
                  <w:r>
                    <w:rPr>
                      <w:rFonts w:hint="eastAsia"/>
                      <w:bCs/>
                      <w:lang w:val="en-US" w:eastAsia="zh-CN"/>
                    </w:rPr>
                    <w:t>1.114</w:t>
                  </w:r>
                </w:p>
              </w:tc>
            </w:tr>
          </w:tbl>
          <w:p w14:paraId="7FC9F10F">
            <w:pPr>
              <w:keepNext w:val="0"/>
              <w:keepLines w:val="0"/>
              <w:pageBreakBefore w:val="0"/>
              <w:widowControl w:val="0"/>
              <w:kinsoku/>
              <w:wordWrap/>
              <w:overflowPunct/>
              <w:topLinePunct w:val="0"/>
              <w:autoSpaceDE/>
              <w:autoSpaceDN/>
              <w:bidi w:val="0"/>
              <w:adjustRightInd/>
              <w:snapToGrid/>
              <w:ind w:firstLine="480"/>
              <w:textAlignment w:val="auto"/>
            </w:pPr>
            <w:r>
              <w:t>由</w:t>
            </w:r>
            <w:r>
              <w:rPr>
                <w:rFonts w:hint="eastAsia"/>
              </w:rPr>
              <w:t>上表</w:t>
            </w:r>
            <w:r>
              <w:t>可知，非正常工况下，会加重对周边环境的影响，因此建设单位必须加强废气处理设施的管理，定期检修，确保</w:t>
            </w:r>
            <w:r>
              <w:rPr>
                <w:rFonts w:hint="eastAsia" w:ascii="Times New Roman" w:hAnsi="Times New Roman" w:eastAsia="宋体"/>
                <w:color w:val="000000" w:themeColor="text1"/>
                <w:sz w:val="24"/>
                <w14:textFill>
                  <w14:solidFill>
                    <w14:schemeClr w14:val="tx1"/>
                  </w14:solidFill>
                </w14:textFill>
              </w:rPr>
              <w:t>油气回收系统</w:t>
            </w:r>
            <w:r>
              <w:t>正常运行，在废气处理设备停止运行或出现故障时，产生废气的各工序也必须相应停止生产。为杜绝废气非正常排放，应采取以下措施确保废气达标排放：</w:t>
            </w:r>
          </w:p>
          <w:p w14:paraId="7DBDC760">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ascii="宋体" w:hAnsi="宋体" w:cs="宋体"/>
              </w:rPr>
              <w:t>①</w:t>
            </w:r>
            <w:r>
              <w:t>安排专人负责环保设备的日常维护和管理，</w:t>
            </w:r>
            <w:r>
              <w:rPr>
                <w:rFonts w:hint="eastAsia"/>
                <w:lang w:eastAsia="zh-CN"/>
              </w:rPr>
              <w:t>每隔</w:t>
            </w:r>
            <w:r>
              <w:t>固定时间检查、汇报情况，及时发现废气处理设备的隐患，确保废气处理系统正常运行；</w:t>
            </w:r>
          </w:p>
          <w:p w14:paraId="718B03A0">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ascii="宋体" w:hAnsi="宋体" w:cs="宋体"/>
              </w:rPr>
              <w:t>②</w:t>
            </w:r>
            <w:r>
              <w:t>建立健全的环保管理机构，对环保管理人员和技术人员进行岗位培训，委托具有专业资质的环境检测单位对项目排放的各类污染物进行定期检测；</w:t>
            </w:r>
          </w:p>
          <w:p w14:paraId="063B3448">
            <w:pPr>
              <w:ind w:firstLine="480"/>
              <w:rPr>
                <w:b w:val="0"/>
                <w:bCs w:val="0"/>
                <w:color w:val="00B050"/>
              </w:rPr>
            </w:pPr>
            <w:r>
              <w:rPr>
                <w:rFonts w:hint="eastAsia" w:ascii="宋体" w:hAnsi="宋体" w:cs="宋体"/>
                <w:b w:val="0"/>
                <w:bCs w:val="0"/>
                <w:color w:val="00B050"/>
              </w:rPr>
              <w:t>③</w:t>
            </w:r>
            <w:r>
              <w:rPr>
                <w:b w:val="0"/>
                <w:bCs w:val="0"/>
                <w:color w:val="00B050"/>
              </w:rPr>
              <w:t>应定期维护、检修废气净化装置，</w:t>
            </w:r>
            <w:r>
              <w:rPr>
                <w:rFonts w:ascii="Segoe UI" w:hAnsi="Segoe UI" w:eastAsia="Segoe UI" w:cs="Segoe UI"/>
                <w:b w:val="0"/>
                <w:bCs w:val="0"/>
                <w:i w:val="0"/>
                <w:iCs w:val="0"/>
                <w:caps w:val="0"/>
                <w:color w:val="00B050"/>
                <w:spacing w:val="0"/>
                <w:sz w:val="24"/>
                <w:szCs w:val="24"/>
                <w:shd w:val="clear" w:fill="FFFFFF"/>
              </w:rPr>
              <w:t>委托有资质的机构对</w:t>
            </w:r>
            <w:r>
              <w:rPr>
                <w:rStyle w:val="40"/>
                <w:rFonts w:hint="default" w:ascii="Segoe UI" w:hAnsi="Segoe UI" w:eastAsia="Segoe UI" w:cs="Segoe UI"/>
                <w:b w:val="0"/>
                <w:bCs w:val="0"/>
                <w:i w:val="0"/>
                <w:iCs w:val="0"/>
                <w:caps w:val="0"/>
                <w:color w:val="00B050"/>
                <w:spacing w:val="0"/>
                <w:sz w:val="24"/>
                <w:szCs w:val="24"/>
                <w:shd w:val="clear" w:fill="FFFFFF"/>
              </w:rPr>
              <w:t>一次、二次、油气回收系统</w:t>
            </w:r>
            <w:r>
              <w:rPr>
                <w:rFonts w:hint="default" w:ascii="Segoe UI" w:hAnsi="Segoe UI" w:eastAsia="Segoe UI" w:cs="Segoe UI"/>
                <w:b w:val="0"/>
                <w:bCs w:val="0"/>
                <w:i w:val="0"/>
                <w:iCs w:val="0"/>
                <w:caps w:val="0"/>
                <w:color w:val="00B050"/>
                <w:spacing w:val="0"/>
                <w:sz w:val="24"/>
                <w:szCs w:val="24"/>
                <w:shd w:val="clear" w:fill="FFFFFF"/>
              </w:rPr>
              <w:t>的气液比、密闭性、液阻等关键参数进行定期检测，确保系统高效运行</w:t>
            </w:r>
            <w:r>
              <w:rPr>
                <w:rFonts w:hint="eastAsia" w:ascii="Segoe UI" w:hAnsi="Segoe UI" w:eastAsia="宋体" w:cs="Segoe UI"/>
                <w:b w:val="0"/>
                <w:bCs w:val="0"/>
                <w:i w:val="0"/>
                <w:iCs w:val="0"/>
                <w:caps w:val="0"/>
                <w:color w:val="00B050"/>
                <w:spacing w:val="0"/>
                <w:sz w:val="24"/>
                <w:szCs w:val="24"/>
                <w:shd w:val="clear" w:fill="FFFFFF"/>
                <w:lang w:eastAsia="zh-CN"/>
              </w:rPr>
              <w:t>，</w:t>
            </w:r>
            <w:r>
              <w:rPr>
                <w:b w:val="0"/>
                <w:bCs w:val="0"/>
                <w:color w:val="00B050"/>
              </w:rPr>
              <w:t>以保持</w:t>
            </w:r>
            <w:r>
              <w:rPr>
                <w:rFonts w:hint="eastAsia" w:ascii="Times New Roman" w:hAnsi="Times New Roman" w:eastAsia="宋体"/>
                <w:b w:val="0"/>
                <w:bCs w:val="0"/>
                <w:color w:val="00B050"/>
                <w:sz w:val="24"/>
              </w:rPr>
              <w:t>油气回收系统</w:t>
            </w:r>
            <w:r>
              <w:rPr>
                <w:rFonts w:hint="eastAsia" w:eastAsia="宋体"/>
                <w:b w:val="0"/>
                <w:bCs w:val="0"/>
                <w:color w:val="00B050"/>
                <w:lang w:val="en-US" w:eastAsia="zh-CN"/>
              </w:rPr>
              <w:t>回收效率</w:t>
            </w:r>
            <w:r>
              <w:rPr>
                <w:b w:val="0"/>
                <w:bCs w:val="0"/>
                <w:color w:val="00B050"/>
              </w:rPr>
              <w:t>。</w:t>
            </w:r>
          </w:p>
          <w:p w14:paraId="37A6DD8D">
            <w:pPr>
              <w:ind w:firstLine="480"/>
              <w:rPr>
                <w:rFonts w:ascii="Segoe UI" w:hAnsi="Segoe UI" w:eastAsia="Segoe UI" w:cs="Segoe UI"/>
                <w:i w:val="0"/>
                <w:iCs w:val="0"/>
                <w:caps w:val="0"/>
                <w:color w:val="00B050"/>
                <w:spacing w:val="0"/>
                <w:sz w:val="24"/>
                <w:szCs w:val="24"/>
                <w:shd w:val="clear" w:fill="FFFFFF"/>
              </w:rPr>
            </w:pPr>
            <w:r>
              <w:rPr>
                <w:rFonts w:hint="eastAsia" w:ascii="宋体" w:hAnsi="宋体" w:eastAsia="宋体" w:cs="宋体"/>
                <w:color w:val="00B050"/>
              </w:rPr>
              <w:fldChar w:fldCharType="begin"/>
            </w:r>
            <w:r>
              <w:rPr>
                <w:rFonts w:hint="eastAsia" w:ascii="宋体" w:hAnsi="宋体" w:eastAsia="宋体" w:cs="宋体"/>
                <w:color w:val="00B050"/>
              </w:rPr>
              <w:instrText xml:space="preserve"> = 4 \* GB3 \* MERGEFORMAT </w:instrText>
            </w:r>
            <w:r>
              <w:rPr>
                <w:rFonts w:hint="eastAsia" w:ascii="宋体" w:hAnsi="宋体" w:eastAsia="宋体" w:cs="宋体"/>
                <w:color w:val="00B050"/>
              </w:rPr>
              <w:fldChar w:fldCharType="separate"/>
            </w:r>
            <w:r>
              <w:rPr>
                <w:rFonts w:hint="eastAsia" w:ascii="宋体" w:hAnsi="宋体" w:eastAsia="宋体" w:cs="宋体"/>
                <w:color w:val="00B050"/>
              </w:rPr>
              <w:t>④</w:t>
            </w:r>
            <w:r>
              <w:rPr>
                <w:rFonts w:hint="eastAsia" w:ascii="宋体" w:hAnsi="宋体" w:eastAsia="宋体" w:cs="宋体"/>
                <w:color w:val="00B050"/>
              </w:rPr>
              <w:fldChar w:fldCharType="end"/>
            </w:r>
            <w:r>
              <w:rPr>
                <w:rFonts w:ascii="Segoe UI" w:hAnsi="Segoe UI" w:eastAsia="Segoe UI" w:cs="Segoe UI"/>
                <w:i w:val="0"/>
                <w:iCs w:val="0"/>
                <w:caps w:val="0"/>
                <w:color w:val="00B050"/>
                <w:spacing w:val="0"/>
                <w:sz w:val="24"/>
                <w:szCs w:val="24"/>
                <w:shd w:val="clear" w:fill="FFFFFF"/>
              </w:rPr>
              <w:t>安装油气回收在线监控系统，实时监测气液比、管线压力、处理装置状态等，异常时自动报警。</w:t>
            </w:r>
          </w:p>
          <w:p w14:paraId="1B17EC08">
            <w:pPr>
              <w:ind w:firstLine="480"/>
              <w:rPr>
                <w:rFonts w:hint="eastAsia"/>
                <w:color w:val="00B050"/>
              </w:rPr>
            </w:pPr>
            <w:r>
              <w:rPr>
                <w:rFonts w:hint="eastAsia"/>
                <w:color w:val="00B050"/>
              </w:rPr>
              <w:fldChar w:fldCharType="begin"/>
            </w:r>
            <w:r>
              <w:rPr>
                <w:rFonts w:hint="eastAsia"/>
                <w:color w:val="00B050"/>
              </w:rPr>
              <w:instrText xml:space="preserve"> = 5 \* GB3 \* MERGEFORMAT </w:instrText>
            </w:r>
            <w:r>
              <w:rPr>
                <w:rFonts w:hint="eastAsia"/>
                <w:color w:val="00B050"/>
              </w:rPr>
              <w:fldChar w:fldCharType="separate"/>
            </w:r>
            <w:r>
              <w:rPr>
                <w:color w:val="00B050"/>
              </w:rPr>
              <w:t>⑤</w:t>
            </w:r>
            <w:r>
              <w:rPr>
                <w:rFonts w:hint="eastAsia"/>
                <w:color w:val="00B050"/>
              </w:rPr>
              <w:fldChar w:fldCharType="end"/>
            </w:r>
            <w:r>
              <w:rPr>
                <w:rFonts w:hint="eastAsia"/>
                <w:color w:val="00B050"/>
              </w:rPr>
              <w:t>遵循“先连油气回收管，后连卸油管；先卸油，后卸气”的规程，采用“密闭卸油”和“满罐卸油”方式，控制卸油速度。确保加油枪回气罩与油箱口紧密贴合，避免溅油。鼓励客户在夜间或低温时段加油，减少挥发。</w:t>
            </w:r>
          </w:p>
          <w:p w14:paraId="72D08675">
            <w:pPr>
              <w:ind w:firstLine="480"/>
              <w:rPr>
                <w:rFonts w:hint="eastAsia" w:ascii="Times New Roman" w:hAnsi="Times New Roman" w:eastAsia="宋体" w:cs="Times New Roman"/>
                <w:color w:val="00B050"/>
              </w:rPr>
            </w:pPr>
            <w:r>
              <w:rPr>
                <w:rFonts w:hint="eastAsia" w:ascii="Times New Roman" w:hAnsi="Times New Roman" w:eastAsia="宋体" w:cs="Times New Roman"/>
                <w:color w:val="00B050"/>
              </w:rPr>
              <w:fldChar w:fldCharType="begin"/>
            </w:r>
            <w:r>
              <w:rPr>
                <w:rFonts w:hint="eastAsia" w:ascii="Times New Roman" w:hAnsi="Times New Roman" w:eastAsia="宋体" w:cs="Times New Roman"/>
                <w:color w:val="00B050"/>
              </w:rPr>
              <w:instrText xml:space="preserve"> = 6 \* GB3 \* MERGEFORMAT </w:instrText>
            </w:r>
            <w:r>
              <w:rPr>
                <w:rFonts w:hint="eastAsia" w:ascii="Times New Roman" w:hAnsi="Times New Roman" w:eastAsia="宋体" w:cs="Times New Roman"/>
                <w:color w:val="00B050"/>
              </w:rPr>
              <w:fldChar w:fldCharType="separate"/>
            </w:r>
            <w:r>
              <w:rPr>
                <w:rFonts w:hint="eastAsia" w:ascii="Times New Roman" w:hAnsi="Times New Roman" w:eastAsia="宋体" w:cs="Times New Roman"/>
                <w:color w:val="00B050"/>
              </w:rPr>
              <w:t>⑥</w:t>
            </w:r>
            <w:r>
              <w:rPr>
                <w:rFonts w:hint="eastAsia" w:ascii="Times New Roman" w:hAnsi="Times New Roman" w:eastAsia="宋体" w:cs="Times New Roman"/>
                <w:color w:val="00B050"/>
              </w:rPr>
              <w:fldChar w:fldCharType="end"/>
            </w:r>
            <w:r>
              <w:rPr>
                <w:rFonts w:hint="eastAsia" w:ascii="Times New Roman" w:hAnsi="Times New Roman" w:eastAsia="宋体" w:cs="Times New Roman"/>
                <w:color w:val="00B050"/>
              </w:rPr>
              <w:t>建立LDAR制度，使用便携式检测仪（如PID）定期对管线、阀门、法兰等潜在泄漏点进行扫描，及时发现并修复。</w:t>
            </w:r>
          </w:p>
          <w:p w14:paraId="7FF61ED9">
            <w:pPr>
              <w:pStyle w:val="54"/>
              <w:keepNext w:val="0"/>
              <w:keepLines w:val="0"/>
              <w:pageBreakBefore w:val="0"/>
              <w:widowControl w:val="0"/>
              <w:numPr>
                <w:ilvl w:val="0"/>
                <w:numId w:val="0"/>
              </w:numPr>
              <w:kinsoku/>
              <w:wordWrap/>
              <w:overflowPunct/>
              <w:topLinePunct w:val="0"/>
              <w:autoSpaceDE/>
              <w:autoSpaceDN/>
              <w:bidi w:val="0"/>
              <w:adjustRightInd/>
              <w:snapToGrid/>
              <w:ind w:leftChars="0" w:firstLine="482" w:firstLineChars="200"/>
              <w:textAlignment w:val="auto"/>
              <w:rPr>
                <w:rFonts w:hint="default"/>
                <w:b/>
                <w:lang w:val="en-US" w:eastAsia="zh-CN"/>
              </w:rPr>
            </w:pPr>
            <w:r>
              <w:rPr>
                <w:rFonts w:hint="eastAsia"/>
                <w:b/>
                <w:lang w:val="en-US" w:eastAsia="zh-CN"/>
              </w:rPr>
              <w:t>（6）卫生防护距离</w:t>
            </w:r>
          </w:p>
          <w:p w14:paraId="05E7B8D2">
            <w:pPr>
              <w:spacing w:line="360" w:lineRule="auto"/>
              <w:ind w:firstLine="480" w:firstLineChars="200"/>
              <w:rPr>
                <w:rFonts w:ascii="Times New Roman" w:hAnsi="Times New Roman" w:eastAsia="宋体"/>
                <w:color w:val="000000" w:themeColor="text1"/>
                <w:sz w:val="24"/>
                <w14:textFill>
                  <w14:solidFill>
                    <w14:schemeClr w14:val="tx1"/>
                  </w14:solidFill>
                </w14:textFill>
              </w:rPr>
            </w:pPr>
            <w:r>
              <w:rPr>
                <w:rFonts w:ascii="Times New Roman" w:hAnsi="Times New Roman" w:eastAsia="宋体"/>
                <w:color w:val="000000" w:themeColor="text1"/>
                <w:sz w:val="24"/>
                <w14:textFill>
                  <w14:solidFill>
                    <w14:schemeClr w14:val="tx1"/>
                  </w14:solidFill>
                </w14:textFill>
              </w:rPr>
              <w:t>采用《大气有害物质无组织排放卫生防护距离推导技术导则》（GB/T39499-2020）中关于卫生防护距离初值计算公式，计算项目需要设置的卫生防护距离。计算公式为：</w:t>
            </w:r>
          </w:p>
          <w:p w14:paraId="25AA15F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olor w:val="000000" w:themeColor="text1"/>
                <w:sz w:val="24"/>
                <w14:textFill>
                  <w14:solidFill>
                    <w14:schemeClr w14:val="tx1"/>
                  </w14:solidFill>
                </w14:textFill>
              </w:rPr>
            </w:pPr>
            <w:r>
              <w:rPr>
                <w:rFonts w:ascii="Times New Roman" w:hAnsi="Times New Roman" w:eastAsia="宋体"/>
                <w:color w:val="000000" w:themeColor="text1"/>
                <w:sz w:val="24"/>
                <w14:textFill>
                  <w14:solidFill>
                    <w14:schemeClr w14:val="tx1"/>
                  </w14:solidFill>
                </w14:textFill>
              </w:rPr>
              <w:drawing>
                <wp:inline distT="0" distB="0" distL="0" distR="0">
                  <wp:extent cx="2576195" cy="497205"/>
                  <wp:effectExtent l="0" t="0" r="14605" b="171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2594690" cy="500728"/>
                          </a:xfrm>
                          <a:prstGeom prst="rect">
                            <a:avLst/>
                          </a:prstGeom>
                        </pic:spPr>
                      </pic:pic>
                    </a:graphicData>
                  </a:graphic>
                </wp:inline>
              </w:drawing>
            </w:r>
          </w:p>
          <w:p w14:paraId="0919C874">
            <w:pPr>
              <w:spacing w:line="360"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式中：</w:t>
            </w:r>
            <w:r>
              <w:rPr>
                <w:rFonts w:ascii="Times New Roman" w:hAnsi="Times New Roman" w:eastAsia="宋体"/>
                <w:color w:val="000000" w:themeColor="text1"/>
                <w:sz w:val="24"/>
                <w14:textFill>
                  <w14:solidFill>
                    <w14:schemeClr w14:val="tx1"/>
                  </w14:solidFill>
                </w14:textFill>
              </w:rPr>
              <w:t>Cm—标准浓度限值，mg/m</w:t>
            </w:r>
            <w:r>
              <w:rPr>
                <w:rFonts w:ascii="Times New Roman" w:hAnsi="Times New Roman" w:eastAsia="宋体"/>
                <w:color w:val="000000" w:themeColor="text1"/>
                <w:sz w:val="24"/>
                <w:vertAlign w:val="superscript"/>
                <w14:textFill>
                  <w14:solidFill>
                    <w14:schemeClr w14:val="tx1"/>
                  </w14:solidFill>
                </w14:textFill>
              </w:rPr>
              <w:t>3</w:t>
            </w:r>
            <w:r>
              <w:rPr>
                <w:rFonts w:ascii="Times New Roman" w:hAnsi="Times New Roman" w:eastAsia="宋体"/>
                <w:color w:val="000000" w:themeColor="text1"/>
                <w:sz w:val="24"/>
                <w14:textFill>
                  <w14:solidFill>
                    <w14:schemeClr w14:val="tx1"/>
                  </w14:solidFill>
                </w14:textFill>
              </w:rPr>
              <w:t>；</w:t>
            </w:r>
          </w:p>
          <w:p w14:paraId="3D2BB932">
            <w:pPr>
              <w:spacing w:line="360" w:lineRule="auto"/>
              <w:ind w:firstLine="1200" w:firstLineChars="500"/>
              <w:rPr>
                <w:rFonts w:ascii="Times New Roman" w:hAnsi="Times New Roman" w:eastAsia="宋体"/>
                <w:color w:val="000000" w:themeColor="text1"/>
                <w:sz w:val="24"/>
                <w14:textFill>
                  <w14:solidFill>
                    <w14:schemeClr w14:val="tx1"/>
                  </w14:solidFill>
                </w14:textFill>
              </w:rPr>
            </w:pPr>
            <w:r>
              <w:rPr>
                <w:rFonts w:ascii="Times New Roman" w:hAnsi="Times New Roman" w:eastAsia="宋体"/>
                <w:color w:val="000000" w:themeColor="text1"/>
                <w:sz w:val="24"/>
                <w14:textFill>
                  <w14:solidFill>
                    <w14:schemeClr w14:val="tx1"/>
                  </w14:solidFill>
                </w14:textFill>
              </w:rPr>
              <w:t>L—工业企业所需卫生防护距离，m；</w:t>
            </w:r>
          </w:p>
          <w:p w14:paraId="516C8FB3">
            <w:pPr>
              <w:spacing w:line="360" w:lineRule="auto"/>
              <w:ind w:firstLine="1200" w:firstLineChars="500"/>
              <w:rPr>
                <w:rFonts w:ascii="Times New Roman" w:hAnsi="Times New Roman" w:eastAsia="宋体"/>
                <w:color w:val="000000" w:themeColor="text1"/>
                <w:sz w:val="24"/>
                <w14:textFill>
                  <w14:solidFill>
                    <w14:schemeClr w14:val="tx1"/>
                  </w14:solidFill>
                </w14:textFill>
              </w:rPr>
            </w:pPr>
            <w:r>
              <w:rPr>
                <w:rFonts w:ascii="Times New Roman" w:hAnsi="Times New Roman" w:eastAsia="宋体"/>
                <w:color w:val="000000" w:themeColor="text1"/>
                <w:sz w:val="24"/>
                <w14:textFill>
                  <w14:solidFill>
                    <w14:schemeClr w14:val="tx1"/>
                  </w14:solidFill>
                </w14:textFill>
              </w:rPr>
              <w:t>Ǫc—有害气体无组织排放量，kg/h；</w:t>
            </w:r>
          </w:p>
          <w:p w14:paraId="4CD1AC61">
            <w:pPr>
              <w:spacing w:line="360" w:lineRule="auto"/>
              <w:ind w:firstLine="1200" w:firstLineChars="500"/>
              <w:rPr>
                <w:rFonts w:ascii="Times New Roman" w:hAnsi="Times New Roman" w:eastAsia="宋体"/>
                <w:color w:val="000000" w:themeColor="text1"/>
                <w:sz w:val="24"/>
                <w14:textFill>
                  <w14:solidFill>
                    <w14:schemeClr w14:val="tx1"/>
                  </w14:solidFill>
                </w14:textFill>
              </w:rPr>
            </w:pPr>
            <w:r>
              <w:rPr>
                <w:rFonts w:ascii="Times New Roman" w:hAnsi="Times New Roman" w:eastAsia="宋体"/>
                <w:color w:val="000000" w:themeColor="text1"/>
                <w:sz w:val="24"/>
                <w14:textFill>
                  <w14:solidFill>
                    <w14:schemeClr w14:val="tx1"/>
                  </w14:solidFill>
                </w14:textFill>
              </w:rPr>
              <w:t>r—有害气体无组织排放源所在单元的等效半径，m</w:t>
            </w:r>
            <w:r>
              <w:rPr>
                <w:rFonts w:hint="eastAsia" w:ascii="Times New Roman" w:hAnsi="Times New Roman" w:eastAsia="宋体"/>
                <w:color w:val="000000" w:themeColor="text1"/>
                <w:sz w:val="24"/>
                <w14:textFill>
                  <w14:solidFill>
                    <w14:schemeClr w14:val="tx1"/>
                  </w14:solidFill>
                </w14:textFill>
              </w:rPr>
              <w:t>。</w:t>
            </w:r>
          </w:p>
          <w:p w14:paraId="76030BEB">
            <w:pPr>
              <w:spacing w:line="360" w:lineRule="auto"/>
              <w:ind w:firstLine="480" w:firstLineChars="200"/>
              <w:rPr>
                <w:rFonts w:ascii="Times New Roman" w:hAnsi="Times New Roman" w:eastAsia="宋体"/>
                <w:color w:val="000000" w:themeColor="text1"/>
                <w:sz w:val="24"/>
                <w14:textFill>
                  <w14:solidFill>
                    <w14:schemeClr w14:val="tx1"/>
                  </w14:solidFill>
                </w14:textFill>
              </w:rPr>
            </w:pPr>
            <w:r>
              <w:rPr>
                <w:rFonts w:hint="default" w:ascii="Times New Roman" w:hAnsi="Times New Roman" w:eastAsia="Times New Roman" w:cs="Times New Roman"/>
                <w:color w:val="auto"/>
                <w:sz w:val="24"/>
              </w:rPr>
              <w:t>A</w:t>
            </w:r>
            <w:r>
              <w:rPr>
                <w:rFonts w:hint="default" w:ascii="Times New Roman" w:hAnsi="Times New Roman" w:cs="Times New Roman"/>
                <w:color w:val="auto"/>
                <w:sz w:val="24"/>
              </w:rPr>
              <w:t>、</w:t>
            </w:r>
            <w:r>
              <w:rPr>
                <w:rFonts w:hint="default" w:ascii="Times New Roman" w:hAnsi="Times New Roman" w:eastAsia="Times New Roman" w:cs="Times New Roman"/>
                <w:color w:val="auto"/>
                <w:sz w:val="24"/>
              </w:rPr>
              <w:t>B</w:t>
            </w:r>
            <w:r>
              <w:rPr>
                <w:rFonts w:hint="default" w:ascii="Times New Roman" w:hAnsi="Times New Roman" w:cs="Times New Roman"/>
                <w:color w:val="auto"/>
                <w:sz w:val="24"/>
              </w:rPr>
              <w:t>、</w:t>
            </w:r>
            <w:r>
              <w:rPr>
                <w:rFonts w:hint="default" w:ascii="Times New Roman" w:hAnsi="Times New Roman" w:eastAsia="Times New Roman" w:cs="Times New Roman"/>
                <w:color w:val="auto"/>
                <w:sz w:val="24"/>
              </w:rPr>
              <w:t>C</w:t>
            </w:r>
            <w:r>
              <w:rPr>
                <w:rFonts w:hint="default" w:ascii="Times New Roman" w:hAnsi="Times New Roman" w:cs="Times New Roman"/>
                <w:color w:val="auto"/>
                <w:sz w:val="24"/>
              </w:rPr>
              <w:t>、</w:t>
            </w:r>
            <w:r>
              <w:rPr>
                <w:rFonts w:hint="default" w:ascii="Times New Roman" w:hAnsi="Times New Roman" w:eastAsia="Times New Roman" w:cs="Times New Roman"/>
                <w:color w:val="auto"/>
                <w:sz w:val="24"/>
              </w:rPr>
              <w:t>D—</w:t>
            </w:r>
            <w:r>
              <w:rPr>
                <w:rFonts w:hint="default" w:ascii="Times New Roman" w:hAnsi="Times New Roman" w:cs="Times New Roman"/>
                <w:color w:val="auto"/>
                <w:sz w:val="24"/>
              </w:rPr>
              <w:t>卫生防护距离初值计算系数，无因次，根据工业企业所在地区近</w:t>
            </w:r>
            <w:r>
              <w:rPr>
                <w:rFonts w:hint="default" w:ascii="Times New Roman" w:hAnsi="Times New Roman" w:eastAsia="Times New Roman" w:cs="Times New Roman"/>
                <w:color w:val="auto"/>
                <w:sz w:val="24"/>
              </w:rPr>
              <w:t>5</w:t>
            </w:r>
            <w:r>
              <w:rPr>
                <w:rFonts w:hint="default" w:ascii="Times New Roman" w:hAnsi="Times New Roman" w:cs="Times New Roman"/>
                <w:color w:val="auto"/>
                <w:sz w:val="24"/>
              </w:rPr>
              <w:t>年平均风速及大气污染源构成类别从表</w:t>
            </w:r>
            <w:r>
              <w:rPr>
                <w:rFonts w:hint="default" w:ascii="Times New Roman" w:hAnsi="Times New Roman" w:eastAsia="Times New Roman" w:cs="Times New Roman"/>
                <w:color w:val="auto"/>
                <w:sz w:val="24"/>
              </w:rPr>
              <w:t>1</w:t>
            </w:r>
            <w:r>
              <w:rPr>
                <w:rFonts w:hint="default" w:ascii="Times New Roman" w:hAnsi="Times New Roman" w:cs="Times New Roman"/>
                <w:color w:val="auto"/>
                <w:sz w:val="24"/>
              </w:rPr>
              <w:t>查取。</w:t>
            </w:r>
            <w:r>
              <w:rPr>
                <w:rFonts w:hint="eastAsia" w:cs="Times New Roman"/>
                <w:color w:val="FF0000"/>
                <w:sz w:val="24"/>
                <w:lang w:val="en-US" w:eastAsia="zh-CN"/>
              </w:rPr>
              <w:t>根</w:t>
            </w:r>
            <w:r>
              <w:rPr>
                <w:rFonts w:hint="default" w:ascii="Times New Roman" w:hAnsi="Times New Roman" w:cs="Times New Roman"/>
                <w:color w:val="FF0000"/>
                <w:highlight w:val="none"/>
              </w:rPr>
              <w:t>据</w:t>
            </w:r>
            <w:r>
              <w:rPr>
                <w:rFonts w:hint="default" w:ascii="Times New Roman" w:hAnsi="Times New Roman" w:cs="Times New Roman"/>
                <w:color w:val="FF0000"/>
                <w:highlight w:val="none"/>
                <w:lang w:eastAsia="zh-CN"/>
              </w:rPr>
              <w:t>九江气象站2004</w:t>
            </w:r>
            <w:r>
              <w:rPr>
                <w:rFonts w:hint="eastAsia" w:ascii="Times New Roman" w:hAnsi="Times New Roman" w:cs="Times New Roman"/>
                <w:color w:val="FF0000"/>
                <w:highlight w:val="none"/>
                <w:lang w:val="en-US" w:eastAsia="zh-CN"/>
              </w:rPr>
              <w:t>~</w:t>
            </w:r>
            <w:r>
              <w:rPr>
                <w:rFonts w:hint="default" w:ascii="Times New Roman" w:hAnsi="Times New Roman" w:cs="Times New Roman"/>
                <w:color w:val="FF0000"/>
                <w:highlight w:val="none"/>
                <w:lang w:eastAsia="zh-CN"/>
              </w:rPr>
              <w:t>202</w:t>
            </w:r>
            <w:r>
              <w:rPr>
                <w:rFonts w:hint="default" w:ascii="Times New Roman" w:hAnsi="Times New Roman" w:cs="Times New Roman"/>
                <w:color w:val="FF0000"/>
                <w:highlight w:val="none"/>
                <w:lang w:val="en-US" w:eastAsia="zh-CN"/>
              </w:rPr>
              <w:t>5</w:t>
            </w:r>
            <w:r>
              <w:rPr>
                <w:rFonts w:hint="eastAsia" w:cs="Times New Roman"/>
                <w:color w:val="FF0000"/>
                <w:highlight w:val="none"/>
                <w:lang w:eastAsia="zh-CN"/>
              </w:rPr>
              <w:t>年</w:t>
            </w:r>
            <w:r>
              <w:rPr>
                <w:color w:val="FF0000"/>
                <w:highlight w:val="none"/>
              </w:rPr>
              <w:t>累计气象观测资料，</w:t>
            </w:r>
            <w:r>
              <w:rPr>
                <w:rFonts w:hint="default" w:ascii="Times New Roman" w:hAnsi="Times New Roman" w:cs="Times New Roman"/>
                <w:snapToGrid w:val="0"/>
                <w:color w:val="FF0000"/>
                <w:sz w:val="24"/>
              </w:rPr>
              <w:t>项目所在地年平均风速</w:t>
            </w:r>
            <w:r>
              <w:rPr>
                <w:rFonts w:hint="eastAsia" w:cs="Times New Roman"/>
                <w:snapToGrid w:val="0"/>
                <w:color w:val="FF0000"/>
                <w:sz w:val="24"/>
                <w:lang w:val="en-US" w:eastAsia="zh-CN"/>
              </w:rPr>
              <w:t>为2.0</w:t>
            </w:r>
            <w:r>
              <w:rPr>
                <w:rFonts w:hint="default" w:ascii="Times New Roman" w:hAnsi="Times New Roman" w:cs="Times New Roman"/>
                <w:snapToGrid w:val="0"/>
                <w:color w:val="FF0000"/>
                <w:sz w:val="24"/>
              </w:rPr>
              <w:t>m/s</w:t>
            </w:r>
            <w:r>
              <w:rPr>
                <w:rFonts w:hint="default" w:ascii="Times New Roman" w:hAnsi="Times New Roman" w:cs="Times New Roman"/>
                <w:snapToGrid w:val="0"/>
                <w:color w:val="auto"/>
                <w:sz w:val="24"/>
              </w:rPr>
              <w:t>，</w:t>
            </w:r>
            <w:r>
              <w:rPr>
                <w:rFonts w:hint="default" w:ascii="Times New Roman" w:hAnsi="Times New Roman" w:eastAsia="Times New Roman" w:cs="Times New Roman"/>
                <w:color w:val="auto"/>
                <w:sz w:val="24"/>
                <w:lang w:val="zh-CN"/>
              </w:rPr>
              <w:t>卫生防护距离计算如下：</w:t>
            </w:r>
          </w:p>
          <w:p w14:paraId="6DED1C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b/>
                <w:color w:val="000000" w:themeColor="text1"/>
                <w:sz w:val="21"/>
                <w:szCs w:val="21"/>
                <w14:textFill>
                  <w14:solidFill>
                    <w14:schemeClr w14:val="tx1"/>
                  </w14:solidFill>
                </w14:textFill>
              </w:rPr>
            </w:pPr>
            <w:r>
              <w:rPr>
                <w:rFonts w:hint="eastAsia" w:ascii="Times New Roman" w:hAnsi="Times New Roman" w:eastAsia="宋体"/>
                <w:b/>
                <w:color w:val="000000" w:themeColor="text1"/>
                <w:sz w:val="21"/>
                <w:szCs w:val="21"/>
                <w14:textFill>
                  <w14:solidFill>
                    <w14:schemeClr w14:val="tx1"/>
                  </w14:solidFill>
                </w14:textFill>
              </w:rPr>
              <w:t>表</w:t>
            </w:r>
            <w:r>
              <w:rPr>
                <w:rFonts w:ascii="Times New Roman" w:hAnsi="Times New Roman" w:eastAsia="宋体"/>
                <w:b/>
                <w:color w:val="000000" w:themeColor="text1"/>
                <w:sz w:val="21"/>
                <w:szCs w:val="21"/>
                <w14:textFill>
                  <w14:solidFill>
                    <w14:schemeClr w14:val="tx1"/>
                  </w14:solidFill>
                </w14:textFill>
              </w:rPr>
              <w:t>4</w:t>
            </w:r>
            <w:r>
              <w:rPr>
                <w:rFonts w:hint="eastAsia" w:ascii="Times New Roman" w:hAnsi="Times New Roman" w:eastAsia="宋体"/>
                <w:b/>
                <w:color w:val="000000" w:themeColor="text1"/>
                <w:sz w:val="21"/>
                <w:szCs w:val="21"/>
                <w:lang w:val="en-US" w:eastAsia="zh-CN"/>
                <w14:textFill>
                  <w14:solidFill>
                    <w14:schemeClr w14:val="tx1"/>
                  </w14:solidFill>
                </w14:textFill>
              </w:rPr>
              <w:t>.1</w:t>
            </w:r>
            <w:r>
              <w:rPr>
                <w:rFonts w:ascii="Times New Roman" w:hAnsi="Times New Roman" w:eastAsia="宋体"/>
                <w:b/>
                <w:color w:val="000000" w:themeColor="text1"/>
                <w:sz w:val="21"/>
                <w:szCs w:val="21"/>
                <w14:textFill>
                  <w14:solidFill>
                    <w14:schemeClr w14:val="tx1"/>
                  </w14:solidFill>
                </w14:textFill>
              </w:rPr>
              <w:t>-1</w:t>
            </w:r>
            <w:r>
              <w:rPr>
                <w:rFonts w:hint="eastAsia" w:ascii="Times New Roman" w:hAnsi="Times New Roman" w:eastAsia="宋体"/>
                <w:b/>
                <w:color w:val="000000" w:themeColor="text1"/>
                <w:sz w:val="21"/>
                <w:szCs w:val="21"/>
                <w:lang w:val="en-US" w:eastAsia="zh-CN"/>
                <w14:textFill>
                  <w14:solidFill>
                    <w14:schemeClr w14:val="tx1"/>
                  </w14:solidFill>
                </w14:textFill>
              </w:rPr>
              <w:t>0</w:t>
            </w:r>
            <w:r>
              <w:rPr>
                <w:rFonts w:ascii="Times New Roman" w:hAnsi="Times New Roman" w:eastAsia="宋体"/>
                <w:b/>
                <w:color w:val="000000" w:themeColor="text1"/>
                <w:sz w:val="21"/>
                <w:szCs w:val="21"/>
                <w14:textFill>
                  <w14:solidFill>
                    <w14:schemeClr w14:val="tx1"/>
                  </w14:solidFill>
                </w14:textFill>
              </w:rPr>
              <w:t xml:space="preserve">   卫生防护距离计算源强参数表</w:t>
            </w:r>
          </w:p>
          <w:tbl>
            <w:tblPr>
              <w:tblStyle w:val="3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7"/>
              <w:gridCol w:w="899"/>
              <w:gridCol w:w="1280"/>
              <w:gridCol w:w="1078"/>
              <w:gridCol w:w="858"/>
              <w:gridCol w:w="858"/>
              <w:gridCol w:w="857"/>
              <w:gridCol w:w="860"/>
              <w:gridCol w:w="1091"/>
              <w:gridCol w:w="835"/>
            </w:tblGrid>
            <w:tr w14:paraId="21569C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9" w:type="pct"/>
                  <w:shd w:val="clear" w:color="auto" w:fill="auto"/>
                  <w:vAlign w:val="center"/>
                </w:tcPr>
                <w:p w14:paraId="3C76A3A3">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宋体"/>
                      <w:b/>
                      <w:color w:val="FF0000"/>
                      <w:kern w:val="0"/>
                      <w:sz w:val="21"/>
                      <w:szCs w:val="21"/>
                    </w:rPr>
                  </w:pPr>
                  <w:r>
                    <w:rPr>
                      <w:rFonts w:hint="eastAsia" w:ascii="Times New Roman" w:hAnsi="Times New Roman" w:eastAsia="宋体" w:cs="宋体"/>
                      <w:b/>
                      <w:color w:val="FF0000"/>
                      <w:kern w:val="0"/>
                      <w:sz w:val="21"/>
                      <w:szCs w:val="21"/>
                    </w:rPr>
                    <w:t>序号</w:t>
                  </w:r>
                </w:p>
              </w:tc>
              <w:tc>
                <w:tcPr>
                  <w:tcW w:w="484" w:type="pct"/>
                  <w:shd w:val="clear" w:color="auto" w:fill="auto"/>
                  <w:vAlign w:val="center"/>
                </w:tcPr>
                <w:p w14:paraId="2E7082DA">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宋体"/>
                      <w:b/>
                      <w:color w:val="FF0000"/>
                      <w:kern w:val="0"/>
                      <w:sz w:val="21"/>
                      <w:szCs w:val="21"/>
                    </w:rPr>
                  </w:pPr>
                  <w:r>
                    <w:rPr>
                      <w:rFonts w:hint="eastAsia" w:ascii="Times New Roman" w:hAnsi="Times New Roman" w:eastAsia="宋体" w:cs="宋体"/>
                      <w:b/>
                      <w:color w:val="FF0000"/>
                      <w:kern w:val="0"/>
                      <w:sz w:val="21"/>
                      <w:szCs w:val="21"/>
                    </w:rPr>
                    <w:t>污染源</w:t>
                  </w:r>
                </w:p>
              </w:tc>
              <w:tc>
                <w:tcPr>
                  <w:tcW w:w="689" w:type="pct"/>
                  <w:shd w:val="clear" w:color="auto" w:fill="auto"/>
                  <w:vAlign w:val="center"/>
                </w:tcPr>
                <w:p w14:paraId="2D58A87B">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宋体"/>
                      <w:b/>
                      <w:color w:val="FF0000"/>
                      <w:kern w:val="0"/>
                      <w:sz w:val="21"/>
                      <w:szCs w:val="21"/>
                    </w:rPr>
                  </w:pPr>
                  <w:r>
                    <w:rPr>
                      <w:rFonts w:hint="eastAsia" w:ascii="Times New Roman" w:hAnsi="Times New Roman" w:eastAsia="宋体" w:cs="宋体"/>
                      <w:b/>
                      <w:color w:val="FF0000"/>
                      <w:kern w:val="0"/>
                      <w:sz w:val="21"/>
                      <w:szCs w:val="21"/>
                    </w:rPr>
                    <w:t>污染物</w:t>
                  </w:r>
                </w:p>
              </w:tc>
              <w:tc>
                <w:tcPr>
                  <w:tcW w:w="580" w:type="pct"/>
                  <w:shd w:val="clear" w:color="auto" w:fill="auto"/>
                  <w:vAlign w:val="center"/>
                </w:tcPr>
                <w:p w14:paraId="3D4454DE">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宋体"/>
                      <w:b/>
                      <w:color w:val="FF0000"/>
                      <w:kern w:val="0"/>
                      <w:sz w:val="21"/>
                      <w:szCs w:val="21"/>
                    </w:rPr>
                  </w:pPr>
                  <w:r>
                    <w:rPr>
                      <w:rFonts w:hint="eastAsia" w:ascii="Times New Roman" w:hAnsi="Times New Roman" w:eastAsia="宋体" w:cs="宋体"/>
                      <w:b/>
                      <w:color w:val="FF0000"/>
                      <w:kern w:val="0"/>
                      <w:sz w:val="21"/>
                      <w:szCs w:val="21"/>
                    </w:rPr>
                    <w:t>源强（</w:t>
                  </w:r>
                  <w:r>
                    <w:rPr>
                      <w:rFonts w:ascii="Times New Roman" w:hAnsi="Times New Roman" w:eastAsia="宋体" w:cs="Times New Roman"/>
                      <w:b/>
                      <w:color w:val="FF0000"/>
                      <w:kern w:val="0"/>
                      <w:sz w:val="21"/>
                      <w:szCs w:val="21"/>
                    </w:rPr>
                    <w:t>kg/h</w:t>
                  </w:r>
                  <w:r>
                    <w:rPr>
                      <w:rFonts w:hint="eastAsia" w:ascii="Times New Roman" w:hAnsi="Times New Roman" w:eastAsia="宋体" w:cs="宋体"/>
                      <w:b/>
                      <w:color w:val="FF0000"/>
                      <w:kern w:val="0"/>
                      <w:sz w:val="21"/>
                      <w:szCs w:val="21"/>
                    </w:rPr>
                    <w:t>）</w:t>
                  </w:r>
                </w:p>
              </w:tc>
              <w:tc>
                <w:tcPr>
                  <w:tcW w:w="462" w:type="pct"/>
                  <w:shd w:val="clear" w:color="auto" w:fill="auto"/>
                  <w:vAlign w:val="center"/>
                </w:tcPr>
                <w:p w14:paraId="0178AEDB">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宋体"/>
                      <w:b/>
                      <w:color w:val="FF0000"/>
                      <w:kern w:val="0"/>
                      <w:sz w:val="21"/>
                      <w:szCs w:val="21"/>
                    </w:rPr>
                  </w:pPr>
                  <w:r>
                    <w:rPr>
                      <w:rFonts w:hint="eastAsia" w:ascii="Times New Roman" w:hAnsi="Times New Roman" w:eastAsia="宋体" w:cs="宋体"/>
                      <w:b/>
                      <w:color w:val="FF0000"/>
                      <w:kern w:val="0"/>
                      <w:sz w:val="21"/>
                      <w:szCs w:val="21"/>
                    </w:rPr>
                    <w:t>参数</w:t>
                  </w:r>
                  <w:r>
                    <w:rPr>
                      <w:rFonts w:ascii="Times New Roman" w:hAnsi="Times New Roman" w:eastAsia="宋体" w:cs="Times New Roman"/>
                      <w:b/>
                      <w:color w:val="FF0000"/>
                      <w:kern w:val="0"/>
                      <w:sz w:val="21"/>
                      <w:szCs w:val="21"/>
                    </w:rPr>
                    <w:t>A</w:t>
                  </w:r>
                </w:p>
              </w:tc>
              <w:tc>
                <w:tcPr>
                  <w:tcW w:w="462" w:type="pct"/>
                  <w:shd w:val="clear" w:color="auto" w:fill="auto"/>
                  <w:vAlign w:val="center"/>
                </w:tcPr>
                <w:p w14:paraId="0DD8B1BF">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宋体"/>
                      <w:b/>
                      <w:color w:val="FF0000"/>
                      <w:kern w:val="0"/>
                      <w:sz w:val="21"/>
                      <w:szCs w:val="21"/>
                    </w:rPr>
                  </w:pPr>
                  <w:r>
                    <w:rPr>
                      <w:rFonts w:hint="eastAsia" w:ascii="Times New Roman" w:hAnsi="Times New Roman" w:eastAsia="宋体" w:cs="宋体"/>
                      <w:b/>
                      <w:color w:val="FF0000"/>
                      <w:kern w:val="0"/>
                      <w:sz w:val="21"/>
                      <w:szCs w:val="21"/>
                    </w:rPr>
                    <w:t>参数</w:t>
                  </w:r>
                  <w:r>
                    <w:rPr>
                      <w:rFonts w:ascii="Times New Roman" w:hAnsi="Times New Roman" w:eastAsia="宋体" w:cs="Times New Roman"/>
                      <w:b/>
                      <w:color w:val="FF0000"/>
                      <w:kern w:val="0"/>
                      <w:sz w:val="21"/>
                      <w:szCs w:val="21"/>
                    </w:rPr>
                    <w:t>B</w:t>
                  </w:r>
                </w:p>
              </w:tc>
              <w:tc>
                <w:tcPr>
                  <w:tcW w:w="461" w:type="pct"/>
                  <w:shd w:val="clear" w:color="auto" w:fill="auto"/>
                  <w:vAlign w:val="center"/>
                </w:tcPr>
                <w:p w14:paraId="4D27A9FA">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宋体"/>
                      <w:b/>
                      <w:color w:val="FF0000"/>
                      <w:kern w:val="0"/>
                      <w:sz w:val="21"/>
                      <w:szCs w:val="21"/>
                    </w:rPr>
                  </w:pPr>
                  <w:r>
                    <w:rPr>
                      <w:rFonts w:hint="eastAsia" w:ascii="Times New Roman" w:hAnsi="Times New Roman" w:eastAsia="宋体" w:cs="宋体"/>
                      <w:b/>
                      <w:color w:val="FF0000"/>
                      <w:kern w:val="0"/>
                      <w:sz w:val="21"/>
                      <w:szCs w:val="21"/>
                    </w:rPr>
                    <w:t>参数</w:t>
                  </w:r>
                  <w:r>
                    <w:rPr>
                      <w:rFonts w:ascii="Times New Roman" w:hAnsi="Times New Roman" w:eastAsia="宋体" w:cs="Times New Roman"/>
                      <w:b/>
                      <w:color w:val="FF0000"/>
                      <w:kern w:val="0"/>
                      <w:sz w:val="21"/>
                      <w:szCs w:val="21"/>
                    </w:rPr>
                    <w:t>C</w:t>
                  </w:r>
                </w:p>
              </w:tc>
              <w:tc>
                <w:tcPr>
                  <w:tcW w:w="463" w:type="pct"/>
                  <w:shd w:val="clear" w:color="auto" w:fill="auto"/>
                  <w:vAlign w:val="center"/>
                </w:tcPr>
                <w:p w14:paraId="05B0CD01">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宋体"/>
                      <w:b/>
                      <w:color w:val="FF0000"/>
                      <w:kern w:val="0"/>
                      <w:sz w:val="21"/>
                      <w:szCs w:val="21"/>
                    </w:rPr>
                  </w:pPr>
                  <w:r>
                    <w:rPr>
                      <w:rFonts w:hint="eastAsia" w:ascii="Times New Roman" w:hAnsi="Times New Roman" w:eastAsia="宋体" w:cs="宋体"/>
                      <w:b/>
                      <w:color w:val="FF0000"/>
                      <w:kern w:val="0"/>
                      <w:sz w:val="21"/>
                      <w:szCs w:val="21"/>
                    </w:rPr>
                    <w:t>参数</w:t>
                  </w:r>
                  <w:r>
                    <w:rPr>
                      <w:rFonts w:ascii="Times New Roman" w:hAnsi="Times New Roman" w:eastAsia="宋体" w:cs="Times New Roman"/>
                      <w:b/>
                      <w:color w:val="FF0000"/>
                      <w:kern w:val="0"/>
                      <w:sz w:val="21"/>
                      <w:szCs w:val="21"/>
                    </w:rPr>
                    <w:t>D</w:t>
                  </w:r>
                </w:p>
              </w:tc>
              <w:tc>
                <w:tcPr>
                  <w:tcW w:w="587" w:type="pct"/>
                  <w:shd w:val="clear" w:color="auto" w:fill="auto"/>
                  <w:vAlign w:val="center"/>
                </w:tcPr>
                <w:p w14:paraId="6AB54DD1">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宋体"/>
                      <w:b/>
                      <w:color w:val="FF0000"/>
                      <w:kern w:val="0"/>
                      <w:sz w:val="21"/>
                      <w:szCs w:val="21"/>
                    </w:rPr>
                  </w:pPr>
                  <w:r>
                    <w:rPr>
                      <w:rFonts w:hint="eastAsia" w:ascii="Times New Roman" w:hAnsi="Times New Roman" w:eastAsia="宋体" w:cs="宋体"/>
                      <w:b/>
                      <w:color w:val="FF0000"/>
                      <w:kern w:val="0"/>
                      <w:sz w:val="21"/>
                      <w:szCs w:val="21"/>
                    </w:rPr>
                    <w:t>计算结果（</w:t>
                  </w:r>
                  <w:r>
                    <w:rPr>
                      <w:rFonts w:ascii="Times New Roman" w:hAnsi="Times New Roman" w:eastAsia="宋体" w:cs="Times New Roman"/>
                      <w:b/>
                      <w:color w:val="FF0000"/>
                      <w:kern w:val="0"/>
                      <w:sz w:val="21"/>
                      <w:szCs w:val="21"/>
                    </w:rPr>
                    <w:t>m</w:t>
                  </w:r>
                  <w:r>
                    <w:rPr>
                      <w:rFonts w:hint="eastAsia" w:ascii="Times New Roman" w:hAnsi="Times New Roman" w:eastAsia="宋体" w:cs="宋体"/>
                      <w:b/>
                      <w:color w:val="FF0000"/>
                      <w:kern w:val="0"/>
                      <w:sz w:val="21"/>
                      <w:szCs w:val="21"/>
                    </w:rPr>
                    <w:t>）</w:t>
                  </w:r>
                </w:p>
              </w:tc>
              <w:tc>
                <w:tcPr>
                  <w:tcW w:w="449" w:type="pct"/>
                  <w:shd w:val="clear" w:color="auto" w:fill="auto"/>
                  <w:vAlign w:val="center"/>
                </w:tcPr>
                <w:p w14:paraId="48773C71">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宋体"/>
                      <w:b/>
                      <w:color w:val="FF0000"/>
                      <w:kern w:val="0"/>
                      <w:sz w:val="21"/>
                      <w:szCs w:val="21"/>
                    </w:rPr>
                  </w:pPr>
                  <w:r>
                    <w:rPr>
                      <w:rFonts w:hint="eastAsia" w:ascii="Times New Roman" w:hAnsi="Times New Roman" w:eastAsia="宋体" w:cs="宋体"/>
                      <w:b/>
                      <w:color w:val="FF0000"/>
                      <w:kern w:val="0"/>
                      <w:sz w:val="21"/>
                      <w:szCs w:val="21"/>
                    </w:rPr>
                    <w:t>取值（</w:t>
                  </w:r>
                  <w:r>
                    <w:rPr>
                      <w:rFonts w:ascii="Times New Roman" w:hAnsi="Times New Roman" w:eastAsia="宋体" w:cs="Times New Roman"/>
                      <w:b/>
                      <w:color w:val="FF0000"/>
                      <w:kern w:val="0"/>
                      <w:sz w:val="21"/>
                      <w:szCs w:val="21"/>
                    </w:rPr>
                    <w:t>m</w:t>
                  </w:r>
                  <w:r>
                    <w:rPr>
                      <w:rFonts w:hint="eastAsia" w:ascii="Times New Roman" w:hAnsi="Times New Roman" w:eastAsia="宋体" w:cs="宋体"/>
                      <w:b/>
                      <w:color w:val="FF0000"/>
                      <w:kern w:val="0"/>
                      <w:sz w:val="21"/>
                      <w:szCs w:val="21"/>
                    </w:rPr>
                    <w:t>）</w:t>
                  </w:r>
                </w:p>
              </w:tc>
            </w:tr>
            <w:tr w14:paraId="2CCA41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9" w:type="pct"/>
                  <w:shd w:val="clear" w:color="auto" w:fill="auto"/>
                  <w:vAlign w:val="center"/>
                </w:tcPr>
                <w:p w14:paraId="12ABD438">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FF0000"/>
                      <w:kern w:val="0"/>
                      <w:sz w:val="21"/>
                      <w:szCs w:val="21"/>
                    </w:rPr>
                  </w:pPr>
                  <w:r>
                    <w:rPr>
                      <w:rFonts w:ascii="Times New Roman" w:hAnsi="Times New Roman" w:eastAsia="宋体" w:cs="Times New Roman"/>
                      <w:color w:val="FF0000"/>
                      <w:kern w:val="0"/>
                      <w:sz w:val="21"/>
                      <w:szCs w:val="21"/>
                    </w:rPr>
                    <w:t>1</w:t>
                  </w:r>
                </w:p>
              </w:tc>
              <w:tc>
                <w:tcPr>
                  <w:tcW w:w="484" w:type="pct"/>
                  <w:shd w:val="clear" w:color="auto" w:fill="auto"/>
                  <w:vAlign w:val="center"/>
                </w:tcPr>
                <w:p w14:paraId="64F91380">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宋体"/>
                      <w:color w:val="FF0000"/>
                      <w:kern w:val="0"/>
                      <w:sz w:val="21"/>
                      <w:szCs w:val="21"/>
                    </w:rPr>
                  </w:pPr>
                  <w:r>
                    <w:rPr>
                      <w:rFonts w:hint="eastAsia" w:ascii="Times New Roman" w:hAnsi="Times New Roman" w:eastAsia="宋体" w:cs="宋体"/>
                      <w:color w:val="FF0000"/>
                      <w:kern w:val="0"/>
                      <w:sz w:val="21"/>
                      <w:szCs w:val="21"/>
                    </w:rPr>
                    <w:t>加油区</w:t>
                  </w:r>
                </w:p>
              </w:tc>
              <w:tc>
                <w:tcPr>
                  <w:tcW w:w="689" w:type="pct"/>
                  <w:shd w:val="clear" w:color="auto" w:fill="auto"/>
                  <w:vAlign w:val="center"/>
                </w:tcPr>
                <w:p w14:paraId="426E0751">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宋体"/>
                      <w:color w:val="FF0000"/>
                      <w:kern w:val="0"/>
                      <w:sz w:val="21"/>
                      <w:szCs w:val="21"/>
                    </w:rPr>
                  </w:pPr>
                  <w:r>
                    <w:rPr>
                      <w:rFonts w:hint="eastAsia" w:ascii="Times New Roman" w:hAnsi="Times New Roman" w:eastAsia="宋体" w:cs="宋体"/>
                      <w:color w:val="FF0000"/>
                      <w:kern w:val="0"/>
                      <w:sz w:val="21"/>
                      <w:szCs w:val="21"/>
                    </w:rPr>
                    <w:t>非甲烷总烃</w:t>
                  </w:r>
                </w:p>
              </w:tc>
              <w:tc>
                <w:tcPr>
                  <w:tcW w:w="580" w:type="pct"/>
                  <w:shd w:val="clear" w:color="auto" w:fill="auto"/>
                  <w:vAlign w:val="center"/>
                </w:tcPr>
                <w:p w14:paraId="121B84E5">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olor w:val="FF0000"/>
                      <w:sz w:val="21"/>
                      <w:szCs w:val="21"/>
                    </w:rPr>
                  </w:pPr>
                  <w:r>
                    <w:rPr>
                      <w:rFonts w:hint="eastAsia" w:ascii="Times New Roman" w:hAnsi="Times New Roman" w:eastAsia="宋体"/>
                      <w:color w:val="FF0000"/>
                      <w:sz w:val="21"/>
                      <w:szCs w:val="21"/>
                      <w:lang w:val="en-US" w:eastAsia="zh-CN"/>
                    </w:rPr>
                    <w:t>0.311</w:t>
                  </w:r>
                </w:p>
              </w:tc>
              <w:tc>
                <w:tcPr>
                  <w:tcW w:w="462" w:type="pct"/>
                  <w:shd w:val="clear" w:color="auto" w:fill="auto"/>
                  <w:vAlign w:val="center"/>
                </w:tcPr>
                <w:p w14:paraId="44C61032">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FF0000"/>
                      <w:kern w:val="0"/>
                      <w:sz w:val="21"/>
                      <w:szCs w:val="21"/>
                    </w:rPr>
                  </w:pPr>
                  <w:r>
                    <w:rPr>
                      <w:rFonts w:hint="eastAsia" w:cs="Times New Roman"/>
                      <w:color w:val="FF0000"/>
                      <w:kern w:val="0"/>
                      <w:sz w:val="21"/>
                      <w:szCs w:val="21"/>
                      <w:lang w:val="en-US" w:eastAsia="zh-CN"/>
                    </w:rPr>
                    <w:t>7</w:t>
                  </w:r>
                  <w:r>
                    <w:rPr>
                      <w:rFonts w:hint="eastAsia" w:ascii="Times New Roman" w:hAnsi="Times New Roman" w:eastAsia="宋体" w:cs="Times New Roman"/>
                      <w:color w:val="FF0000"/>
                      <w:kern w:val="0"/>
                      <w:sz w:val="21"/>
                      <w:szCs w:val="21"/>
                    </w:rPr>
                    <w:t>0</w:t>
                  </w:r>
                  <w:r>
                    <w:rPr>
                      <w:rFonts w:ascii="Times New Roman" w:hAnsi="Times New Roman" w:eastAsia="宋体" w:cs="Times New Roman"/>
                      <w:color w:val="FF0000"/>
                      <w:kern w:val="0"/>
                      <w:sz w:val="21"/>
                      <w:szCs w:val="21"/>
                    </w:rPr>
                    <w:t>0</w:t>
                  </w:r>
                </w:p>
              </w:tc>
              <w:tc>
                <w:tcPr>
                  <w:tcW w:w="462" w:type="pct"/>
                  <w:shd w:val="clear" w:color="auto" w:fill="auto"/>
                  <w:vAlign w:val="center"/>
                </w:tcPr>
                <w:p w14:paraId="7D68212E">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FF0000"/>
                      <w:kern w:val="0"/>
                      <w:sz w:val="21"/>
                      <w:szCs w:val="21"/>
                      <w:lang w:val="en-US" w:eastAsia="zh-CN"/>
                    </w:rPr>
                  </w:pPr>
                  <w:r>
                    <w:rPr>
                      <w:rFonts w:ascii="Times New Roman" w:hAnsi="Times New Roman" w:eastAsia="宋体" w:cs="Times New Roman"/>
                      <w:color w:val="FF0000"/>
                      <w:kern w:val="0"/>
                      <w:sz w:val="21"/>
                      <w:szCs w:val="21"/>
                    </w:rPr>
                    <w:t>0.0</w:t>
                  </w:r>
                  <w:r>
                    <w:rPr>
                      <w:rFonts w:hint="eastAsia" w:cs="Times New Roman"/>
                      <w:color w:val="FF0000"/>
                      <w:kern w:val="0"/>
                      <w:sz w:val="21"/>
                      <w:szCs w:val="21"/>
                      <w:lang w:val="en-US" w:eastAsia="zh-CN"/>
                    </w:rPr>
                    <w:t>21</w:t>
                  </w:r>
                </w:p>
              </w:tc>
              <w:tc>
                <w:tcPr>
                  <w:tcW w:w="461" w:type="pct"/>
                  <w:shd w:val="clear" w:color="auto" w:fill="auto"/>
                  <w:vAlign w:val="center"/>
                </w:tcPr>
                <w:p w14:paraId="1ECDEBCE">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FF0000"/>
                      <w:kern w:val="0"/>
                      <w:sz w:val="21"/>
                      <w:szCs w:val="21"/>
                    </w:rPr>
                  </w:pPr>
                  <w:r>
                    <w:rPr>
                      <w:rFonts w:ascii="Times New Roman" w:hAnsi="Times New Roman" w:eastAsia="宋体" w:cs="Times New Roman"/>
                      <w:color w:val="FF0000"/>
                      <w:kern w:val="0"/>
                      <w:sz w:val="21"/>
                      <w:szCs w:val="21"/>
                    </w:rPr>
                    <w:t>1.85</w:t>
                  </w:r>
                </w:p>
              </w:tc>
              <w:tc>
                <w:tcPr>
                  <w:tcW w:w="463" w:type="pct"/>
                  <w:shd w:val="clear" w:color="auto" w:fill="auto"/>
                  <w:vAlign w:val="center"/>
                </w:tcPr>
                <w:p w14:paraId="5CDC0EAF">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FF0000"/>
                      <w:kern w:val="0"/>
                      <w:sz w:val="21"/>
                      <w:szCs w:val="21"/>
                      <w:lang w:val="en-US" w:eastAsia="zh-CN"/>
                    </w:rPr>
                  </w:pPr>
                  <w:r>
                    <w:rPr>
                      <w:rFonts w:ascii="Times New Roman" w:hAnsi="Times New Roman" w:eastAsia="宋体" w:cs="Times New Roman"/>
                      <w:color w:val="FF0000"/>
                      <w:kern w:val="0"/>
                      <w:sz w:val="21"/>
                      <w:szCs w:val="21"/>
                    </w:rPr>
                    <w:t>0.</w:t>
                  </w:r>
                  <w:r>
                    <w:rPr>
                      <w:rFonts w:hint="eastAsia" w:cs="Times New Roman"/>
                      <w:color w:val="FF0000"/>
                      <w:kern w:val="0"/>
                      <w:sz w:val="21"/>
                      <w:szCs w:val="21"/>
                      <w:lang w:val="en-US" w:eastAsia="zh-CN"/>
                    </w:rPr>
                    <w:t>84</w:t>
                  </w:r>
                </w:p>
              </w:tc>
              <w:tc>
                <w:tcPr>
                  <w:tcW w:w="587" w:type="pct"/>
                  <w:shd w:val="clear" w:color="auto" w:fill="auto"/>
                  <w:vAlign w:val="center"/>
                </w:tcPr>
                <w:p w14:paraId="012C290B">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FF0000"/>
                      <w:kern w:val="0"/>
                      <w:sz w:val="21"/>
                      <w:szCs w:val="21"/>
                    </w:rPr>
                  </w:pPr>
                  <w:r>
                    <w:rPr>
                      <w:rFonts w:hint="eastAsia" w:ascii="Times New Roman" w:hAnsi="Times New Roman" w:eastAsia="宋体" w:cs="Times New Roman"/>
                      <w:color w:val="FF0000"/>
                      <w:kern w:val="0"/>
                      <w:sz w:val="21"/>
                      <w:szCs w:val="21"/>
                    </w:rPr>
                    <w:t>23.387</w:t>
                  </w:r>
                </w:p>
              </w:tc>
              <w:tc>
                <w:tcPr>
                  <w:tcW w:w="449" w:type="pct"/>
                  <w:shd w:val="clear" w:color="auto" w:fill="auto"/>
                  <w:vAlign w:val="center"/>
                </w:tcPr>
                <w:p w14:paraId="162F39D4">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FF0000"/>
                      <w:kern w:val="0"/>
                      <w:sz w:val="21"/>
                      <w:szCs w:val="21"/>
                    </w:rPr>
                  </w:pPr>
                  <w:r>
                    <w:rPr>
                      <w:rFonts w:ascii="Times New Roman" w:hAnsi="Times New Roman" w:eastAsia="宋体" w:cs="Times New Roman"/>
                      <w:color w:val="FF0000"/>
                      <w:kern w:val="0"/>
                      <w:sz w:val="21"/>
                      <w:szCs w:val="21"/>
                    </w:rPr>
                    <w:t>50</w:t>
                  </w:r>
                </w:p>
              </w:tc>
            </w:tr>
            <w:tr w14:paraId="387FAA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9" w:type="pct"/>
                  <w:shd w:val="clear" w:color="auto" w:fill="auto"/>
                  <w:vAlign w:val="center"/>
                </w:tcPr>
                <w:p w14:paraId="66455528">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FF0000"/>
                      <w:kern w:val="0"/>
                      <w:sz w:val="21"/>
                      <w:szCs w:val="21"/>
                    </w:rPr>
                  </w:pPr>
                  <w:r>
                    <w:rPr>
                      <w:rFonts w:hint="eastAsia" w:ascii="Times New Roman" w:hAnsi="Times New Roman" w:eastAsia="宋体" w:cs="Times New Roman"/>
                      <w:color w:val="FF0000"/>
                      <w:kern w:val="0"/>
                      <w:sz w:val="21"/>
                      <w:szCs w:val="21"/>
                    </w:rPr>
                    <w:t>2</w:t>
                  </w:r>
                </w:p>
              </w:tc>
              <w:tc>
                <w:tcPr>
                  <w:tcW w:w="484" w:type="pct"/>
                  <w:shd w:val="clear" w:color="auto" w:fill="auto"/>
                  <w:vAlign w:val="center"/>
                </w:tcPr>
                <w:p w14:paraId="0CE0CB8B">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宋体"/>
                      <w:color w:val="FF0000"/>
                      <w:kern w:val="0"/>
                      <w:sz w:val="21"/>
                      <w:szCs w:val="21"/>
                    </w:rPr>
                  </w:pPr>
                  <w:r>
                    <w:rPr>
                      <w:rFonts w:hint="eastAsia" w:ascii="Times New Roman" w:hAnsi="Times New Roman" w:eastAsia="宋体" w:cs="宋体"/>
                      <w:color w:val="FF0000"/>
                      <w:kern w:val="0"/>
                      <w:sz w:val="21"/>
                      <w:szCs w:val="21"/>
                      <w:lang w:val="en-US" w:eastAsia="zh-CN"/>
                    </w:rPr>
                    <w:t>储罐</w:t>
                  </w:r>
                  <w:r>
                    <w:rPr>
                      <w:rFonts w:hint="eastAsia" w:ascii="Times New Roman" w:hAnsi="Times New Roman" w:eastAsia="宋体" w:cs="宋体"/>
                      <w:color w:val="FF0000"/>
                      <w:kern w:val="0"/>
                      <w:sz w:val="21"/>
                      <w:szCs w:val="21"/>
                    </w:rPr>
                    <w:t>区</w:t>
                  </w:r>
                </w:p>
              </w:tc>
              <w:tc>
                <w:tcPr>
                  <w:tcW w:w="689" w:type="pct"/>
                  <w:shd w:val="clear" w:color="auto" w:fill="auto"/>
                  <w:vAlign w:val="center"/>
                </w:tcPr>
                <w:p w14:paraId="26ED53C9">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宋体"/>
                      <w:color w:val="FF0000"/>
                      <w:kern w:val="0"/>
                      <w:sz w:val="21"/>
                      <w:szCs w:val="21"/>
                    </w:rPr>
                  </w:pPr>
                  <w:r>
                    <w:rPr>
                      <w:rFonts w:hint="eastAsia" w:ascii="Times New Roman" w:hAnsi="Times New Roman" w:eastAsia="宋体" w:cs="宋体"/>
                      <w:color w:val="FF0000"/>
                      <w:kern w:val="0"/>
                      <w:sz w:val="21"/>
                      <w:szCs w:val="21"/>
                    </w:rPr>
                    <w:t>非甲烷总烃</w:t>
                  </w:r>
                </w:p>
              </w:tc>
              <w:tc>
                <w:tcPr>
                  <w:tcW w:w="580" w:type="pct"/>
                  <w:shd w:val="clear" w:color="auto" w:fill="auto"/>
                  <w:vAlign w:val="center"/>
                </w:tcPr>
                <w:p w14:paraId="79B41A03">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olor w:val="FF0000"/>
                      <w:sz w:val="21"/>
                      <w:szCs w:val="21"/>
                    </w:rPr>
                  </w:pPr>
                  <w:r>
                    <w:rPr>
                      <w:rFonts w:hint="eastAsia" w:ascii="Times New Roman" w:hAnsi="Times New Roman" w:eastAsia="宋体"/>
                      <w:color w:val="FF0000"/>
                      <w:sz w:val="21"/>
                      <w:szCs w:val="21"/>
                      <w:lang w:val="en-US" w:eastAsia="zh-CN"/>
                    </w:rPr>
                    <w:t>0.183</w:t>
                  </w:r>
                </w:p>
              </w:tc>
              <w:tc>
                <w:tcPr>
                  <w:tcW w:w="462" w:type="pct"/>
                  <w:shd w:val="clear" w:color="auto" w:fill="auto"/>
                  <w:vAlign w:val="center"/>
                </w:tcPr>
                <w:p w14:paraId="0D56D6AF">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FF0000"/>
                      <w:kern w:val="0"/>
                      <w:sz w:val="21"/>
                      <w:szCs w:val="21"/>
                    </w:rPr>
                  </w:pPr>
                  <w:r>
                    <w:rPr>
                      <w:rFonts w:hint="eastAsia" w:cs="Times New Roman"/>
                      <w:color w:val="FF0000"/>
                      <w:kern w:val="0"/>
                      <w:sz w:val="21"/>
                      <w:szCs w:val="21"/>
                      <w:lang w:val="en-US" w:eastAsia="zh-CN"/>
                    </w:rPr>
                    <w:t>7</w:t>
                  </w:r>
                  <w:r>
                    <w:rPr>
                      <w:rFonts w:hint="eastAsia" w:ascii="Times New Roman" w:hAnsi="Times New Roman" w:eastAsia="宋体" w:cs="Times New Roman"/>
                      <w:color w:val="FF0000"/>
                      <w:kern w:val="0"/>
                      <w:sz w:val="21"/>
                      <w:szCs w:val="21"/>
                    </w:rPr>
                    <w:t>00</w:t>
                  </w:r>
                </w:p>
              </w:tc>
              <w:tc>
                <w:tcPr>
                  <w:tcW w:w="462" w:type="pct"/>
                  <w:shd w:val="clear" w:color="auto" w:fill="auto"/>
                  <w:vAlign w:val="center"/>
                </w:tcPr>
                <w:p w14:paraId="5776B923">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FF0000"/>
                      <w:kern w:val="0"/>
                      <w:sz w:val="21"/>
                      <w:szCs w:val="21"/>
                      <w:lang w:val="en-US" w:eastAsia="zh-CN"/>
                    </w:rPr>
                  </w:pPr>
                  <w:r>
                    <w:rPr>
                      <w:rFonts w:ascii="Times New Roman" w:hAnsi="Times New Roman" w:eastAsia="宋体" w:cs="Times New Roman"/>
                      <w:color w:val="FF0000"/>
                      <w:kern w:val="0"/>
                      <w:sz w:val="21"/>
                      <w:szCs w:val="21"/>
                    </w:rPr>
                    <w:t>0.0</w:t>
                  </w:r>
                  <w:r>
                    <w:rPr>
                      <w:rFonts w:hint="eastAsia" w:cs="Times New Roman"/>
                      <w:color w:val="FF0000"/>
                      <w:kern w:val="0"/>
                      <w:sz w:val="21"/>
                      <w:szCs w:val="21"/>
                      <w:lang w:val="en-US" w:eastAsia="zh-CN"/>
                    </w:rPr>
                    <w:t>21</w:t>
                  </w:r>
                </w:p>
              </w:tc>
              <w:tc>
                <w:tcPr>
                  <w:tcW w:w="461" w:type="pct"/>
                  <w:shd w:val="clear" w:color="auto" w:fill="auto"/>
                  <w:vAlign w:val="center"/>
                </w:tcPr>
                <w:p w14:paraId="00A94B16">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FF0000"/>
                      <w:kern w:val="0"/>
                      <w:sz w:val="21"/>
                      <w:szCs w:val="21"/>
                    </w:rPr>
                  </w:pPr>
                  <w:r>
                    <w:rPr>
                      <w:rFonts w:ascii="Times New Roman" w:hAnsi="Times New Roman" w:eastAsia="宋体" w:cs="Times New Roman"/>
                      <w:color w:val="FF0000"/>
                      <w:kern w:val="0"/>
                      <w:sz w:val="21"/>
                      <w:szCs w:val="21"/>
                    </w:rPr>
                    <w:t>1.85</w:t>
                  </w:r>
                </w:p>
              </w:tc>
              <w:tc>
                <w:tcPr>
                  <w:tcW w:w="463" w:type="pct"/>
                  <w:shd w:val="clear" w:color="auto" w:fill="auto"/>
                  <w:vAlign w:val="center"/>
                </w:tcPr>
                <w:p w14:paraId="79B23686">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FF0000"/>
                      <w:kern w:val="0"/>
                      <w:sz w:val="21"/>
                      <w:szCs w:val="21"/>
                      <w:lang w:val="en-US" w:eastAsia="zh-CN"/>
                    </w:rPr>
                  </w:pPr>
                  <w:r>
                    <w:rPr>
                      <w:rFonts w:ascii="Times New Roman" w:hAnsi="Times New Roman" w:eastAsia="宋体" w:cs="Times New Roman"/>
                      <w:color w:val="FF0000"/>
                      <w:kern w:val="0"/>
                      <w:sz w:val="21"/>
                      <w:szCs w:val="21"/>
                    </w:rPr>
                    <w:t>0.</w:t>
                  </w:r>
                  <w:r>
                    <w:rPr>
                      <w:rFonts w:hint="eastAsia" w:cs="Times New Roman"/>
                      <w:color w:val="FF0000"/>
                      <w:kern w:val="0"/>
                      <w:sz w:val="21"/>
                      <w:szCs w:val="21"/>
                      <w:lang w:val="en-US" w:eastAsia="zh-CN"/>
                    </w:rPr>
                    <w:t>84</w:t>
                  </w:r>
                </w:p>
              </w:tc>
              <w:tc>
                <w:tcPr>
                  <w:tcW w:w="587" w:type="pct"/>
                  <w:shd w:val="clear" w:color="auto" w:fill="auto"/>
                  <w:vAlign w:val="center"/>
                </w:tcPr>
                <w:p w14:paraId="44E2A0FA">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FF0000"/>
                      <w:kern w:val="0"/>
                      <w:sz w:val="21"/>
                      <w:szCs w:val="21"/>
                    </w:rPr>
                  </w:pPr>
                  <w:r>
                    <w:rPr>
                      <w:rFonts w:hint="eastAsia" w:ascii="Times New Roman" w:hAnsi="Times New Roman" w:eastAsia="宋体" w:cs="Times New Roman"/>
                      <w:color w:val="FF0000"/>
                      <w:kern w:val="0"/>
                      <w:sz w:val="21"/>
                      <w:szCs w:val="21"/>
                    </w:rPr>
                    <w:t>24.374</w:t>
                  </w:r>
                </w:p>
              </w:tc>
              <w:tc>
                <w:tcPr>
                  <w:tcW w:w="449" w:type="pct"/>
                  <w:shd w:val="clear" w:color="auto" w:fill="auto"/>
                  <w:vAlign w:val="center"/>
                </w:tcPr>
                <w:p w14:paraId="45466439">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FF0000"/>
                      <w:kern w:val="0"/>
                      <w:sz w:val="21"/>
                      <w:szCs w:val="21"/>
                    </w:rPr>
                  </w:pPr>
                  <w:r>
                    <w:rPr>
                      <w:rFonts w:hint="eastAsia" w:ascii="Times New Roman" w:hAnsi="Times New Roman" w:eastAsia="宋体" w:cs="Times New Roman"/>
                      <w:color w:val="FF0000"/>
                      <w:kern w:val="0"/>
                      <w:sz w:val="21"/>
                      <w:szCs w:val="21"/>
                    </w:rPr>
                    <w:t>50</w:t>
                  </w:r>
                </w:p>
              </w:tc>
            </w:tr>
          </w:tbl>
          <w:p w14:paraId="6524BDDB">
            <w:pPr>
              <w:pStyle w:val="54"/>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rFonts w:hint="eastAsia"/>
                <w:b/>
                <w:lang w:val="en-US" w:eastAsia="zh-CN"/>
              </w:rPr>
            </w:pPr>
            <w:r>
              <w:rPr>
                <w:rFonts w:hint="eastAsia" w:ascii="Times New Roman" w:hAnsi="Times New Roman" w:eastAsia="宋体"/>
                <w:color w:val="000000" w:themeColor="text1"/>
                <w:sz w:val="24"/>
                <w:lang w:val="en-US" w:eastAsia="zh-CN"/>
                <w14:textFill>
                  <w14:solidFill>
                    <w14:schemeClr w14:val="tx1"/>
                  </w14:solidFill>
                </w14:textFill>
              </w:rPr>
              <w:t>综上所述</w:t>
            </w:r>
            <w:r>
              <w:rPr>
                <w:rFonts w:hint="eastAsia" w:ascii="Times New Roman" w:hAnsi="Times New Roman" w:eastAsia="宋体"/>
                <w:color w:val="000000" w:themeColor="text1"/>
                <w:sz w:val="24"/>
                <w14:textFill>
                  <w14:solidFill>
                    <w14:schemeClr w14:val="tx1"/>
                  </w14:solidFill>
                </w14:textFill>
              </w:rPr>
              <w:t>，</w:t>
            </w:r>
            <w:r>
              <w:rPr>
                <w:rFonts w:hint="eastAsia" w:ascii="Times New Roman" w:hAnsi="Times New Roman" w:eastAsia="宋体"/>
                <w:color w:val="000000" w:themeColor="text1"/>
                <w:sz w:val="24"/>
                <w:lang w:val="en-US" w:eastAsia="zh-CN"/>
                <w14:textFill>
                  <w14:solidFill>
                    <w14:schemeClr w14:val="tx1"/>
                  </w14:solidFill>
                </w14:textFill>
              </w:rPr>
              <w:t>本项目</w:t>
            </w:r>
            <w:r>
              <w:rPr>
                <w:rFonts w:hint="eastAsia" w:ascii="Times New Roman" w:hAnsi="Times New Roman" w:eastAsia="宋体"/>
                <w:color w:val="000000" w:themeColor="text1"/>
                <w:sz w:val="24"/>
                <w14:textFill>
                  <w14:solidFill>
                    <w14:schemeClr w14:val="tx1"/>
                  </w14:solidFill>
                </w14:textFill>
              </w:rPr>
              <w:t>加油区和</w:t>
            </w:r>
            <w:r>
              <w:rPr>
                <w:rFonts w:hint="eastAsia" w:ascii="Times New Roman" w:hAnsi="Times New Roman" w:eastAsia="宋体"/>
                <w:color w:val="000000" w:themeColor="text1"/>
                <w:sz w:val="24"/>
                <w:lang w:val="en-US" w:eastAsia="zh-CN"/>
                <w14:textFill>
                  <w14:solidFill>
                    <w14:schemeClr w14:val="tx1"/>
                  </w14:solidFill>
                </w14:textFill>
              </w:rPr>
              <w:t>储罐</w:t>
            </w:r>
            <w:r>
              <w:rPr>
                <w:rFonts w:hint="eastAsia" w:ascii="Times New Roman" w:hAnsi="Times New Roman" w:eastAsia="宋体"/>
                <w:color w:val="000000" w:themeColor="text1"/>
                <w:sz w:val="24"/>
                <w14:textFill>
                  <w14:solidFill>
                    <w14:schemeClr w14:val="tx1"/>
                  </w14:solidFill>
                </w14:textFill>
              </w:rPr>
              <w:t>区无组织非甲烷总烃卫生防护距离分别为23.387</w:t>
            </w:r>
            <w:r>
              <w:rPr>
                <w:rFonts w:ascii="Times New Roman" w:hAnsi="Times New Roman" w:eastAsia="宋体"/>
                <w:color w:val="000000" w:themeColor="text1"/>
                <w:sz w:val="24"/>
                <w14:textFill>
                  <w14:solidFill>
                    <w14:schemeClr w14:val="tx1"/>
                  </w14:solidFill>
                </w14:textFill>
              </w:rPr>
              <w:t>m</w:t>
            </w:r>
            <w:r>
              <w:rPr>
                <w:rFonts w:hint="eastAsia" w:ascii="Times New Roman" w:hAnsi="Times New Roman" w:eastAsia="宋体"/>
                <w:color w:val="000000" w:themeColor="text1"/>
                <w:sz w:val="24"/>
                <w14:textFill>
                  <w14:solidFill>
                    <w14:schemeClr w14:val="tx1"/>
                  </w14:solidFill>
                </w14:textFill>
              </w:rPr>
              <w:t>、24.374</w:t>
            </w:r>
            <w:r>
              <w:rPr>
                <w:rFonts w:ascii="Times New Roman" w:hAnsi="Times New Roman" w:eastAsia="宋体"/>
                <w:color w:val="000000" w:themeColor="text1"/>
                <w:sz w:val="24"/>
                <w14:textFill>
                  <w14:solidFill>
                    <w14:schemeClr w14:val="tx1"/>
                  </w14:solidFill>
                </w14:textFill>
              </w:rPr>
              <w:t>m，提级后</w:t>
            </w:r>
            <w:r>
              <w:rPr>
                <w:rFonts w:hint="eastAsia" w:ascii="Times New Roman" w:hAnsi="Times New Roman" w:eastAsia="宋体"/>
                <w:color w:val="000000" w:themeColor="text1"/>
                <w:sz w:val="24"/>
                <w14:textFill>
                  <w14:solidFill>
                    <w14:schemeClr w14:val="tx1"/>
                  </w14:solidFill>
                </w14:textFill>
              </w:rPr>
              <w:t>加油区和</w:t>
            </w:r>
            <w:r>
              <w:rPr>
                <w:rFonts w:hint="eastAsia" w:ascii="Times New Roman" w:hAnsi="Times New Roman" w:eastAsia="宋体"/>
                <w:color w:val="000000" w:themeColor="text1"/>
                <w:sz w:val="24"/>
                <w:lang w:val="en-US" w:eastAsia="zh-CN"/>
                <w14:textFill>
                  <w14:solidFill>
                    <w14:schemeClr w14:val="tx1"/>
                  </w14:solidFill>
                </w14:textFill>
              </w:rPr>
              <w:t>储</w:t>
            </w:r>
            <w:r>
              <w:rPr>
                <w:rFonts w:hint="eastAsia" w:ascii="Times New Roman" w:hAnsi="Times New Roman" w:eastAsia="宋体"/>
                <w:color w:val="000000" w:themeColor="text1"/>
                <w:sz w:val="24"/>
                <w14:textFill>
                  <w14:solidFill>
                    <w14:schemeClr w14:val="tx1"/>
                  </w14:solidFill>
                </w14:textFill>
              </w:rPr>
              <w:t>罐区卫生防护距离均</w:t>
            </w:r>
            <w:r>
              <w:rPr>
                <w:rFonts w:ascii="Times New Roman" w:hAnsi="Times New Roman" w:eastAsia="宋体"/>
                <w:color w:val="000000" w:themeColor="text1"/>
                <w:sz w:val="24"/>
                <w14:textFill>
                  <w14:solidFill>
                    <w14:schemeClr w14:val="tx1"/>
                  </w14:solidFill>
                </w14:textFill>
              </w:rPr>
              <w:t>为50m，故项目</w:t>
            </w:r>
            <w:r>
              <w:rPr>
                <w:rFonts w:hint="eastAsia" w:ascii="Times New Roman" w:hAnsi="Times New Roman" w:eastAsia="宋体"/>
                <w:color w:val="000000" w:themeColor="text1"/>
                <w:sz w:val="24"/>
                <w14:textFill>
                  <w14:solidFill>
                    <w14:schemeClr w14:val="tx1"/>
                  </w14:solidFill>
                </w14:textFill>
              </w:rPr>
              <w:t>加油区和</w:t>
            </w:r>
            <w:r>
              <w:rPr>
                <w:rFonts w:hint="eastAsia" w:ascii="Times New Roman" w:hAnsi="Times New Roman" w:eastAsia="宋体"/>
                <w:color w:val="000000" w:themeColor="text1"/>
                <w:sz w:val="24"/>
                <w:lang w:val="en-US" w:eastAsia="zh-CN"/>
                <w14:textFill>
                  <w14:solidFill>
                    <w14:schemeClr w14:val="tx1"/>
                  </w14:solidFill>
                </w14:textFill>
              </w:rPr>
              <w:t>储</w:t>
            </w:r>
            <w:r>
              <w:rPr>
                <w:rFonts w:hint="eastAsia" w:ascii="Times New Roman" w:hAnsi="Times New Roman" w:eastAsia="宋体"/>
                <w:color w:val="000000" w:themeColor="text1"/>
                <w:sz w:val="24"/>
                <w14:textFill>
                  <w14:solidFill>
                    <w14:schemeClr w14:val="tx1"/>
                  </w14:solidFill>
                </w14:textFill>
              </w:rPr>
              <w:t>罐区</w:t>
            </w:r>
            <w:r>
              <w:rPr>
                <w:rFonts w:ascii="Times New Roman" w:hAnsi="Times New Roman" w:eastAsia="宋体"/>
                <w:color w:val="000000" w:themeColor="text1"/>
                <w:sz w:val="24"/>
                <w14:textFill>
                  <w14:solidFill>
                    <w14:schemeClr w14:val="tx1"/>
                  </w14:solidFill>
                </w14:textFill>
              </w:rPr>
              <w:t>卫生防护距离</w:t>
            </w:r>
            <w:r>
              <w:rPr>
                <w:rFonts w:hint="eastAsia" w:ascii="Times New Roman" w:hAnsi="Times New Roman" w:eastAsia="宋体"/>
                <w:color w:val="000000" w:themeColor="text1"/>
                <w:sz w:val="24"/>
                <w14:textFill>
                  <w14:solidFill>
                    <w14:schemeClr w14:val="tx1"/>
                  </w14:solidFill>
                </w14:textFill>
              </w:rPr>
              <w:t>均</w:t>
            </w:r>
            <w:r>
              <w:rPr>
                <w:rFonts w:ascii="Times New Roman" w:hAnsi="Times New Roman" w:eastAsia="宋体"/>
                <w:color w:val="000000" w:themeColor="text1"/>
                <w:sz w:val="24"/>
                <w14:textFill>
                  <w14:solidFill>
                    <w14:schemeClr w14:val="tx1"/>
                  </w14:solidFill>
                </w14:textFill>
              </w:rPr>
              <w:t>为50m。</w:t>
            </w:r>
            <w:r>
              <w:rPr>
                <w:rFonts w:ascii="Times New Roman" w:hAnsi="Times New Roman" w:eastAsia="宋体"/>
                <w:color w:val="FF0000"/>
                <w:sz w:val="24"/>
              </w:rPr>
              <w:t>对照周边敏感点分布情况，项目</w:t>
            </w:r>
            <w:r>
              <w:rPr>
                <w:rFonts w:hint="eastAsia" w:ascii="Times New Roman" w:hAnsi="Times New Roman" w:eastAsia="宋体"/>
                <w:color w:val="FF0000"/>
                <w:sz w:val="24"/>
              </w:rPr>
              <w:t>卫生防护距离</w:t>
            </w:r>
            <w:r>
              <w:rPr>
                <w:rFonts w:hint="default" w:ascii="Times New Roman" w:hAnsi="Times New Roman" w:eastAsia="Times New Roman" w:cs="Times New Roman"/>
                <w:color w:val="FF0000"/>
                <w:sz w:val="24"/>
                <w:lang w:val="en-US"/>
              </w:rPr>
              <w:t>范围内没有居民住宅、学校、医院等敏感保护目标，</w:t>
            </w:r>
            <w:r>
              <w:rPr>
                <w:rFonts w:hint="eastAsia" w:ascii="Times New Roman" w:hAnsi="Times New Roman" w:eastAsia="宋体" w:cs="Times New Roman"/>
                <w:color w:val="FF0000"/>
                <w:sz w:val="24"/>
                <w:lang w:val="en-US" w:eastAsia="zh-CN"/>
              </w:rPr>
              <w:t>因此，</w:t>
            </w:r>
            <w:r>
              <w:rPr>
                <w:rFonts w:hint="default" w:ascii="Times New Roman" w:hAnsi="Times New Roman" w:eastAsia="Times New Roman" w:cs="Times New Roman"/>
                <w:color w:val="FF0000"/>
                <w:sz w:val="24"/>
                <w:lang w:val="en-US"/>
              </w:rPr>
              <w:t>周边环境符合卫生防护距离的设置要求</w:t>
            </w:r>
            <w:r>
              <w:rPr>
                <w:rFonts w:ascii="Times New Roman" w:hAnsi="Times New Roman" w:eastAsia="宋体"/>
                <w:color w:val="FF0000"/>
                <w:sz w:val="24"/>
              </w:rPr>
              <w:t>。</w:t>
            </w:r>
            <w:r>
              <w:rPr>
                <w:rFonts w:ascii="Times New Roman" w:hAnsi="Times New Roman" w:eastAsia="宋体"/>
                <w:color w:val="000000" w:themeColor="text1"/>
                <w:sz w:val="24"/>
                <w14:textFill>
                  <w14:solidFill>
                    <w14:schemeClr w14:val="tx1"/>
                  </w14:solidFill>
                </w14:textFill>
              </w:rPr>
              <w:t>建设单位应做好大气污染物治理措施，加强管理，确保处理装置正常运行，杜绝污染物事故性排放，减小对环境的影响。</w:t>
            </w:r>
          </w:p>
          <w:p w14:paraId="3DA905E4">
            <w:pPr>
              <w:pStyle w:val="54"/>
              <w:keepNext w:val="0"/>
              <w:keepLines w:val="0"/>
              <w:pageBreakBefore w:val="0"/>
              <w:widowControl w:val="0"/>
              <w:numPr>
                <w:ilvl w:val="0"/>
                <w:numId w:val="0"/>
              </w:numPr>
              <w:kinsoku/>
              <w:wordWrap/>
              <w:overflowPunct/>
              <w:topLinePunct w:val="0"/>
              <w:autoSpaceDE/>
              <w:autoSpaceDN/>
              <w:bidi w:val="0"/>
              <w:adjustRightInd/>
              <w:snapToGrid/>
              <w:ind w:leftChars="0" w:firstLine="482" w:firstLineChars="200"/>
              <w:textAlignment w:val="auto"/>
              <w:rPr>
                <w:b/>
              </w:rPr>
            </w:pPr>
            <w:r>
              <w:rPr>
                <w:rFonts w:hint="eastAsia"/>
                <w:b/>
                <w:lang w:val="en-US" w:eastAsia="zh-CN"/>
              </w:rPr>
              <w:t>2、</w:t>
            </w:r>
            <w:r>
              <w:rPr>
                <w:b/>
              </w:rPr>
              <w:t>废水</w:t>
            </w:r>
          </w:p>
          <w:p w14:paraId="72CE8303">
            <w:pPr>
              <w:pStyle w:val="54"/>
              <w:numPr>
                <w:ilvl w:val="0"/>
                <w:numId w:val="0"/>
              </w:numPr>
              <w:ind w:left="420" w:leftChars="0"/>
              <w:rPr>
                <w:b/>
              </w:rPr>
            </w:pPr>
            <w:r>
              <w:rPr>
                <w:rFonts w:hint="eastAsia"/>
                <w:b/>
                <w:lang w:eastAsia="zh-CN"/>
              </w:rPr>
              <w:t>（</w:t>
            </w:r>
            <w:r>
              <w:rPr>
                <w:rFonts w:hint="eastAsia"/>
                <w:b/>
                <w:lang w:val="en-US" w:eastAsia="zh-CN"/>
              </w:rPr>
              <w:t>1</w:t>
            </w:r>
            <w:r>
              <w:rPr>
                <w:rFonts w:hint="eastAsia"/>
                <w:b/>
                <w:lang w:eastAsia="zh-CN"/>
              </w:rPr>
              <w:t>）</w:t>
            </w:r>
            <w:r>
              <w:rPr>
                <w:b/>
              </w:rPr>
              <w:t>源强</w:t>
            </w:r>
            <w:r>
              <w:rPr>
                <w:rFonts w:hint="eastAsia"/>
                <w:b/>
              </w:rPr>
              <w:t>核算</w:t>
            </w:r>
          </w:p>
          <w:p w14:paraId="3B4AFF0C">
            <w:pPr>
              <w:ind w:firstLine="480"/>
              <w:rPr>
                <w:rFonts w:hint="eastAsia" w:eastAsia="宋体"/>
                <w:b/>
                <w:bCs/>
                <w:color w:val="000000"/>
                <w:lang w:eastAsia="zh-CN"/>
              </w:rPr>
            </w:pPr>
            <w:r>
              <w:rPr>
                <w:color w:val="000000"/>
                <w:kern w:val="0"/>
              </w:rPr>
              <w:t>本项目</w:t>
            </w:r>
            <w:r>
              <w:rPr>
                <w:rFonts w:hint="eastAsia"/>
                <w:color w:val="000000"/>
                <w:kern w:val="0"/>
                <w:lang w:val="en-US" w:eastAsia="zh-CN"/>
              </w:rPr>
              <w:t>运营期</w:t>
            </w:r>
            <w:r>
              <w:rPr>
                <w:rFonts w:hint="eastAsia"/>
                <w:color w:val="000000"/>
                <w:kern w:val="0"/>
              </w:rPr>
              <w:t>废水主要为</w:t>
            </w:r>
            <w:r>
              <w:rPr>
                <w:color w:val="000000"/>
              </w:rPr>
              <w:t>生活</w:t>
            </w:r>
            <w:r>
              <w:rPr>
                <w:rFonts w:hint="eastAsia"/>
                <w:color w:val="000000"/>
                <w:lang w:val="en-US" w:eastAsia="zh-CN"/>
              </w:rPr>
              <w:t>污</w:t>
            </w:r>
            <w:r>
              <w:rPr>
                <w:rFonts w:hint="eastAsia"/>
                <w:color w:val="000000"/>
              </w:rPr>
              <w:t>水</w:t>
            </w:r>
            <w:r>
              <w:rPr>
                <w:rFonts w:hint="eastAsia"/>
                <w:color w:val="000000"/>
                <w:lang w:eastAsia="zh-CN"/>
              </w:rPr>
              <w:t>、</w:t>
            </w:r>
            <w:r>
              <w:rPr>
                <w:rFonts w:hint="eastAsia"/>
                <w:color w:val="000000"/>
                <w:kern w:val="0"/>
              </w:rPr>
              <w:t>地面冲洗废水</w:t>
            </w:r>
            <w:r>
              <w:rPr>
                <w:rFonts w:hint="eastAsia"/>
                <w:color w:val="000000"/>
                <w:kern w:val="0"/>
                <w:lang w:val="en-US" w:eastAsia="zh-CN"/>
              </w:rPr>
              <w:t>和</w:t>
            </w:r>
            <w:r>
              <w:rPr>
                <w:rFonts w:hint="eastAsia"/>
                <w:color w:val="000000"/>
              </w:rPr>
              <w:t>洗车废水</w:t>
            </w:r>
            <w:r>
              <w:rPr>
                <w:rFonts w:hint="eastAsia"/>
                <w:color w:val="000000"/>
                <w:lang w:eastAsia="zh-CN"/>
              </w:rPr>
              <w:t>。</w:t>
            </w:r>
          </w:p>
          <w:p w14:paraId="5BCE52DF">
            <w:pPr>
              <w:ind w:firstLine="480"/>
              <w:rPr>
                <w:rFonts w:hint="default" w:eastAsia="宋体"/>
                <w:lang w:val="en-US" w:eastAsia="zh-CN"/>
              </w:rPr>
            </w:pPr>
            <w:r>
              <w:rPr>
                <w:rFonts w:hint="eastAsia"/>
                <w:lang w:val="en-US" w:eastAsia="zh-CN"/>
              </w:rPr>
              <w:t>1）生活污水</w:t>
            </w:r>
          </w:p>
          <w:p w14:paraId="6DF5BD24">
            <w:pPr>
              <w:spacing w:line="360" w:lineRule="auto"/>
              <w:ind w:firstLine="480" w:firstLineChars="200"/>
              <w:rPr>
                <w:color w:val="auto"/>
                <w:sz w:val="24"/>
              </w:rPr>
            </w:pPr>
            <w:r>
              <w:rPr>
                <w:rFonts w:hint="eastAsia" w:cs="Times New Roman"/>
                <w:color w:val="auto"/>
                <w:sz w:val="24"/>
                <w:szCs w:val="24"/>
                <w:highlight w:val="none"/>
                <w:lang w:val="en-US" w:eastAsia="zh-CN"/>
              </w:rPr>
              <w:t>根据项目水平衡可知</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highlight w:val="none"/>
                <w:u w:val="none"/>
                <w:lang w:val="en-GB"/>
              </w:rPr>
              <w:t>生活用水量为</w:t>
            </w:r>
            <w:r>
              <w:rPr>
                <w:rFonts w:hint="eastAsia" w:cs="Times New Roman"/>
                <w:color w:val="auto"/>
                <w:highlight w:val="none"/>
                <w:u w:val="none"/>
                <w:lang w:val="en-US" w:eastAsia="zh-CN"/>
              </w:rPr>
              <w:t>500.05</w:t>
            </w:r>
            <w:r>
              <w:rPr>
                <w:rFonts w:hint="default" w:ascii="Times New Roman" w:hAnsi="Times New Roman" w:eastAsia="宋体" w:cs="Times New Roman"/>
                <w:color w:val="auto"/>
                <w:highlight w:val="none"/>
                <w:u w:val="none"/>
                <w:lang w:val="en-GB"/>
              </w:rPr>
              <w:t>m</w:t>
            </w:r>
            <w:r>
              <w:rPr>
                <w:rFonts w:hint="default" w:ascii="Times New Roman" w:hAnsi="Times New Roman" w:eastAsia="宋体" w:cs="Times New Roman"/>
                <w:color w:val="auto"/>
                <w:highlight w:val="none"/>
                <w:u w:val="none"/>
                <w:vertAlign w:val="superscript"/>
                <w:lang w:val="en-GB"/>
              </w:rPr>
              <w:t>3</w:t>
            </w:r>
            <w:r>
              <w:rPr>
                <w:rFonts w:hint="default" w:ascii="Times New Roman" w:hAnsi="Times New Roman" w:eastAsia="宋体" w:cs="Times New Roman"/>
                <w:color w:val="auto"/>
                <w:highlight w:val="none"/>
                <w:u w:val="none"/>
                <w:lang w:val="en-GB"/>
              </w:rPr>
              <w:t>/a</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highlight w:val="none"/>
                <w:u w:val="none"/>
                <w:lang w:val="en-GB"/>
              </w:rPr>
              <w:t>生活污水产生量为</w:t>
            </w:r>
            <w:r>
              <w:rPr>
                <w:rFonts w:hint="eastAsia" w:cs="Times New Roman"/>
                <w:color w:val="auto"/>
                <w:highlight w:val="none"/>
                <w:u w:val="none"/>
                <w:lang w:val="en-US" w:eastAsia="zh-CN"/>
              </w:rPr>
              <w:t>400.04</w:t>
            </w:r>
            <w:r>
              <w:rPr>
                <w:rFonts w:hint="default" w:ascii="Times New Roman" w:hAnsi="Times New Roman" w:eastAsia="宋体" w:cs="Times New Roman"/>
                <w:color w:val="auto"/>
                <w:highlight w:val="none"/>
                <w:u w:val="none"/>
                <w:lang w:val="en-GB"/>
              </w:rPr>
              <w:t>m</w:t>
            </w:r>
            <w:r>
              <w:rPr>
                <w:rFonts w:hint="default" w:ascii="Times New Roman" w:hAnsi="Times New Roman" w:eastAsia="宋体" w:cs="Times New Roman"/>
                <w:color w:val="auto"/>
                <w:highlight w:val="none"/>
                <w:u w:val="none"/>
                <w:vertAlign w:val="superscript"/>
                <w:lang w:val="en-GB"/>
              </w:rPr>
              <w:t>3</w:t>
            </w:r>
            <w:r>
              <w:rPr>
                <w:rFonts w:hint="default" w:ascii="Times New Roman" w:hAnsi="Times New Roman" w:eastAsia="宋体" w:cs="Times New Roman"/>
                <w:color w:val="auto"/>
                <w:highlight w:val="none"/>
                <w:u w:val="none"/>
                <w:lang w:val="en-GB"/>
              </w:rPr>
              <w:t>/a</w:t>
            </w:r>
            <w:r>
              <w:rPr>
                <w:rFonts w:hint="default" w:ascii="Times New Roman" w:hAnsi="Times New Roman" w:eastAsia="宋体" w:cs="Times New Roman"/>
                <w:color w:val="auto"/>
                <w:highlight w:val="none"/>
                <w:u w:val="none"/>
                <w:lang w:val="en-GB" w:eastAsia="zh-CN"/>
              </w:rPr>
              <w:t>。</w:t>
            </w:r>
            <w:r>
              <w:rPr>
                <w:rFonts w:hint="default" w:ascii="Times New Roman" w:hAnsi="Times New Roman" w:eastAsia="宋体" w:cs="Times New Roman"/>
                <w:color w:val="auto"/>
                <w:highlight w:val="none"/>
                <w:u w:val="none"/>
              </w:rPr>
              <w:t>废水水质参考江西省一般生活污水水质</w:t>
            </w:r>
            <w:r>
              <w:rPr>
                <w:rFonts w:hint="default" w:ascii="Times New Roman" w:hAnsi="Times New Roman" w:eastAsia="宋体" w:cs="Times New Roman"/>
                <w:color w:val="auto"/>
                <w:highlight w:val="none"/>
                <w:u w:val="none"/>
                <w:lang w:eastAsia="zh-CN"/>
              </w:rPr>
              <w:t>，</w:t>
            </w:r>
            <w:r>
              <w:rPr>
                <w:rFonts w:hint="default" w:ascii="Times New Roman" w:hAnsi="Times New Roman" w:eastAsia="宋体" w:cs="Times New Roman"/>
                <w:color w:val="auto"/>
                <w:highlight w:val="none"/>
                <w:u w:val="none"/>
                <w:lang w:val="en-GB"/>
              </w:rPr>
              <w:t>污染物浓度分别为</w:t>
            </w:r>
            <w:r>
              <w:rPr>
                <w:rFonts w:hint="eastAsia" w:ascii="Times New Roman" w:hAnsi="Times New Roman" w:eastAsia="宋体" w:cs="Times New Roman"/>
                <w:color w:val="auto"/>
                <w:highlight w:val="none"/>
                <w:u w:val="none"/>
                <w:lang w:val="en-US" w:eastAsia="zh-CN"/>
              </w:rPr>
              <w:t>pH：6-9、</w:t>
            </w:r>
            <w:r>
              <w:rPr>
                <w:rFonts w:hint="eastAsia"/>
              </w:rPr>
              <w:t>COD</w:t>
            </w:r>
            <w:r>
              <w:rPr>
                <w:rFonts w:hint="eastAsia"/>
                <w:vertAlign w:val="subscript"/>
                <w:lang w:val="en-US" w:eastAsia="zh-CN"/>
              </w:rPr>
              <w:t>Cr</w:t>
            </w:r>
            <w:r>
              <w:rPr>
                <w:rFonts w:hint="eastAsia" w:cs="Times New Roman"/>
                <w:color w:val="auto"/>
                <w:highlight w:val="none"/>
                <w:u w:val="none"/>
                <w:lang w:val="en-GB" w:eastAsia="zh-CN"/>
              </w:rPr>
              <w:t>：</w:t>
            </w:r>
            <w:r>
              <w:rPr>
                <w:rFonts w:hint="default" w:ascii="Times New Roman" w:hAnsi="Times New Roman" w:eastAsia="宋体" w:cs="Times New Roman"/>
                <w:color w:val="auto"/>
                <w:highlight w:val="none"/>
                <w:u w:val="none"/>
                <w:lang w:val="en-GB"/>
              </w:rPr>
              <w:t>2</w:t>
            </w:r>
            <w:r>
              <w:rPr>
                <w:rFonts w:hint="default" w:ascii="Times New Roman" w:hAnsi="Times New Roman" w:eastAsia="宋体" w:cs="Times New Roman"/>
                <w:color w:val="auto"/>
                <w:highlight w:val="none"/>
                <w:u w:val="none"/>
                <w:lang w:val="en-US" w:eastAsia="zh-CN"/>
              </w:rPr>
              <w:t>6</w:t>
            </w:r>
            <w:r>
              <w:rPr>
                <w:rFonts w:hint="default" w:ascii="Times New Roman" w:hAnsi="Times New Roman" w:eastAsia="宋体" w:cs="Times New Roman"/>
                <w:color w:val="auto"/>
                <w:highlight w:val="none"/>
                <w:u w:val="none"/>
                <w:lang w:val="en-GB"/>
              </w:rPr>
              <w:t>0mg/L、BOD</w:t>
            </w:r>
            <w:r>
              <w:rPr>
                <w:rFonts w:hint="default" w:ascii="Times New Roman" w:hAnsi="Times New Roman" w:eastAsia="宋体" w:cs="Times New Roman"/>
                <w:color w:val="auto"/>
                <w:highlight w:val="none"/>
                <w:u w:val="none"/>
                <w:vertAlign w:val="subscript"/>
                <w:lang w:val="en-GB"/>
              </w:rPr>
              <w:t>5</w:t>
            </w:r>
            <w:r>
              <w:rPr>
                <w:rFonts w:hint="eastAsia" w:cs="Times New Roman"/>
                <w:color w:val="auto"/>
                <w:highlight w:val="none"/>
                <w:u w:val="none"/>
                <w:lang w:val="en-GB" w:eastAsia="zh-CN"/>
              </w:rPr>
              <w:t>：</w:t>
            </w:r>
            <w:r>
              <w:rPr>
                <w:rFonts w:hint="default" w:ascii="Times New Roman" w:hAnsi="Times New Roman" w:eastAsia="宋体" w:cs="Times New Roman"/>
                <w:color w:val="auto"/>
                <w:highlight w:val="none"/>
                <w:u w:val="none"/>
                <w:lang w:val="en-GB"/>
              </w:rPr>
              <w:t>1</w:t>
            </w:r>
            <w:r>
              <w:rPr>
                <w:rFonts w:hint="default" w:ascii="Times New Roman" w:hAnsi="Times New Roman" w:eastAsia="宋体" w:cs="Times New Roman"/>
                <w:color w:val="auto"/>
                <w:highlight w:val="none"/>
                <w:u w:val="none"/>
                <w:lang w:val="en-US" w:eastAsia="zh-CN"/>
              </w:rPr>
              <w:t>3</w:t>
            </w:r>
            <w:r>
              <w:rPr>
                <w:rFonts w:hint="eastAsia" w:ascii="Times New Roman" w:hAnsi="Times New Roman" w:eastAsia="宋体" w:cs="Times New Roman"/>
                <w:color w:val="auto"/>
                <w:highlight w:val="none"/>
                <w:u w:val="none"/>
                <w:lang w:val="en-US" w:eastAsia="zh-CN"/>
              </w:rPr>
              <w:t>5</w:t>
            </w:r>
            <w:r>
              <w:rPr>
                <w:rFonts w:hint="default" w:ascii="Times New Roman" w:hAnsi="Times New Roman" w:eastAsia="宋体" w:cs="Times New Roman"/>
                <w:color w:val="auto"/>
                <w:highlight w:val="none"/>
                <w:u w:val="none"/>
                <w:lang w:val="en-GB"/>
              </w:rPr>
              <w:t>mg/L、SS</w:t>
            </w:r>
            <w:r>
              <w:rPr>
                <w:rFonts w:hint="eastAsia" w:cs="Times New Roman"/>
                <w:color w:val="auto"/>
                <w:highlight w:val="none"/>
                <w:u w:val="none"/>
                <w:lang w:val="en-GB" w:eastAsia="zh-CN"/>
              </w:rPr>
              <w:t>：</w:t>
            </w:r>
            <w:r>
              <w:rPr>
                <w:rFonts w:hint="default" w:ascii="Times New Roman" w:hAnsi="Times New Roman" w:eastAsia="宋体" w:cs="Times New Roman"/>
                <w:color w:val="auto"/>
                <w:highlight w:val="none"/>
                <w:u w:val="none"/>
                <w:lang w:val="en-GB"/>
              </w:rPr>
              <w:t>200mg/L</w:t>
            </w:r>
            <w:r>
              <w:rPr>
                <w:rFonts w:hint="default" w:ascii="Times New Roman" w:hAnsi="Times New Roman" w:eastAsia="宋体" w:cs="Times New Roman"/>
                <w:color w:val="auto"/>
                <w:highlight w:val="none"/>
                <w:u w:val="none"/>
                <w:lang w:val="en-GB" w:eastAsia="zh-CN"/>
              </w:rPr>
              <w:t>、NH</w:t>
            </w:r>
            <w:r>
              <w:rPr>
                <w:rFonts w:hint="default" w:ascii="Times New Roman" w:hAnsi="Times New Roman" w:eastAsia="宋体" w:cs="Times New Roman"/>
                <w:color w:val="auto"/>
                <w:highlight w:val="none"/>
                <w:u w:val="none"/>
                <w:vertAlign w:val="subscript"/>
                <w:lang w:val="en-GB" w:eastAsia="zh-CN"/>
              </w:rPr>
              <w:t>3</w:t>
            </w:r>
            <w:r>
              <w:rPr>
                <w:rFonts w:hint="default" w:ascii="Times New Roman" w:hAnsi="Times New Roman" w:eastAsia="宋体" w:cs="Times New Roman"/>
                <w:color w:val="auto"/>
                <w:highlight w:val="none"/>
                <w:u w:val="none"/>
                <w:lang w:val="en-GB" w:eastAsia="zh-CN"/>
              </w:rPr>
              <w:t>-N</w:t>
            </w:r>
            <w:r>
              <w:rPr>
                <w:rFonts w:hint="eastAsia" w:cs="Times New Roman"/>
                <w:color w:val="auto"/>
                <w:highlight w:val="none"/>
                <w:u w:val="none"/>
                <w:lang w:val="en-GB" w:eastAsia="zh-CN"/>
              </w:rPr>
              <w:t>：</w:t>
            </w:r>
            <w:r>
              <w:rPr>
                <w:rFonts w:hint="default" w:ascii="Times New Roman" w:hAnsi="Times New Roman" w:eastAsia="宋体" w:cs="Times New Roman"/>
                <w:color w:val="auto"/>
                <w:highlight w:val="none"/>
                <w:u w:val="none"/>
                <w:lang w:val="en-US" w:eastAsia="zh-CN"/>
              </w:rPr>
              <w:t>20</w:t>
            </w:r>
            <w:r>
              <w:rPr>
                <w:rFonts w:hint="default" w:ascii="Times New Roman" w:hAnsi="Times New Roman" w:eastAsia="宋体" w:cs="Times New Roman"/>
                <w:color w:val="auto"/>
                <w:highlight w:val="none"/>
                <w:u w:val="none"/>
                <w:lang w:val="en-GB"/>
              </w:rPr>
              <w:t>mg/L、</w:t>
            </w:r>
            <w:r>
              <w:rPr>
                <w:rFonts w:hint="default" w:ascii="Times New Roman" w:hAnsi="Times New Roman" w:eastAsia="宋体" w:cs="Times New Roman"/>
                <w:color w:val="auto"/>
                <w:highlight w:val="none"/>
                <w:u w:val="none"/>
                <w:lang w:val="en-US" w:eastAsia="zh-CN"/>
              </w:rPr>
              <w:t>TP</w:t>
            </w:r>
            <w:r>
              <w:rPr>
                <w:rFonts w:hint="eastAsia" w:cs="Times New Roman"/>
                <w:color w:val="auto"/>
                <w:highlight w:val="none"/>
                <w:u w:val="none"/>
                <w:lang w:val="en-GB" w:eastAsia="zh-CN"/>
              </w:rPr>
              <w:t>：</w:t>
            </w:r>
            <w:r>
              <w:rPr>
                <w:rFonts w:hint="default" w:ascii="Times New Roman" w:hAnsi="Times New Roman" w:eastAsia="宋体" w:cs="Times New Roman"/>
                <w:color w:val="auto"/>
                <w:highlight w:val="none"/>
                <w:u w:val="none"/>
                <w:lang w:val="en-US" w:eastAsia="zh-CN"/>
              </w:rPr>
              <w:t>1.1</w:t>
            </w:r>
            <w:r>
              <w:rPr>
                <w:rFonts w:hint="default" w:ascii="Times New Roman" w:hAnsi="Times New Roman" w:eastAsia="宋体" w:cs="Times New Roman"/>
                <w:color w:val="auto"/>
                <w:highlight w:val="none"/>
                <w:u w:val="none"/>
                <w:lang w:val="en-GB"/>
              </w:rPr>
              <w:t>mg/L</w:t>
            </w:r>
            <w:r>
              <w:rPr>
                <w:rFonts w:hint="default" w:ascii="Times New Roman" w:hAnsi="Times New Roman" w:eastAsia="宋体" w:cs="Times New Roman"/>
                <w:color w:val="auto"/>
                <w:highlight w:val="none"/>
                <w:u w:val="none"/>
                <w:lang w:val="en-GB" w:eastAsia="zh-CN"/>
              </w:rPr>
              <w:t>、</w:t>
            </w:r>
            <w:r>
              <w:rPr>
                <w:rFonts w:hint="default" w:ascii="Times New Roman" w:hAnsi="Times New Roman" w:eastAsia="宋体" w:cs="Times New Roman"/>
                <w:color w:val="auto"/>
                <w:highlight w:val="none"/>
                <w:u w:val="none"/>
                <w:lang w:val="en-US" w:eastAsia="zh-CN"/>
              </w:rPr>
              <w:t>TN</w:t>
            </w:r>
            <w:r>
              <w:rPr>
                <w:rFonts w:hint="eastAsia" w:cs="Times New Roman"/>
                <w:color w:val="auto"/>
                <w:highlight w:val="none"/>
                <w:u w:val="none"/>
                <w:lang w:val="en-GB" w:eastAsia="zh-CN"/>
              </w:rPr>
              <w:t>：</w:t>
            </w:r>
            <w:r>
              <w:rPr>
                <w:rFonts w:hint="default" w:ascii="Times New Roman" w:hAnsi="Times New Roman" w:eastAsia="宋体" w:cs="Times New Roman"/>
                <w:color w:val="auto"/>
                <w:highlight w:val="none"/>
                <w:u w:val="none"/>
                <w:lang w:val="en-US" w:eastAsia="zh-CN"/>
              </w:rPr>
              <w:t>30</w:t>
            </w:r>
            <w:r>
              <w:rPr>
                <w:rFonts w:hint="default" w:ascii="Times New Roman" w:hAnsi="Times New Roman" w:eastAsia="宋体" w:cs="Times New Roman"/>
                <w:color w:val="auto"/>
                <w:highlight w:val="none"/>
                <w:u w:val="none"/>
                <w:lang w:val="en-GB"/>
              </w:rPr>
              <w:t>mg/L</w:t>
            </w:r>
            <w:r>
              <w:rPr>
                <w:rFonts w:hint="eastAsia" w:ascii="Times New Roman" w:hAnsi="Times New Roman" w:eastAsia="宋体" w:cs="Times New Roman"/>
                <w:color w:val="auto"/>
                <w:highlight w:val="none"/>
                <w:u w:val="none"/>
                <w:lang w:val="en-GB" w:eastAsia="zh-CN"/>
              </w:rPr>
              <w:t>、</w:t>
            </w:r>
            <w:r>
              <w:rPr>
                <w:rFonts w:hint="eastAsia" w:ascii="Times New Roman" w:hAnsi="Times New Roman" w:eastAsia="宋体" w:cs="Times New Roman"/>
                <w:color w:val="auto"/>
                <w:highlight w:val="none"/>
                <w:u w:val="none"/>
                <w:lang w:val="en-US" w:eastAsia="zh-CN"/>
              </w:rPr>
              <w:t>动植物油：</w:t>
            </w:r>
            <w:r>
              <w:rPr>
                <w:rFonts w:eastAsia="宋体"/>
                <w:color w:val="auto"/>
                <w:highlight w:val="none"/>
              </w:rPr>
              <w:t>30</w:t>
            </w:r>
            <w:r>
              <w:rPr>
                <w:rFonts w:hint="eastAsia" w:ascii="Times New Roman" w:hAnsi="Times New Roman" w:cs="Times New Roman"/>
                <w:color w:val="auto"/>
                <w:sz w:val="24"/>
                <w:szCs w:val="24"/>
                <w:highlight w:val="none"/>
                <w:u w:val="none"/>
                <w:lang w:val="en-US" w:eastAsia="zh-CN"/>
              </w:rPr>
              <w:t>mg/L</w:t>
            </w:r>
            <w:r>
              <w:rPr>
                <w:rFonts w:hint="default" w:ascii="Times New Roman" w:hAnsi="Times New Roman" w:eastAsia="宋体" w:cs="Times New Roman"/>
                <w:color w:val="auto"/>
                <w:highlight w:val="none"/>
                <w:u w:val="none"/>
                <w:lang w:val="en-GB"/>
              </w:rPr>
              <w:t>，</w:t>
            </w:r>
            <w:r>
              <w:rPr>
                <w:rFonts w:hint="default" w:ascii="Times New Roman" w:hAnsi="Times New Roman" w:eastAsia="宋体" w:cs="Times New Roman"/>
                <w:color w:val="auto"/>
                <w:highlight w:val="none"/>
                <w:u w:val="none"/>
                <w:lang w:val="en-GB" w:eastAsia="zh-CN"/>
              </w:rPr>
              <w:t>生活污水</w:t>
            </w:r>
            <w:r>
              <w:rPr>
                <w:rFonts w:hint="eastAsia" w:eastAsia="宋体" w:cs="Times New Roman"/>
                <w:color w:val="auto"/>
                <w:highlight w:val="none"/>
                <w:u w:val="none"/>
                <w:lang w:val="en-US" w:eastAsia="zh-CN"/>
              </w:rPr>
              <w:t>经油水分离器+化粪池</w:t>
            </w:r>
            <w:r>
              <w:rPr>
                <w:rFonts w:hint="default" w:ascii="Times New Roman" w:hAnsi="Times New Roman" w:eastAsia="宋体" w:cs="Times New Roman"/>
                <w:color w:val="auto"/>
                <w:highlight w:val="none"/>
                <w:u w:val="none"/>
              </w:rPr>
              <w:t>预处理</w:t>
            </w:r>
            <w:r>
              <w:rPr>
                <w:rFonts w:hint="eastAsia" w:ascii="Times New Roman" w:hAnsi="Times New Roman" w:eastAsia="宋体" w:cs="Times New Roman"/>
                <w:color w:val="auto"/>
                <w:highlight w:val="none"/>
                <w:u w:val="none"/>
                <w:lang w:val="en-US" w:eastAsia="zh-CN"/>
              </w:rPr>
              <w:t>达红心村生活污水处理站接管标准</w:t>
            </w:r>
            <w:r>
              <w:rPr>
                <w:rFonts w:hint="eastAsia" w:ascii="Times New Roman" w:hAnsi="Times New Roman" w:eastAsia="宋体" w:cs="Times New Roman"/>
                <w:color w:val="auto"/>
                <w:highlight w:val="none"/>
                <w:u w:val="none"/>
                <w:lang w:eastAsia="zh-CN"/>
              </w:rPr>
              <w:t>，</w:t>
            </w:r>
            <w:r>
              <w:rPr>
                <w:rFonts w:hint="eastAsia" w:ascii="Times New Roman" w:hAnsi="Times New Roman" w:eastAsia="宋体" w:cs="Times New Roman"/>
                <w:color w:val="auto"/>
                <w:highlight w:val="none"/>
                <w:u w:val="none"/>
                <w:lang w:val="en-US" w:eastAsia="zh-CN"/>
              </w:rPr>
              <w:t>经污水管网</w:t>
            </w:r>
            <w:r>
              <w:rPr>
                <w:rFonts w:hint="default" w:ascii="Times New Roman" w:hAnsi="Times New Roman" w:eastAsia="宋体" w:cs="Times New Roman"/>
                <w:color w:val="auto"/>
                <w:highlight w:val="none"/>
                <w:u w:val="none"/>
              </w:rPr>
              <w:t>排入</w:t>
            </w:r>
            <w:r>
              <w:rPr>
                <w:rFonts w:hint="default" w:ascii="Times New Roman" w:hAnsi="Times New Roman" w:eastAsia="宋体" w:cs="Times New Roman"/>
                <w:color w:val="auto"/>
                <w:highlight w:val="none"/>
                <w:u w:val="none"/>
                <w:lang w:val="en-US" w:eastAsia="zh-CN"/>
              </w:rPr>
              <w:t>红心村生活污水处理</w:t>
            </w:r>
            <w:r>
              <w:rPr>
                <w:rFonts w:hint="eastAsia" w:cs="Times New Roman"/>
                <w:color w:val="auto"/>
                <w:highlight w:val="none"/>
                <w:u w:val="none"/>
                <w:lang w:val="en-US" w:eastAsia="zh-CN"/>
              </w:rPr>
              <w:t>站</w:t>
            </w:r>
            <w:r>
              <w:rPr>
                <w:rFonts w:hint="eastAsia" w:ascii="Times New Roman" w:hAnsi="Times New Roman" w:eastAsia="宋体" w:cs="Times New Roman"/>
                <w:color w:val="auto"/>
                <w:highlight w:val="none"/>
                <w:u w:val="none"/>
                <w:lang w:eastAsia="zh-CN"/>
              </w:rPr>
              <w:t>进一步处理</w:t>
            </w:r>
            <w:r>
              <w:rPr>
                <w:rFonts w:hint="eastAsia" w:ascii="Times New Roman" w:hAnsi="Times New Roman" w:eastAsia="宋体" w:cs="Times New Roman"/>
                <w:color w:val="auto"/>
                <w:highlight w:val="none"/>
                <w:u w:val="none"/>
                <w:lang w:val="en-US" w:eastAsia="zh-CN"/>
              </w:rPr>
              <w:t>后</w:t>
            </w:r>
            <w:r>
              <w:rPr>
                <w:rFonts w:hint="default" w:ascii="Times New Roman" w:hAnsi="Times New Roman" w:eastAsia="宋体" w:cs="Times New Roman"/>
                <w:color w:val="auto"/>
                <w:highlight w:val="none"/>
                <w:u w:val="none"/>
                <w:lang w:val="en-GB"/>
              </w:rPr>
              <w:t>，</w:t>
            </w:r>
            <w:r>
              <w:rPr>
                <w:rFonts w:hint="eastAsia" w:ascii="Times New Roman" w:hAnsi="Times New Roman" w:eastAsia="宋体" w:cs="Times New Roman"/>
                <w:color w:val="auto"/>
                <w:highlight w:val="none"/>
                <w:u w:val="none"/>
                <w:lang w:val="en-US" w:eastAsia="zh-CN"/>
              </w:rPr>
              <w:t>满足</w:t>
            </w:r>
            <w:r>
              <w:rPr>
                <w:rFonts w:hint="default" w:ascii="Times New Roman" w:hAnsi="Times New Roman" w:eastAsia="宋体" w:cs="Times New Roman"/>
                <w:color w:val="auto"/>
                <w:highlight w:val="none"/>
                <w:u w:val="none"/>
              </w:rPr>
              <w:t>《城镇污水处理厂污染物排放标准》</w:t>
            </w:r>
            <w:r>
              <w:rPr>
                <w:rFonts w:hint="eastAsia" w:ascii="Times New Roman" w:hAnsi="Times New Roman" w:eastAsia="宋体" w:cs="Times New Roman"/>
                <w:color w:val="auto"/>
                <w:highlight w:val="none"/>
                <w:u w:val="none"/>
                <w:lang w:eastAsia="zh-CN"/>
              </w:rPr>
              <w:t>（</w:t>
            </w:r>
            <w:r>
              <w:rPr>
                <w:rFonts w:hint="default" w:ascii="Times New Roman" w:hAnsi="Times New Roman" w:eastAsia="宋体" w:cs="Times New Roman"/>
                <w:color w:val="auto"/>
                <w:highlight w:val="none"/>
                <w:u w:val="none"/>
              </w:rPr>
              <w:t>GB18918-2002</w:t>
            </w:r>
            <w:r>
              <w:rPr>
                <w:rFonts w:hint="eastAsia" w:ascii="Times New Roman" w:hAnsi="Times New Roman" w:eastAsia="宋体" w:cs="Times New Roman"/>
                <w:color w:val="auto"/>
                <w:highlight w:val="none"/>
                <w:u w:val="none"/>
                <w:lang w:eastAsia="zh-CN"/>
              </w:rPr>
              <w:t>）</w:t>
            </w:r>
            <w:r>
              <w:rPr>
                <w:rFonts w:hint="eastAsia" w:ascii="Times New Roman" w:hAnsi="Times New Roman" w:eastAsia="宋体" w:cs="Times New Roman"/>
                <w:color w:val="auto"/>
                <w:highlight w:val="none"/>
                <w:u w:val="none"/>
                <w:lang w:val="en-US" w:eastAsia="zh-CN"/>
              </w:rPr>
              <w:t>及其修改单</w:t>
            </w:r>
            <w:r>
              <w:rPr>
                <w:rFonts w:hint="eastAsia"/>
                <w:color w:val="auto"/>
                <w:highlight w:val="none"/>
                <w:lang w:val="en-US" w:eastAsia="zh-CN"/>
              </w:rPr>
              <w:t>中</w:t>
            </w:r>
            <w:r>
              <w:rPr>
                <w:rFonts w:hint="default" w:ascii="Times New Roman" w:hAnsi="Times New Roman" w:eastAsia="宋体" w:cs="Times New Roman"/>
                <w:color w:val="auto"/>
                <w:highlight w:val="none"/>
                <w:u w:val="none"/>
              </w:rPr>
              <w:t>一级</w:t>
            </w:r>
            <w:r>
              <w:rPr>
                <w:rFonts w:hint="eastAsia" w:ascii="Times New Roman" w:hAnsi="Times New Roman" w:eastAsia="宋体" w:cs="Times New Roman"/>
                <w:color w:val="auto"/>
                <w:highlight w:val="none"/>
                <w:u w:val="none"/>
                <w:lang w:val="en-US" w:eastAsia="zh-CN"/>
              </w:rPr>
              <w:t>B</w:t>
            </w:r>
            <w:r>
              <w:rPr>
                <w:rFonts w:hint="default" w:ascii="Times New Roman" w:hAnsi="Times New Roman" w:eastAsia="宋体" w:cs="Times New Roman"/>
                <w:color w:val="auto"/>
                <w:highlight w:val="none"/>
                <w:u w:val="none"/>
              </w:rPr>
              <w:t>标准</w:t>
            </w:r>
            <w:r>
              <w:rPr>
                <w:rFonts w:hint="eastAsia" w:ascii="Times New Roman" w:hAnsi="Times New Roman" w:eastAsia="宋体" w:cs="Times New Roman"/>
                <w:color w:val="auto"/>
                <w:highlight w:val="none"/>
                <w:u w:val="none"/>
                <w:lang w:val="en-US" w:eastAsia="zh-CN"/>
              </w:rPr>
              <w:t>排放</w:t>
            </w:r>
            <w:r>
              <w:rPr>
                <w:rFonts w:hint="eastAsia" w:cs="Times New Roman"/>
                <w:color w:val="auto"/>
                <w:highlight w:val="none"/>
                <w:u w:val="none"/>
                <w:lang w:val="en-US" w:eastAsia="zh-CN"/>
              </w:rPr>
              <w:t>，最终排入赛城湖</w:t>
            </w:r>
            <w:r>
              <w:rPr>
                <w:rFonts w:hint="eastAsia" w:ascii="Times New Roman" w:hAnsi="Times New Roman" w:eastAsia="宋体" w:cs="Times New Roman"/>
                <w:color w:val="auto"/>
                <w:highlight w:val="none"/>
                <w:u w:val="none"/>
                <w:lang w:eastAsia="zh-CN"/>
              </w:rPr>
              <w:t>。</w:t>
            </w:r>
          </w:p>
          <w:p w14:paraId="1551B3DB">
            <w:pPr>
              <w:ind w:firstLine="480"/>
              <w:rPr>
                <w:rFonts w:hint="default" w:eastAsia="宋体"/>
                <w:lang w:val="en-US" w:eastAsia="zh-CN"/>
              </w:rPr>
            </w:pPr>
            <w:r>
              <w:rPr>
                <w:rFonts w:hint="eastAsia"/>
                <w:lang w:val="en-US" w:eastAsia="zh-CN"/>
              </w:rPr>
              <w:t>2）地面冲洗废水</w:t>
            </w:r>
          </w:p>
          <w:p w14:paraId="0D0E8B2F">
            <w:pPr>
              <w:ind w:firstLine="480"/>
              <w:rPr>
                <w:rFonts w:hint="eastAsia"/>
                <w:color w:val="FF0000"/>
              </w:rPr>
            </w:pPr>
            <w:r>
              <w:rPr>
                <w:rFonts w:hint="eastAsia"/>
                <w:lang w:val="en-US" w:eastAsia="zh-CN"/>
              </w:rPr>
              <w:t>根据项目</w:t>
            </w:r>
            <w:r>
              <w:rPr>
                <w:rFonts w:hint="eastAsia" w:cs="Times New Roman"/>
                <w:color w:val="auto"/>
                <w:sz w:val="24"/>
                <w:szCs w:val="24"/>
                <w:highlight w:val="none"/>
                <w:lang w:val="en-US" w:eastAsia="zh-CN"/>
              </w:rPr>
              <w:t>水平衡可知，</w:t>
            </w:r>
            <w:r>
              <w:rPr>
                <w:rFonts w:hint="eastAsia" w:ascii="Times New Roman" w:hAnsi="Times New Roman" w:eastAsia="宋体" w:cs="Times New Roman"/>
                <w:color w:val="auto"/>
                <w:highlight w:val="none"/>
                <w:u w:val="none"/>
                <w:lang w:val="en-US" w:eastAsia="zh-CN"/>
              </w:rPr>
              <w:t>地面冲洗</w:t>
            </w:r>
            <w:r>
              <w:rPr>
                <w:rFonts w:hint="default" w:ascii="Times New Roman" w:hAnsi="Times New Roman" w:eastAsia="宋体" w:cs="Times New Roman"/>
                <w:color w:val="auto"/>
                <w:highlight w:val="none"/>
                <w:u w:val="none"/>
                <w:lang w:val="en-GB"/>
              </w:rPr>
              <w:t>用水量为</w:t>
            </w:r>
            <w:r>
              <w:rPr>
                <w:rFonts w:hint="eastAsia" w:ascii="Times New Roman" w:hAnsi="Times New Roman" w:eastAsia="宋体" w:cs="Times New Roman"/>
                <w:color w:val="auto"/>
                <w:highlight w:val="none"/>
                <w:u w:val="none"/>
                <w:lang w:val="en-US" w:eastAsia="zh-CN"/>
              </w:rPr>
              <w:t>47.28</w:t>
            </w:r>
            <w:r>
              <w:rPr>
                <w:rFonts w:hint="default" w:ascii="Times New Roman" w:hAnsi="Times New Roman" w:eastAsia="宋体" w:cs="Times New Roman"/>
                <w:color w:val="auto"/>
                <w:highlight w:val="none"/>
                <w:u w:val="none"/>
                <w:lang w:val="en-GB"/>
              </w:rPr>
              <w:t>m</w:t>
            </w:r>
            <w:r>
              <w:rPr>
                <w:rFonts w:hint="default" w:ascii="Times New Roman" w:hAnsi="Times New Roman" w:eastAsia="宋体" w:cs="Times New Roman"/>
                <w:color w:val="auto"/>
                <w:highlight w:val="none"/>
                <w:u w:val="none"/>
                <w:vertAlign w:val="superscript"/>
                <w:lang w:val="en-GB"/>
              </w:rPr>
              <w:t>3</w:t>
            </w:r>
            <w:r>
              <w:rPr>
                <w:rFonts w:hint="default" w:ascii="Times New Roman" w:hAnsi="Times New Roman" w:eastAsia="宋体" w:cs="Times New Roman"/>
                <w:color w:val="auto"/>
                <w:highlight w:val="none"/>
                <w:u w:val="none"/>
                <w:lang w:val="en-GB"/>
              </w:rPr>
              <w:t>/a</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highlight w:val="none"/>
                <w:u w:val="none"/>
                <w:lang w:val="en-US" w:eastAsia="zh-CN"/>
              </w:rPr>
              <w:t>地面冲洗废水</w:t>
            </w:r>
            <w:r>
              <w:rPr>
                <w:rFonts w:hint="default" w:ascii="Times New Roman" w:hAnsi="Times New Roman" w:eastAsia="宋体" w:cs="Times New Roman"/>
                <w:color w:val="auto"/>
                <w:highlight w:val="none"/>
                <w:u w:val="none"/>
                <w:lang w:val="en-GB"/>
              </w:rPr>
              <w:t>产生量为</w:t>
            </w:r>
            <w:r>
              <w:rPr>
                <w:rFonts w:hint="eastAsia" w:ascii="Times New Roman" w:hAnsi="Times New Roman" w:eastAsia="宋体" w:cs="Times New Roman"/>
                <w:color w:val="auto"/>
                <w:highlight w:val="none"/>
                <w:u w:val="none"/>
                <w:lang w:val="en-US" w:eastAsia="zh-CN"/>
              </w:rPr>
              <w:t>37.824</w:t>
            </w:r>
            <w:r>
              <w:rPr>
                <w:rFonts w:hint="default" w:ascii="Times New Roman" w:hAnsi="Times New Roman" w:eastAsia="宋体" w:cs="Times New Roman"/>
                <w:color w:val="auto"/>
                <w:highlight w:val="none"/>
                <w:u w:val="none"/>
                <w:lang w:val="en-GB"/>
              </w:rPr>
              <w:t>m</w:t>
            </w:r>
            <w:r>
              <w:rPr>
                <w:rFonts w:hint="default" w:ascii="Times New Roman" w:hAnsi="Times New Roman" w:eastAsia="宋体" w:cs="Times New Roman"/>
                <w:color w:val="auto"/>
                <w:highlight w:val="none"/>
                <w:u w:val="none"/>
                <w:vertAlign w:val="superscript"/>
                <w:lang w:val="en-GB"/>
              </w:rPr>
              <w:t>3</w:t>
            </w:r>
            <w:r>
              <w:rPr>
                <w:rFonts w:hint="default" w:ascii="Times New Roman" w:hAnsi="Times New Roman" w:eastAsia="宋体" w:cs="Times New Roman"/>
                <w:color w:val="auto"/>
                <w:highlight w:val="none"/>
                <w:u w:val="none"/>
                <w:lang w:val="en-GB"/>
              </w:rPr>
              <w:t>/a</w:t>
            </w:r>
            <w:r>
              <w:rPr>
                <w:rFonts w:hint="default" w:ascii="Times New Roman" w:hAnsi="Times New Roman" w:eastAsia="宋体" w:cs="Times New Roman"/>
                <w:color w:val="auto"/>
                <w:highlight w:val="none"/>
                <w:u w:val="none"/>
                <w:lang w:val="en-GB" w:eastAsia="zh-CN"/>
              </w:rPr>
              <w:t>。</w:t>
            </w:r>
            <w:r>
              <w:rPr>
                <w:rFonts w:hint="eastAsia" w:cs="Times New Roman"/>
                <w:color w:val="FF0000"/>
                <w:highlight w:val="none"/>
                <w:u w:val="none"/>
                <w:lang w:val="en-US" w:eastAsia="zh-CN"/>
              </w:rPr>
              <w:t>根据《</w:t>
            </w:r>
            <w:r>
              <w:rPr>
                <w:rFonts w:hint="eastAsia" w:ascii="Times New Roman" w:hAnsi="Times New Roman" w:eastAsia="宋体" w:cs="宋体"/>
                <w:color w:val="FF0000"/>
                <w:kern w:val="0"/>
                <w:sz w:val="24"/>
                <w:szCs w:val="24"/>
              </w:rPr>
              <w:t>瑞昌市昌腾石油化工有限公司东关加油站项目</w:t>
            </w:r>
            <w:r>
              <w:rPr>
                <w:rFonts w:hint="eastAsia" w:ascii="Times New Roman" w:hAnsi="Times New Roman" w:eastAsia="宋体" w:cs="宋体"/>
                <w:color w:val="FF0000"/>
                <w:kern w:val="0"/>
                <w:sz w:val="24"/>
                <w:szCs w:val="24"/>
                <w:lang w:val="en-US" w:eastAsia="zh-CN"/>
              </w:rPr>
              <w:t>环境影响报告表</w:t>
            </w:r>
            <w:r>
              <w:rPr>
                <w:rFonts w:hint="eastAsia" w:cs="Times New Roman"/>
                <w:color w:val="FF0000"/>
                <w:highlight w:val="none"/>
                <w:u w:val="none"/>
                <w:lang w:val="en-US" w:eastAsia="zh-CN"/>
              </w:rPr>
              <w:t>》类比分析可知，</w:t>
            </w:r>
            <w:r>
              <w:rPr>
                <w:rFonts w:hint="eastAsia" w:ascii="Times New Roman" w:hAnsi="Times New Roman" w:eastAsia="宋体"/>
                <w:color w:val="FF0000"/>
                <w:sz w:val="24"/>
              </w:rPr>
              <w:t>地面</w:t>
            </w:r>
            <w:r>
              <w:rPr>
                <w:rFonts w:ascii="Times New Roman" w:hAnsi="Times New Roman" w:eastAsia="宋体"/>
                <w:color w:val="FF0000"/>
                <w:sz w:val="24"/>
              </w:rPr>
              <w:t>冲洗</w:t>
            </w:r>
            <w:r>
              <w:rPr>
                <w:rFonts w:hint="eastAsia" w:ascii="Times New Roman" w:hAnsi="Times New Roman" w:eastAsia="宋体"/>
                <w:color w:val="FF0000"/>
                <w:sz w:val="24"/>
              </w:rPr>
              <w:t>废</w:t>
            </w:r>
            <w:r>
              <w:rPr>
                <w:rFonts w:ascii="Times New Roman" w:hAnsi="Times New Roman" w:eastAsia="宋体"/>
                <w:color w:val="FF0000"/>
                <w:sz w:val="24"/>
              </w:rPr>
              <w:t>水主要污染因子为SS</w:t>
            </w:r>
            <w:r>
              <w:rPr>
                <w:rFonts w:hint="eastAsia" w:ascii="Times New Roman" w:hAnsi="Times New Roman" w:eastAsia="宋体"/>
                <w:color w:val="FF0000"/>
                <w:sz w:val="24"/>
              </w:rPr>
              <w:t>：</w:t>
            </w:r>
            <w:r>
              <w:rPr>
                <w:rFonts w:ascii="Times New Roman" w:hAnsi="Times New Roman" w:eastAsia="宋体"/>
                <w:color w:val="FF0000"/>
                <w:sz w:val="24"/>
              </w:rPr>
              <w:t>110mg/L、石油类</w:t>
            </w:r>
            <w:r>
              <w:rPr>
                <w:rFonts w:hint="eastAsia" w:ascii="Times New Roman" w:hAnsi="Times New Roman" w:eastAsia="宋体"/>
                <w:color w:val="FF0000"/>
                <w:sz w:val="24"/>
              </w:rPr>
              <w:t>：</w:t>
            </w:r>
            <w:r>
              <w:rPr>
                <w:rFonts w:ascii="Times New Roman" w:hAnsi="Times New Roman" w:eastAsia="宋体"/>
                <w:color w:val="FF0000"/>
                <w:sz w:val="24"/>
              </w:rPr>
              <w:t>50mg/L。</w:t>
            </w:r>
            <w:r>
              <w:rPr>
                <w:rFonts w:hint="eastAsia"/>
                <w:lang w:val="en-US" w:eastAsia="zh-CN"/>
              </w:rPr>
              <w:t>地面冲洗废水经隔油池隔油预处理后，排入厂区一体化（MBR）洗车废水处理设施进一步处理后满足《城市污水再生利用</w:t>
            </w:r>
            <w:r>
              <w:rPr>
                <w:rFonts w:hint="default" w:ascii="Times New Roman" w:hAnsi="Times New Roman" w:cs="Times New Roman"/>
                <w:lang w:val="en-US" w:eastAsia="zh-CN"/>
              </w:rPr>
              <w:t>·</w:t>
            </w:r>
            <w:r>
              <w:rPr>
                <w:rFonts w:hint="eastAsia"/>
                <w:lang w:val="en-US" w:eastAsia="zh-CN"/>
              </w:rPr>
              <w:t>城市杂用水水质》（GB/T18920-2020）中车辆冲洗水质标准要求后回用于洗车，不外排。</w:t>
            </w:r>
          </w:p>
          <w:p w14:paraId="1F7EC9D4">
            <w:pPr>
              <w:ind w:firstLine="480"/>
              <w:rPr>
                <w:rFonts w:hint="default" w:eastAsia="宋体"/>
                <w:color w:val="auto"/>
                <w:highlight w:val="none"/>
                <w:lang w:val="en-US" w:eastAsia="zh-CN"/>
              </w:rPr>
            </w:pPr>
            <w:r>
              <w:rPr>
                <w:rFonts w:hint="eastAsia"/>
                <w:color w:val="auto"/>
                <w:highlight w:val="none"/>
                <w:lang w:val="en-US" w:eastAsia="zh-CN"/>
              </w:rPr>
              <w:t>3）洗车废水</w:t>
            </w:r>
          </w:p>
          <w:p w14:paraId="73D74DE1">
            <w:pPr>
              <w:ind w:firstLine="480"/>
              <w:rPr>
                <w:rFonts w:hint="default"/>
                <w:highlight w:val="none"/>
                <w:lang w:val="en-US"/>
              </w:rPr>
            </w:pPr>
            <w:r>
              <w:rPr>
                <w:rFonts w:hint="eastAsia"/>
                <w:lang w:val="en-US" w:eastAsia="zh-CN"/>
              </w:rPr>
              <w:t>根据项目</w:t>
            </w:r>
            <w:r>
              <w:rPr>
                <w:rFonts w:hint="eastAsia" w:cs="Times New Roman"/>
                <w:color w:val="auto"/>
                <w:sz w:val="24"/>
                <w:szCs w:val="24"/>
                <w:highlight w:val="none"/>
                <w:lang w:val="en-US" w:eastAsia="zh-CN"/>
              </w:rPr>
              <w:t>水平衡可知，</w:t>
            </w:r>
            <w:r>
              <w:rPr>
                <w:rFonts w:hint="eastAsia" w:ascii="Times New Roman" w:hAnsi="Times New Roman" w:eastAsia="宋体" w:cs="Times New Roman"/>
                <w:color w:val="auto"/>
                <w:highlight w:val="none"/>
                <w:u w:val="none"/>
                <w:lang w:val="en-US" w:eastAsia="zh-CN"/>
              </w:rPr>
              <w:t>洗车</w:t>
            </w:r>
            <w:r>
              <w:rPr>
                <w:rFonts w:hint="default" w:ascii="Times New Roman" w:hAnsi="Times New Roman" w:eastAsia="宋体" w:cs="Times New Roman"/>
                <w:color w:val="auto"/>
                <w:highlight w:val="none"/>
                <w:u w:val="none"/>
                <w:lang w:val="en-GB"/>
              </w:rPr>
              <w:t>用水量为</w:t>
            </w:r>
            <w:r>
              <w:rPr>
                <w:rFonts w:hint="eastAsia" w:ascii="Times New Roman" w:hAnsi="Times New Roman" w:eastAsia="宋体" w:cs="Times New Roman"/>
                <w:color w:val="auto"/>
                <w:highlight w:val="none"/>
                <w:u w:val="none"/>
                <w:lang w:val="en-US" w:eastAsia="zh-CN"/>
              </w:rPr>
              <w:t>13.276</w:t>
            </w:r>
            <w:r>
              <w:rPr>
                <w:rFonts w:hint="default" w:ascii="Times New Roman" w:hAnsi="Times New Roman" w:eastAsia="宋体" w:cs="Times New Roman"/>
                <w:color w:val="auto"/>
                <w:highlight w:val="none"/>
                <w:u w:val="none"/>
                <w:lang w:val="en-GB"/>
              </w:rPr>
              <w:t>m</w:t>
            </w:r>
            <w:r>
              <w:rPr>
                <w:rFonts w:hint="default" w:ascii="Times New Roman" w:hAnsi="Times New Roman" w:eastAsia="宋体" w:cs="Times New Roman"/>
                <w:color w:val="auto"/>
                <w:highlight w:val="none"/>
                <w:u w:val="none"/>
                <w:vertAlign w:val="superscript"/>
                <w:lang w:val="en-GB"/>
              </w:rPr>
              <w:t>3</w:t>
            </w:r>
            <w:r>
              <w:rPr>
                <w:rFonts w:hint="default" w:ascii="Times New Roman" w:hAnsi="Times New Roman" w:eastAsia="宋体" w:cs="Times New Roman"/>
                <w:color w:val="auto"/>
                <w:highlight w:val="none"/>
                <w:u w:val="none"/>
                <w:lang w:val="en-GB"/>
              </w:rPr>
              <w:t>/a</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highlight w:val="none"/>
                <w:u w:val="none"/>
                <w:lang w:val="en-US" w:eastAsia="zh-CN"/>
              </w:rPr>
              <w:t>洗车废水</w:t>
            </w:r>
            <w:r>
              <w:rPr>
                <w:rFonts w:hint="default" w:ascii="Times New Roman" w:hAnsi="Times New Roman" w:eastAsia="宋体" w:cs="Times New Roman"/>
                <w:color w:val="auto"/>
                <w:highlight w:val="none"/>
                <w:u w:val="none"/>
                <w:lang w:val="en-GB"/>
              </w:rPr>
              <w:t>产生量为</w:t>
            </w:r>
            <w:r>
              <w:rPr>
                <w:rFonts w:hint="eastAsia" w:ascii="Times New Roman" w:hAnsi="Times New Roman" w:eastAsia="宋体" w:cs="Times New Roman"/>
                <w:color w:val="auto"/>
                <w:highlight w:val="none"/>
                <w:u w:val="none"/>
                <w:lang w:val="en-US" w:eastAsia="zh-CN"/>
              </w:rPr>
              <w:t>204.4</w:t>
            </w:r>
            <w:r>
              <w:rPr>
                <w:rFonts w:hint="default" w:ascii="Times New Roman" w:hAnsi="Times New Roman" w:eastAsia="宋体" w:cs="Times New Roman"/>
                <w:color w:val="auto"/>
                <w:highlight w:val="none"/>
                <w:u w:val="none"/>
                <w:lang w:val="en-GB"/>
              </w:rPr>
              <w:t>m</w:t>
            </w:r>
            <w:r>
              <w:rPr>
                <w:rFonts w:hint="default" w:ascii="Times New Roman" w:hAnsi="Times New Roman" w:eastAsia="宋体" w:cs="Times New Roman"/>
                <w:color w:val="auto"/>
                <w:highlight w:val="none"/>
                <w:u w:val="none"/>
                <w:vertAlign w:val="superscript"/>
                <w:lang w:val="en-GB"/>
              </w:rPr>
              <w:t>3</w:t>
            </w:r>
            <w:r>
              <w:rPr>
                <w:rFonts w:hint="default" w:ascii="Times New Roman" w:hAnsi="Times New Roman" w:eastAsia="宋体" w:cs="Times New Roman"/>
                <w:color w:val="auto"/>
                <w:highlight w:val="none"/>
                <w:u w:val="none"/>
                <w:lang w:val="en-GB"/>
              </w:rPr>
              <w:t>/a</w:t>
            </w:r>
            <w:r>
              <w:rPr>
                <w:rFonts w:hint="default" w:ascii="Times New Roman" w:hAnsi="Times New Roman" w:eastAsia="宋体" w:cs="Times New Roman"/>
                <w:color w:val="auto"/>
                <w:highlight w:val="none"/>
                <w:u w:val="none"/>
                <w:lang w:val="en-GB" w:eastAsia="zh-CN"/>
              </w:rPr>
              <w:t>。结合项目洗车特点，</w:t>
            </w:r>
            <w:r>
              <w:rPr>
                <w:rFonts w:hint="default" w:ascii="Times New Roman" w:hAnsi="Times New Roman" w:eastAsia="宋体" w:cs="Times New Roman"/>
                <w:color w:val="FF0000"/>
                <w:highlight w:val="none"/>
                <w:u w:val="none"/>
                <w:lang w:val="en-GB" w:eastAsia="zh-CN"/>
              </w:rPr>
              <w:t>参考汽车修理养护业水污染物排放标准编制说明中汽车维修洗车废水典型水质，</w:t>
            </w:r>
            <w:r>
              <w:rPr>
                <w:rFonts w:hint="default" w:ascii="Times New Roman" w:hAnsi="Times New Roman" w:eastAsia="宋体" w:cs="Times New Roman"/>
                <w:color w:val="auto"/>
                <w:highlight w:val="none"/>
                <w:u w:val="none"/>
                <w:lang w:val="en-GB" w:eastAsia="zh-CN"/>
              </w:rPr>
              <w:t>洗车废水水质取值为</w:t>
            </w:r>
            <w:r>
              <w:rPr>
                <w:rFonts w:hint="eastAsia"/>
              </w:rPr>
              <w:t>COD</w:t>
            </w:r>
            <w:r>
              <w:rPr>
                <w:rFonts w:hint="eastAsia"/>
                <w:vertAlign w:val="subscript"/>
                <w:lang w:val="en-US" w:eastAsia="zh-CN"/>
              </w:rPr>
              <w:t>Cr</w:t>
            </w:r>
            <w:r>
              <w:rPr>
                <w:rFonts w:hint="eastAsia" w:ascii="Times New Roman" w:hAnsi="Times New Roman" w:eastAsia="宋体"/>
                <w:color w:val="000000" w:themeColor="text1"/>
                <w:sz w:val="24"/>
                <w14:textFill>
                  <w14:solidFill>
                    <w14:schemeClr w14:val="tx1"/>
                  </w14:solidFill>
                </w14:textFill>
              </w:rPr>
              <w:t>：</w:t>
            </w:r>
            <w:r>
              <w:rPr>
                <w:rFonts w:hint="default" w:ascii="Times New Roman" w:hAnsi="Times New Roman" w:eastAsia="宋体" w:cs="Times New Roman"/>
                <w:color w:val="auto"/>
                <w:highlight w:val="none"/>
                <w:u w:val="none"/>
                <w:lang w:val="en-GB" w:eastAsia="zh-CN"/>
              </w:rPr>
              <w:t>250mg/L、BOD</w:t>
            </w:r>
            <w:r>
              <w:rPr>
                <w:rFonts w:hint="eastAsia" w:cs="Times New Roman"/>
                <w:color w:val="auto"/>
                <w:highlight w:val="none"/>
                <w:u w:val="none"/>
                <w:vertAlign w:val="subscript"/>
                <w:lang w:val="en-US" w:eastAsia="zh-CN"/>
              </w:rPr>
              <w:t>5</w:t>
            </w:r>
            <w:r>
              <w:rPr>
                <w:rFonts w:hint="eastAsia" w:ascii="Times New Roman" w:hAnsi="Times New Roman" w:eastAsia="宋体"/>
                <w:color w:val="000000" w:themeColor="text1"/>
                <w:sz w:val="24"/>
                <w14:textFill>
                  <w14:solidFill>
                    <w14:schemeClr w14:val="tx1"/>
                  </w14:solidFill>
                </w14:textFill>
              </w:rPr>
              <w:t>：</w:t>
            </w:r>
            <w:r>
              <w:rPr>
                <w:rFonts w:hint="default" w:ascii="Times New Roman" w:hAnsi="Times New Roman" w:eastAsia="宋体" w:cs="Times New Roman"/>
                <w:color w:val="auto"/>
                <w:highlight w:val="none"/>
                <w:u w:val="none"/>
                <w:lang w:val="en-GB" w:eastAsia="zh-CN"/>
              </w:rPr>
              <w:t>100mg/L、SS</w:t>
            </w:r>
            <w:r>
              <w:rPr>
                <w:rFonts w:hint="eastAsia" w:ascii="Times New Roman" w:hAnsi="Times New Roman" w:eastAsia="宋体"/>
                <w:color w:val="000000" w:themeColor="text1"/>
                <w:sz w:val="24"/>
                <w14:textFill>
                  <w14:solidFill>
                    <w14:schemeClr w14:val="tx1"/>
                  </w14:solidFill>
                </w14:textFill>
              </w:rPr>
              <w:t>：</w:t>
            </w:r>
            <w:r>
              <w:rPr>
                <w:rFonts w:hint="default" w:ascii="Times New Roman" w:hAnsi="Times New Roman" w:eastAsia="宋体" w:cs="Times New Roman"/>
                <w:color w:val="auto"/>
                <w:highlight w:val="none"/>
                <w:u w:val="none"/>
                <w:lang w:val="en-GB" w:eastAsia="zh-CN"/>
              </w:rPr>
              <w:t>200mgL、石油类</w:t>
            </w:r>
            <w:r>
              <w:rPr>
                <w:rFonts w:hint="eastAsia" w:ascii="Times New Roman" w:hAnsi="Times New Roman" w:eastAsia="宋体"/>
                <w:color w:val="000000" w:themeColor="text1"/>
                <w:sz w:val="24"/>
                <w14:textFill>
                  <w14:solidFill>
                    <w14:schemeClr w14:val="tx1"/>
                  </w14:solidFill>
                </w14:textFill>
              </w:rPr>
              <w:t>：</w:t>
            </w:r>
            <w:r>
              <w:rPr>
                <w:rFonts w:hint="default" w:ascii="Times New Roman" w:hAnsi="Times New Roman" w:eastAsia="宋体" w:cs="Times New Roman"/>
                <w:color w:val="auto"/>
                <w:highlight w:val="none"/>
                <w:u w:val="none"/>
                <w:lang w:val="en-GB" w:eastAsia="zh-CN"/>
              </w:rPr>
              <w:t>50mg/L、</w:t>
            </w:r>
            <w:r>
              <w:rPr>
                <w:rFonts w:hint="default" w:ascii="Times New Roman" w:hAnsi="Times New Roman" w:eastAsia="宋体" w:cs="Times New Roman"/>
                <w:color w:val="FF0000"/>
                <w:highlight w:val="none"/>
                <w:u w:val="none"/>
                <w:lang w:val="en-GB" w:eastAsia="zh-CN"/>
              </w:rPr>
              <w:t>LAS</w:t>
            </w:r>
            <w:r>
              <w:rPr>
                <w:rFonts w:hint="eastAsia" w:ascii="Times New Roman" w:hAnsi="Times New Roman" w:eastAsia="宋体"/>
                <w:color w:val="FF0000"/>
                <w:sz w:val="24"/>
              </w:rPr>
              <w:t>：</w:t>
            </w:r>
            <w:r>
              <w:rPr>
                <w:rFonts w:hint="default" w:ascii="Times New Roman" w:hAnsi="Times New Roman" w:eastAsia="宋体" w:cs="Times New Roman"/>
                <w:color w:val="FF0000"/>
                <w:highlight w:val="none"/>
                <w:u w:val="none"/>
                <w:lang w:val="en-GB" w:eastAsia="zh-CN"/>
              </w:rPr>
              <w:t>2.5mgL。</w:t>
            </w:r>
            <w:r>
              <w:rPr>
                <w:rFonts w:hint="eastAsia" w:ascii="Times New Roman" w:hAnsi="Times New Roman" w:eastAsia="宋体" w:cs="Times New Roman"/>
                <w:color w:val="auto"/>
                <w:highlight w:val="none"/>
                <w:u w:val="none"/>
                <w:lang w:val="en-US" w:eastAsia="zh-CN"/>
              </w:rPr>
              <w:t>洗车废水</w:t>
            </w:r>
            <w:r>
              <w:rPr>
                <w:rFonts w:hint="eastAsia"/>
                <w:lang w:val="en-US" w:eastAsia="zh-CN"/>
              </w:rPr>
              <w:t>排入厂区一体化（MBR）洗车废水处理设施进一步处理后满足《城市污水再生利用</w:t>
            </w:r>
            <w:r>
              <w:rPr>
                <w:rFonts w:hint="default" w:ascii="Times New Roman" w:hAnsi="Times New Roman" w:cs="Times New Roman"/>
                <w:lang w:val="en-US" w:eastAsia="zh-CN"/>
              </w:rPr>
              <w:t>·</w:t>
            </w:r>
            <w:r>
              <w:rPr>
                <w:rFonts w:hint="eastAsia"/>
                <w:lang w:val="en-US" w:eastAsia="zh-CN"/>
              </w:rPr>
              <w:t>城市杂用水水质》（GB/T18920-2020）中车辆冲洗水质标准要求后回用于洗车，不外排。</w:t>
            </w:r>
          </w:p>
          <w:p w14:paraId="5C6D8EF1">
            <w:pPr>
              <w:ind w:firstLine="480"/>
            </w:pPr>
            <w:r>
              <w:rPr>
                <w:rFonts w:hint="eastAsia" w:ascii="Times New Roman" w:hAnsi="Calibri" w:eastAsia="宋体" w:cs="Times New Roman"/>
                <w:snapToGrid/>
                <w:color w:val="auto"/>
                <w:kern w:val="2"/>
                <w:sz w:val="24"/>
                <w:szCs w:val="24"/>
                <w:lang w:val="zh-CN" w:eastAsia="zh-CN" w:bidi="ar-SA"/>
              </w:rPr>
              <w:t>综上所述，本项目废</w:t>
            </w:r>
            <w:r>
              <w:rPr>
                <w:rFonts w:hint="eastAsia" w:ascii="Times New Roman" w:hAnsi="Calibri" w:eastAsia="宋体" w:cs="Times New Roman"/>
                <w:snapToGrid/>
                <w:color w:val="auto"/>
                <w:kern w:val="2"/>
                <w:sz w:val="24"/>
                <w:szCs w:val="24"/>
                <w:lang w:val="en-US" w:eastAsia="zh-CN" w:bidi="ar-SA"/>
              </w:rPr>
              <w:t>水</w:t>
            </w:r>
            <w:r>
              <w:rPr>
                <w:rFonts w:hint="eastAsia" w:ascii="Times New Roman" w:hAnsi="Calibri" w:eastAsia="宋体" w:cs="Times New Roman"/>
                <w:snapToGrid/>
                <w:color w:val="auto"/>
                <w:kern w:val="2"/>
                <w:sz w:val="24"/>
                <w:szCs w:val="24"/>
                <w:lang w:val="zh-CN" w:eastAsia="zh-CN" w:bidi="ar-SA"/>
              </w:rPr>
              <w:t>产排情况</w:t>
            </w:r>
            <w:r>
              <w:rPr>
                <w:rFonts w:hint="eastAsia" w:hAnsi="Calibri" w:cs="Times New Roman"/>
                <w:snapToGrid/>
                <w:color w:val="auto"/>
                <w:kern w:val="2"/>
                <w:sz w:val="24"/>
                <w:szCs w:val="24"/>
                <w:lang w:val="en-US" w:eastAsia="zh-CN" w:bidi="ar-SA"/>
              </w:rPr>
              <w:t>详见表</w:t>
            </w:r>
            <w:r>
              <w:rPr>
                <w:rFonts w:hint="eastAsia" w:eastAsia="宋体" w:cs="Times New Roman"/>
                <w:color w:val="auto"/>
                <w:highlight w:val="none"/>
                <w:u w:val="none"/>
                <w:lang w:val="en-US" w:eastAsia="zh-CN"/>
              </w:rPr>
              <w:t>4.2-1~表4.2-</w:t>
            </w:r>
            <w:r>
              <w:rPr>
                <w:rFonts w:hint="eastAsia" w:cs="Times New Roman"/>
                <w:color w:val="auto"/>
                <w:highlight w:val="none"/>
                <w:u w:val="none"/>
                <w:lang w:val="en-US" w:eastAsia="zh-CN"/>
              </w:rPr>
              <w:t>3</w:t>
            </w:r>
            <w:r>
              <w:rPr>
                <w:rFonts w:hint="default" w:ascii="Times New Roman" w:hAnsi="Times New Roman" w:eastAsia="宋体" w:cs="Times New Roman"/>
                <w:color w:val="auto"/>
                <w:highlight w:val="none"/>
                <w:u w:val="none"/>
              </w:rPr>
              <w:t>。</w:t>
            </w:r>
          </w:p>
        </w:tc>
      </w:tr>
    </w:tbl>
    <w:p w14:paraId="40388724">
      <w:pPr>
        <w:wordWrap w:val="0"/>
        <w:spacing w:line="240" w:lineRule="auto"/>
        <w:ind w:firstLine="0" w:firstLineChars="0"/>
        <w:jc w:val="center"/>
        <w:sectPr>
          <w:pgSz w:w="11906" w:h="16838"/>
          <w:pgMar w:top="1440" w:right="1080" w:bottom="1440" w:left="1080" w:header="851" w:footer="850" w:gutter="0"/>
          <w:pgBorders>
            <w:top w:val="none" w:sz="0" w:space="0"/>
            <w:left w:val="none" w:sz="0" w:space="0"/>
            <w:bottom w:val="none" w:sz="0" w:space="0"/>
            <w:right w:val="none" w:sz="0" w:space="0"/>
          </w:pgBorders>
          <w:pgNumType w:fmt="decimal"/>
          <w:cols w:space="0" w:num="1"/>
          <w:rtlGutter w:val="0"/>
          <w:docGrid w:type="lines" w:linePitch="326" w:charSpace="0"/>
        </w:sectPr>
      </w:pP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2"/>
        <w:gridCol w:w="14412"/>
      </w:tblGrid>
      <w:tr w14:paraId="480D7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dxa"/>
            <w:vAlign w:val="center"/>
          </w:tcPr>
          <w:p w14:paraId="03552589">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vertAlign w:val="baseline"/>
              </w:rPr>
            </w:pPr>
            <w:r>
              <w:rPr>
                <w:rFonts w:hint="eastAsia"/>
                <w:vertAlign w:val="baseline"/>
                <w:lang w:val="en-US" w:eastAsia="zh-CN"/>
              </w:rPr>
              <w:t>运</w:t>
            </w:r>
            <w:r>
              <w:rPr>
                <w:rFonts w:hint="eastAsia"/>
                <w:vertAlign w:val="baseline"/>
              </w:rPr>
              <w:t>营期环境影响和保护措施</w:t>
            </w:r>
          </w:p>
        </w:tc>
        <w:tc>
          <w:tcPr>
            <w:tcW w:w="13551" w:type="dxa"/>
            <w:vAlign w:val="top"/>
          </w:tcPr>
          <w:p w14:paraId="311A41B3">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b/>
                <w:bCs/>
                <w:sz w:val="21"/>
                <w:szCs w:val="21"/>
                <w:vertAlign w:val="baseline"/>
              </w:rPr>
            </w:pPr>
            <w:r>
              <w:rPr>
                <w:b/>
                <w:bCs/>
                <w:sz w:val="21"/>
                <w:szCs w:val="21"/>
                <w:vertAlign w:val="baseline"/>
              </w:rPr>
              <w:t>表4</w:t>
            </w:r>
            <w:r>
              <w:rPr>
                <w:rFonts w:hint="eastAsia"/>
                <w:b/>
                <w:bCs/>
                <w:sz w:val="21"/>
                <w:szCs w:val="21"/>
                <w:vertAlign w:val="baseline"/>
              </w:rPr>
              <w:t>.2-1</w:t>
            </w:r>
            <w:r>
              <w:rPr>
                <w:b/>
                <w:bCs/>
                <w:sz w:val="21"/>
                <w:szCs w:val="21"/>
                <w:vertAlign w:val="baseline"/>
              </w:rPr>
              <w:t xml:space="preserve">   项目</w:t>
            </w:r>
            <w:r>
              <w:rPr>
                <w:rFonts w:hint="eastAsia"/>
                <w:b/>
                <w:bCs/>
                <w:sz w:val="21"/>
                <w:szCs w:val="21"/>
                <w:vertAlign w:val="baseline"/>
                <w:lang w:val="en-US" w:eastAsia="zh-CN"/>
              </w:rPr>
              <w:t>生活污水</w:t>
            </w:r>
            <w:r>
              <w:rPr>
                <w:b/>
                <w:bCs/>
                <w:sz w:val="21"/>
                <w:szCs w:val="21"/>
                <w:vertAlign w:val="baseline"/>
              </w:rPr>
              <w:t>污染物</w:t>
            </w:r>
            <w:r>
              <w:rPr>
                <w:rFonts w:hint="eastAsia"/>
                <w:b/>
                <w:bCs/>
                <w:sz w:val="21"/>
                <w:szCs w:val="21"/>
                <w:vertAlign w:val="baseline"/>
              </w:rPr>
              <w:t>产排情况</w:t>
            </w:r>
            <w:r>
              <w:rPr>
                <w:b/>
                <w:bCs/>
                <w:sz w:val="21"/>
                <w:szCs w:val="21"/>
                <w:vertAlign w:val="baseline"/>
              </w:rPr>
              <w:t>一览表</w:t>
            </w:r>
          </w:p>
          <w:tbl>
            <w:tblPr>
              <w:tblStyle w:val="3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5"/>
              <w:gridCol w:w="1894"/>
              <w:gridCol w:w="1433"/>
              <w:gridCol w:w="1265"/>
              <w:gridCol w:w="1265"/>
              <w:gridCol w:w="1265"/>
              <w:gridCol w:w="1265"/>
              <w:gridCol w:w="1265"/>
              <w:gridCol w:w="1265"/>
              <w:gridCol w:w="1265"/>
              <w:gridCol w:w="1269"/>
            </w:tblGrid>
            <w:tr w14:paraId="1F1472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2639" w:type="dxa"/>
                  <w:gridSpan w:val="2"/>
                  <w:tcBorders>
                    <w:tl2br w:val="single" w:color="auto" w:sz="4" w:space="0"/>
                  </w:tcBorders>
                  <w:noWrap w:val="0"/>
                  <w:vAlign w:val="center"/>
                </w:tcPr>
                <w:p w14:paraId="76F23879">
                  <w:pPr>
                    <w:keepNext w:val="0"/>
                    <w:keepLines w:val="0"/>
                    <w:pageBreakBefore w:val="0"/>
                    <w:widowControl w:val="0"/>
                    <w:kinsoku/>
                    <w:wordWrap w:val="0"/>
                    <w:overflowPunct/>
                    <w:topLinePunct w:val="0"/>
                    <w:autoSpaceDE/>
                    <w:autoSpaceDN/>
                    <w:bidi w:val="0"/>
                    <w:adjustRightInd/>
                    <w:snapToGrid w:val="0"/>
                    <w:spacing w:line="240" w:lineRule="auto"/>
                    <w:jc w:val="right"/>
                    <w:textAlignment w:val="auto"/>
                    <w:rPr>
                      <w:b/>
                      <w:bCs/>
                      <w:sz w:val="21"/>
                      <w:szCs w:val="21"/>
                      <w:vertAlign w:val="baseline"/>
                    </w:rPr>
                  </w:pPr>
                  <w:r>
                    <w:rPr>
                      <w:b/>
                      <w:bCs/>
                      <w:sz w:val="21"/>
                      <w:szCs w:val="21"/>
                      <w:vertAlign w:val="baseline"/>
                    </w:rPr>
                    <w:t>污染物</w:t>
                  </w:r>
                </w:p>
                <w:p w14:paraId="2BAC2966">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left"/>
                    <w:textAlignment w:val="auto"/>
                    <w:rPr>
                      <w:b/>
                      <w:bCs/>
                      <w:sz w:val="21"/>
                      <w:szCs w:val="21"/>
                      <w:vertAlign w:val="baseline"/>
                    </w:rPr>
                  </w:pPr>
                  <w:r>
                    <w:rPr>
                      <w:b/>
                      <w:bCs/>
                      <w:sz w:val="21"/>
                      <w:szCs w:val="21"/>
                      <w:vertAlign w:val="baseline"/>
                    </w:rPr>
                    <w:t>污染源</w:t>
                  </w:r>
                </w:p>
              </w:tc>
              <w:tc>
                <w:tcPr>
                  <w:tcW w:w="1433" w:type="dxa"/>
                  <w:tcBorders>
                    <w:tl2br w:val="nil"/>
                    <w:tr2bl w:val="nil"/>
                  </w:tcBorders>
                  <w:noWrap w:val="0"/>
                  <w:vAlign w:val="center"/>
                </w:tcPr>
                <w:p w14:paraId="1DCBB6CF">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b/>
                      <w:bCs/>
                      <w:sz w:val="21"/>
                      <w:szCs w:val="21"/>
                      <w:vertAlign w:val="baseline"/>
                    </w:rPr>
                  </w:pPr>
                  <w:r>
                    <w:rPr>
                      <w:b/>
                      <w:bCs/>
                      <w:sz w:val="21"/>
                      <w:szCs w:val="21"/>
                      <w:vertAlign w:val="baseline"/>
                    </w:rPr>
                    <w:t>水量</w:t>
                  </w:r>
                  <w:r>
                    <w:rPr>
                      <w:rFonts w:hint="eastAsia"/>
                      <w:b/>
                      <w:bCs/>
                      <w:sz w:val="21"/>
                      <w:szCs w:val="21"/>
                      <w:vertAlign w:val="baseline"/>
                    </w:rPr>
                    <w:t>（</w:t>
                  </w:r>
                  <w:r>
                    <w:rPr>
                      <w:b/>
                      <w:bCs/>
                      <w:sz w:val="21"/>
                      <w:szCs w:val="21"/>
                      <w:vertAlign w:val="baseline"/>
                    </w:rPr>
                    <w:t>m</w:t>
                  </w:r>
                  <w:r>
                    <w:rPr>
                      <w:b/>
                      <w:bCs/>
                      <w:sz w:val="21"/>
                      <w:szCs w:val="21"/>
                      <w:vertAlign w:val="superscript"/>
                    </w:rPr>
                    <w:t>3</w:t>
                  </w:r>
                  <w:r>
                    <w:rPr>
                      <w:b/>
                      <w:bCs/>
                      <w:sz w:val="21"/>
                      <w:szCs w:val="21"/>
                      <w:vertAlign w:val="baseline"/>
                    </w:rPr>
                    <w:t>/a</w:t>
                  </w:r>
                  <w:r>
                    <w:rPr>
                      <w:rFonts w:hint="eastAsia"/>
                      <w:b/>
                      <w:bCs/>
                      <w:sz w:val="21"/>
                      <w:szCs w:val="21"/>
                      <w:vertAlign w:val="baseline"/>
                    </w:rPr>
                    <w:t>）</w:t>
                  </w:r>
                </w:p>
              </w:tc>
              <w:tc>
                <w:tcPr>
                  <w:tcW w:w="1265" w:type="dxa"/>
                  <w:tcBorders>
                    <w:tl2br w:val="nil"/>
                    <w:tr2bl w:val="nil"/>
                  </w:tcBorders>
                  <w:noWrap w:val="0"/>
                  <w:vAlign w:val="center"/>
                </w:tcPr>
                <w:p w14:paraId="70743266">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b/>
                      <w:bCs/>
                      <w:sz w:val="21"/>
                      <w:szCs w:val="21"/>
                      <w:vertAlign w:val="baseline"/>
                    </w:rPr>
                  </w:pPr>
                  <w:r>
                    <w:rPr>
                      <w:rFonts w:hint="eastAsia"/>
                      <w:b/>
                      <w:bCs/>
                      <w:sz w:val="21"/>
                      <w:szCs w:val="21"/>
                      <w:vertAlign w:val="baseline"/>
                    </w:rPr>
                    <w:t>pH</w:t>
                  </w:r>
                </w:p>
              </w:tc>
              <w:tc>
                <w:tcPr>
                  <w:tcW w:w="1265" w:type="dxa"/>
                  <w:tcBorders>
                    <w:tl2br w:val="nil"/>
                    <w:tr2bl w:val="nil"/>
                  </w:tcBorders>
                  <w:noWrap w:val="0"/>
                  <w:vAlign w:val="center"/>
                </w:tcPr>
                <w:p w14:paraId="46022E90">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b/>
                      <w:bCs/>
                      <w:sz w:val="21"/>
                      <w:szCs w:val="21"/>
                      <w:vertAlign w:val="baseline"/>
                    </w:rPr>
                  </w:pPr>
                  <w:r>
                    <w:rPr>
                      <w:rFonts w:hint="eastAsia"/>
                      <w:b/>
                      <w:bCs/>
                      <w:sz w:val="21"/>
                      <w:szCs w:val="21"/>
                      <w:vertAlign w:val="baseline"/>
                    </w:rPr>
                    <w:t>COD</w:t>
                  </w:r>
                  <w:r>
                    <w:rPr>
                      <w:rFonts w:hint="eastAsia"/>
                      <w:b/>
                      <w:bCs/>
                      <w:sz w:val="21"/>
                      <w:szCs w:val="21"/>
                      <w:vertAlign w:val="subscript"/>
                      <w:lang w:val="en-US" w:eastAsia="zh-CN"/>
                    </w:rPr>
                    <w:t>Cr</w:t>
                  </w:r>
                </w:p>
              </w:tc>
              <w:tc>
                <w:tcPr>
                  <w:tcW w:w="1265" w:type="dxa"/>
                  <w:tcBorders>
                    <w:tl2br w:val="nil"/>
                    <w:tr2bl w:val="nil"/>
                  </w:tcBorders>
                  <w:noWrap w:val="0"/>
                  <w:vAlign w:val="center"/>
                </w:tcPr>
                <w:p w14:paraId="25E440F3">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b/>
                      <w:bCs/>
                      <w:sz w:val="21"/>
                      <w:szCs w:val="21"/>
                      <w:vertAlign w:val="baseline"/>
                    </w:rPr>
                  </w:pPr>
                  <w:r>
                    <w:rPr>
                      <w:b/>
                      <w:bCs/>
                      <w:sz w:val="21"/>
                      <w:szCs w:val="21"/>
                      <w:vertAlign w:val="baseline"/>
                    </w:rPr>
                    <w:t>BOD</w:t>
                  </w:r>
                  <w:r>
                    <w:rPr>
                      <w:b/>
                      <w:bCs/>
                      <w:sz w:val="21"/>
                      <w:szCs w:val="21"/>
                      <w:vertAlign w:val="subscript"/>
                    </w:rPr>
                    <w:t>5</w:t>
                  </w:r>
                </w:p>
              </w:tc>
              <w:tc>
                <w:tcPr>
                  <w:tcW w:w="1265" w:type="dxa"/>
                  <w:tcBorders>
                    <w:tl2br w:val="nil"/>
                    <w:tr2bl w:val="nil"/>
                  </w:tcBorders>
                  <w:noWrap w:val="0"/>
                  <w:vAlign w:val="center"/>
                </w:tcPr>
                <w:p w14:paraId="011E18F7">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b/>
                      <w:bCs/>
                      <w:sz w:val="21"/>
                      <w:szCs w:val="21"/>
                      <w:vertAlign w:val="baseline"/>
                    </w:rPr>
                  </w:pPr>
                  <w:r>
                    <w:rPr>
                      <w:b/>
                      <w:bCs/>
                      <w:sz w:val="21"/>
                      <w:szCs w:val="21"/>
                      <w:vertAlign w:val="baseline"/>
                    </w:rPr>
                    <w:t>SS</w:t>
                  </w:r>
                </w:p>
              </w:tc>
              <w:tc>
                <w:tcPr>
                  <w:tcW w:w="1265" w:type="dxa"/>
                  <w:tcBorders>
                    <w:tl2br w:val="nil"/>
                    <w:tr2bl w:val="nil"/>
                  </w:tcBorders>
                  <w:noWrap w:val="0"/>
                  <w:vAlign w:val="center"/>
                </w:tcPr>
                <w:p w14:paraId="0017F72A">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b/>
                      <w:bCs/>
                      <w:sz w:val="21"/>
                      <w:szCs w:val="21"/>
                      <w:vertAlign w:val="baseline"/>
                    </w:rPr>
                  </w:pPr>
                  <w:r>
                    <w:rPr>
                      <w:b/>
                      <w:bCs/>
                      <w:sz w:val="21"/>
                      <w:szCs w:val="21"/>
                      <w:vertAlign w:val="baseline"/>
                    </w:rPr>
                    <w:t>NH</w:t>
                  </w:r>
                  <w:r>
                    <w:rPr>
                      <w:b/>
                      <w:bCs/>
                      <w:sz w:val="21"/>
                      <w:szCs w:val="21"/>
                      <w:vertAlign w:val="subscript"/>
                    </w:rPr>
                    <w:t>3</w:t>
                  </w:r>
                  <w:r>
                    <w:rPr>
                      <w:b/>
                      <w:bCs/>
                      <w:sz w:val="21"/>
                      <w:szCs w:val="21"/>
                      <w:vertAlign w:val="baseline"/>
                    </w:rPr>
                    <w:t>-N</w:t>
                  </w:r>
                </w:p>
              </w:tc>
              <w:tc>
                <w:tcPr>
                  <w:tcW w:w="1265" w:type="dxa"/>
                  <w:tcBorders>
                    <w:tl2br w:val="nil"/>
                    <w:tr2bl w:val="nil"/>
                  </w:tcBorders>
                  <w:noWrap w:val="0"/>
                  <w:vAlign w:val="center"/>
                </w:tcPr>
                <w:p w14:paraId="18C3982A">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rFonts w:hint="eastAsia"/>
                      <w:b/>
                      <w:bCs/>
                      <w:sz w:val="21"/>
                      <w:szCs w:val="21"/>
                      <w:vertAlign w:val="baseline"/>
                    </w:rPr>
                  </w:pPr>
                  <w:r>
                    <w:rPr>
                      <w:b/>
                      <w:bCs/>
                      <w:sz w:val="21"/>
                      <w:szCs w:val="21"/>
                      <w:vertAlign w:val="baseline"/>
                    </w:rPr>
                    <w:t>T</w:t>
                  </w:r>
                  <w:r>
                    <w:rPr>
                      <w:rFonts w:hint="eastAsia"/>
                      <w:b/>
                      <w:bCs/>
                      <w:sz w:val="21"/>
                      <w:szCs w:val="21"/>
                      <w:vertAlign w:val="baseline"/>
                    </w:rPr>
                    <w:t>P</w:t>
                  </w:r>
                </w:p>
              </w:tc>
              <w:tc>
                <w:tcPr>
                  <w:tcW w:w="1265" w:type="dxa"/>
                  <w:tcBorders>
                    <w:tl2br w:val="nil"/>
                    <w:tr2bl w:val="nil"/>
                  </w:tcBorders>
                  <w:noWrap w:val="0"/>
                  <w:vAlign w:val="center"/>
                </w:tcPr>
                <w:p w14:paraId="1E560796">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b/>
                      <w:bCs/>
                      <w:sz w:val="21"/>
                      <w:szCs w:val="21"/>
                      <w:vertAlign w:val="baseline"/>
                    </w:rPr>
                  </w:pPr>
                  <w:r>
                    <w:rPr>
                      <w:b/>
                      <w:bCs/>
                      <w:sz w:val="21"/>
                      <w:szCs w:val="21"/>
                      <w:vertAlign w:val="baseline"/>
                    </w:rPr>
                    <w:t>T</w:t>
                  </w:r>
                  <w:r>
                    <w:rPr>
                      <w:rFonts w:hint="eastAsia"/>
                      <w:b/>
                      <w:bCs/>
                      <w:sz w:val="21"/>
                      <w:szCs w:val="21"/>
                      <w:vertAlign w:val="baseline"/>
                    </w:rPr>
                    <w:t>N</w:t>
                  </w:r>
                </w:p>
              </w:tc>
              <w:tc>
                <w:tcPr>
                  <w:tcW w:w="1269" w:type="dxa"/>
                  <w:tcBorders>
                    <w:tl2br w:val="nil"/>
                    <w:tr2bl w:val="nil"/>
                  </w:tcBorders>
                  <w:noWrap w:val="0"/>
                  <w:vAlign w:val="center"/>
                </w:tcPr>
                <w:p w14:paraId="14FC91A3">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rFonts w:hint="default" w:eastAsia="宋体"/>
                      <w:b/>
                      <w:bCs/>
                      <w:sz w:val="21"/>
                      <w:szCs w:val="21"/>
                      <w:vertAlign w:val="baseline"/>
                      <w:lang w:val="en-US" w:eastAsia="zh-CN"/>
                    </w:rPr>
                  </w:pPr>
                  <w:r>
                    <w:rPr>
                      <w:rFonts w:hint="eastAsia"/>
                      <w:b/>
                      <w:bCs/>
                      <w:sz w:val="21"/>
                      <w:szCs w:val="21"/>
                      <w:vertAlign w:val="baseline"/>
                      <w:lang w:val="en-US" w:eastAsia="zh-CN"/>
                    </w:rPr>
                    <w:t>动植物油</w:t>
                  </w:r>
                </w:p>
              </w:tc>
            </w:tr>
            <w:tr w14:paraId="15A580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5" w:type="dxa"/>
                  <w:vMerge w:val="restart"/>
                  <w:tcBorders>
                    <w:tl2br w:val="nil"/>
                    <w:tr2bl w:val="nil"/>
                  </w:tcBorders>
                  <w:noWrap w:val="0"/>
                  <w:vAlign w:val="center"/>
                </w:tcPr>
                <w:p w14:paraId="141D9ADF">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生活污水</w:t>
                  </w:r>
                </w:p>
              </w:tc>
              <w:tc>
                <w:tcPr>
                  <w:tcW w:w="1894" w:type="dxa"/>
                  <w:tcBorders>
                    <w:tl2br w:val="nil"/>
                    <w:tr2bl w:val="nil"/>
                  </w:tcBorders>
                  <w:noWrap w:val="0"/>
                  <w:vAlign w:val="center"/>
                </w:tcPr>
                <w:p w14:paraId="710E8BC2">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sz w:val="21"/>
                      <w:szCs w:val="21"/>
                      <w:vertAlign w:val="baseline"/>
                    </w:rPr>
                  </w:pPr>
                  <w:r>
                    <w:rPr>
                      <w:sz w:val="21"/>
                      <w:szCs w:val="21"/>
                      <w:vertAlign w:val="baseline"/>
                    </w:rPr>
                    <w:t>产生浓度</w:t>
                  </w:r>
                  <w:r>
                    <w:rPr>
                      <w:rFonts w:hint="eastAsia"/>
                      <w:sz w:val="21"/>
                      <w:szCs w:val="21"/>
                      <w:vertAlign w:val="baseline"/>
                      <w:lang w:eastAsia="zh-CN"/>
                    </w:rPr>
                    <w:t>（</w:t>
                  </w:r>
                  <w:r>
                    <w:rPr>
                      <w:sz w:val="21"/>
                      <w:szCs w:val="21"/>
                      <w:vertAlign w:val="baseline"/>
                    </w:rPr>
                    <w:t>mg/L</w:t>
                  </w:r>
                  <w:r>
                    <w:rPr>
                      <w:rFonts w:hint="eastAsia"/>
                      <w:sz w:val="21"/>
                      <w:szCs w:val="21"/>
                      <w:vertAlign w:val="baseline"/>
                      <w:lang w:eastAsia="zh-CN"/>
                    </w:rPr>
                    <w:t>）</w:t>
                  </w:r>
                </w:p>
              </w:tc>
              <w:tc>
                <w:tcPr>
                  <w:tcW w:w="1433" w:type="dxa"/>
                  <w:vMerge w:val="restart"/>
                  <w:tcBorders>
                    <w:tl2br w:val="nil"/>
                    <w:tr2bl w:val="nil"/>
                  </w:tcBorders>
                  <w:noWrap w:val="0"/>
                  <w:vAlign w:val="center"/>
                </w:tcPr>
                <w:p w14:paraId="242FA593">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rFonts w:hint="default"/>
                      <w:sz w:val="21"/>
                      <w:szCs w:val="21"/>
                      <w:vertAlign w:val="baseline"/>
                      <w:lang w:val="en-US"/>
                    </w:rPr>
                  </w:pPr>
                  <w:r>
                    <w:rPr>
                      <w:rFonts w:hint="default"/>
                      <w:sz w:val="21"/>
                      <w:szCs w:val="21"/>
                      <w:vertAlign w:val="baseline"/>
                      <w:lang w:val="en-US" w:eastAsia="zh-CN"/>
                    </w:rPr>
                    <w:t>400.04</w:t>
                  </w:r>
                </w:p>
              </w:tc>
              <w:tc>
                <w:tcPr>
                  <w:tcW w:w="1265" w:type="dxa"/>
                  <w:tcBorders>
                    <w:tl2br w:val="nil"/>
                    <w:tr2bl w:val="nil"/>
                  </w:tcBorders>
                  <w:noWrap w:val="0"/>
                  <w:vAlign w:val="center"/>
                </w:tcPr>
                <w:p w14:paraId="19C7141D">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sz w:val="21"/>
                      <w:szCs w:val="21"/>
                      <w:vertAlign w:val="baseline"/>
                    </w:rPr>
                  </w:pPr>
                  <w:r>
                    <w:rPr>
                      <w:rFonts w:hint="eastAsia"/>
                      <w:sz w:val="21"/>
                      <w:szCs w:val="21"/>
                      <w:vertAlign w:val="baseline"/>
                    </w:rPr>
                    <w:t>6-9</w:t>
                  </w:r>
                </w:p>
              </w:tc>
              <w:tc>
                <w:tcPr>
                  <w:tcW w:w="1265" w:type="dxa"/>
                  <w:tcBorders>
                    <w:tl2br w:val="nil"/>
                    <w:tr2bl w:val="nil"/>
                  </w:tcBorders>
                  <w:noWrap w:val="0"/>
                  <w:vAlign w:val="center"/>
                </w:tcPr>
                <w:p w14:paraId="1962CCDA">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sz w:val="21"/>
                      <w:szCs w:val="21"/>
                      <w:vertAlign w:val="baseline"/>
                    </w:rPr>
                  </w:pPr>
                  <w:r>
                    <w:rPr>
                      <w:sz w:val="21"/>
                      <w:szCs w:val="21"/>
                      <w:vertAlign w:val="baseline"/>
                    </w:rPr>
                    <w:t>260</w:t>
                  </w:r>
                </w:p>
              </w:tc>
              <w:tc>
                <w:tcPr>
                  <w:tcW w:w="1265" w:type="dxa"/>
                  <w:tcBorders>
                    <w:tl2br w:val="nil"/>
                    <w:tr2bl w:val="nil"/>
                  </w:tcBorders>
                  <w:noWrap w:val="0"/>
                  <w:vAlign w:val="center"/>
                </w:tcPr>
                <w:p w14:paraId="684FA0FF">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rFonts w:hint="eastAsia" w:eastAsia="宋体"/>
                      <w:sz w:val="21"/>
                      <w:szCs w:val="21"/>
                      <w:vertAlign w:val="baseline"/>
                      <w:lang w:eastAsia="zh-CN"/>
                    </w:rPr>
                  </w:pPr>
                  <w:r>
                    <w:rPr>
                      <w:sz w:val="21"/>
                      <w:szCs w:val="21"/>
                      <w:vertAlign w:val="baseline"/>
                    </w:rPr>
                    <w:t>13</w:t>
                  </w:r>
                  <w:r>
                    <w:rPr>
                      <w:rFonts w:hint="eastAsia"/>
                      <w:sz w:val="21"/>
                      <w:szCs w:val="21"/>
                      <w:vertAlign w:val="baseline"/>
                      <w:lang w:val="en-US" w:eastAsia="zh-CN"/>
                    </w:rPr>
                    <w:t>5</w:t>
                  </w:r>
                </w:p>
              </w:tc>
              <w:tc>
                <w:tcPr>
                  <w:tcW w:w="1265" w:type="dxa"/>
                  <w:tcBorders>
                    <w:tl2br w:val="nil"/>
                    <w:tr2bl w:val="nil"/>
                  </w:tcBorders>
                  <w:noWrap w:val="0"/>
                  <w:vAlign w:val="center"/>
                </w:tcPr>
                <w:p w14:paraId="190392B1">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sz w:val="21"/>
                      <w:szCs w:val="21"/>
                      <w:vertAlign w:val="baseline"/>
                    </w:rPr>
                  </w:pPr>
                  <w:r>
                    <w:rPr>
                      <w:sz w:val="21"/>
                      <w:szCs w:val="21"/>
                      <w:vertAlign w:val="baseline"/>
                    </w:rPr>
                    <w:t>200</w:t>
                  </w:r>
                </w:p>
              </w:tc>
              <w:tc>
                <w:tcPr>
                  <w:tcW w:w="1265" w:type="dxa"/>
                  <w:tcBorders>
                    <w:tl2br w:val="nil"/>
                    <w:tr2bl w:val="nil"/>
                  </w:tcBorders>
                  <w:noWrap w:val="0"/>
                  <w:vAlign w:val="center"/>
                </w:tcPr>
                <w:p w14:paraId="4D67AC2F">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sz w:val="21"/>
                      <w:szCs w:val="21"/>
                      <w:vertAlign w:val="baseline"/>
                    </w:rPr>
                  </w:pPr>
                  <w:r>
                    <w:rPr>
                      <w:sz w:val="21"/>
                      <w:szCs w:val="21"/>
                      <w:vertAlign w:val="baseline"/>
                    </w:rPr>
                    <w:t>2</w:t>
                  </w:r>
                  <w:r>
                    <w:rPr>
                      <w:rFonts w:hint="eastAsia"/>
                      <w:sz w:val="21"/>
                      <w:szCs w:val="21"/>
                      <w:vertAlign w:val="baseline"/>
                    </w:rPr>
                    <w:t>0</w:t>
                  </w:r>
                </w:p>
              </w:tc>
              <w:tc>
                <w:tcPr>
                  <w:tcW w:w="1265" w:type="dxa"/>
                  <w:tcBorders>
                    <w:tl2br w:val="nil"/>
                    <w:tr2bl w:val="nil"/>
                  </w:tcBorders>
                  <w:noWrap w:val="0"/>
                  <w:vAlign w:val="center"/>
                </w:tcPr>
                <w:p w14:paraId="698FED72">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sz w:val="21"/>
                      <w:szCs w:val="21"/>
                      <w:vertAlign w:val="baseline"/>
                    </w:rPr>
                  </w:pPr>
                  <w:r>
                    <w:rPr>
                      <w:rFonts w:hint="eastAsia"/>
                      <w:sz w:val="21"/>
                      <w:szCs w:val="21"/>
                      <w:vertAlign w:val="baseline"/>
                    </w:rPr>
                    <w:t>1.1</w:t>
                  </w:r>
                </w:p>
              </w:tc>
              <w:tc>
                <w:tcPr>
                  <w:tcW w:w="1265" w:type="dxa"/>
                  <w:tcBorders>
                    <w:tl2br w:val="nil"/>
                    <w:tr2bl w:val="nil"/>
                  </w:tcBorders>
                  <w:noWrap w:val="0"/>
                  <w:vAlign w:val="center"/>
                </w:tcPr>
                <w:p w14:paraId="4B8F4411">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sz w:val="21"/>
                      <w:szCs w:val="21"/>
                      <w:vertAlign w:val="baseline"/>
                    </w:rPr>
                  </w:pPr>
                  <w:r>
                    <w:rPr>
                      <w:rFonts w:hint="eastAsia"/>
                      <w:sz w:val="21"/>
                      <w:szCs w:val="21"/>
                      <w:vertAlign w:val="baseline"/>
                    </w:rPr>
                    <w:t>30</w:t>
                  </w:r>
                </w:p>
              </w:tc>
              <w:tc>
                <w:tcPr>
                  <w:tcW w:w="1269" w:type="dxa"/>
                  <w:tcBorders>
                    <w:tl2br w:val="nil"/>
                    <w:tr2bl w:val="nil"/>
                  </w:tcBorders>
                  <w:noWrap w:val="0"/>
                  <w:vAlign w:val="center"/>
                </w:tcPr>
                <w:p w14:paraId="69674DCA">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30</w:t>
                  </w:r>
                </w:p>
              </w:tc>
            </w:tr>
            <w:tr w14:paraId="6875AA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5" w:type="dxa"/>
                  <w:vMerge w:val="continue"/>
                  <w:tcBorders>
                    <w:tl2br w:val="nil"/>
                    <w:tr2bl w:val="nil"/>
                  </w:tcBorders>
                  <w:noWrap w:val="0"/>
                  <w:vAlign w:val="center"/>
                </w:tcPr>
                <w:p w14:paraId="0FDE318D">
                  <w:pPr>
                    <w:keepNext w:val="0"/>
                    <w:keepLines w:val="0"/>
                    <w:pageBreakBefore w:val="0"/>
                    <w:widowControl w:val="0"/>
                    <w:kinsoku/>
                    <w:wordWrap w:val="0"/>
                    <w:overflowPunct/>
                    <w:topLinePunct w:val="0"/>
                    <w:autoSpaceDE/>
                    <w:autoSpaceDN/>
                    <w:bidi w:val="0"/>
                    <w:adjustRightInd/>
                    <w:snapToGrid w:val="0"/>
                    <w:spacing w:line="240" w:lineRule="auto"/>
                    <w:jc w:val="center"/>
                    <w:textAlignment w:val="auto"/>
                    <w:rPr>
                      <w:sz w:val="21"/>
                      <w:szCs w:val="21"/>
                      <w:vertAlign w:val="baseline"/>
                    </w:rPr>
                  </w:pPr>
                </w:p>
              </w:tc>
              <w:tc>
                <w:tcPr>
                  <w:tcW w:w="1894" w:type="dxa"/>
                  <w:tcBorders>
                    <w:tl2br w:val="nil"/>
                    <w:tr2bl w:val="nil"/>
                  </w:tcBorders>
                  <w:noWrap w:val="0"/>
                  <w:vAlign w:val="center"/>
                </w:tcPr>
                <w:p w14:paraId="64D16324">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sz w:val="21"/>
                      <w:szCs w:val="21"/>
                      <w:vertAlign w:val="baseline"/>
                    </w:rPr>
                  </w:pPr>
                  <w:r>
                    <w:rPr>
                      <w:sz w:val="21"/>
                      <w:szCs w:val="21"/>
                      <w:vertAlign w:val="baseline"/>
                    </w:rPr>
                    <w:t>产生量</w:t>
                  </w:r>
                  <w:r>
                    <w:rPr>
                      <w:rFonts w:hint="eastAsia"/>
                      <w:sz w:val="21"/>
                      <w:szCs w:val="21"/>
                      <w:vertAlign w:val="baseline"/>
                      <w:lang w:eastAsia="zh-CN"/>
                    </w:rPr>
                    <w:t>（</w:t>
                  </w:r>
                  <w:r>
                    <w:rPr>
                      <w:sz w:val="21"/>
                      <w:szCs w:val="21"/>
                      <w:vertAlign w:val="baseline"/>
                    </w:rPr>
                    <w:t>t/a</w:t>
                  </w:r>
                  <w:r>
                    <w:rPr>
                      <w:rFonts w:hint="eastAsia"/>
                      <w:sz w:val="21"/>
                      <w:szCs w:val="21"/>
                      <w:vertAlign w:val="baseline"/>
                      <w:lang w:eastAsia="zh-CN"/>
                    </w:rPr>
                    <w:t>）</w:t>
                  </w:r>
                </w:p>
              </w:tc>
              <w:tc>
                <w:tcPr>
                  <w:tcW w:w="1433" w:type="dxa"/>
                  <w:vMerge w:val="continue"/>
                  <w:tcBorders>
                    <w:tl2br w:val="nil"/>
                    <w:tr2bl w:val="nil"/>
                  </w:tcBorders>
                  <w:noWrap w:val="0"/>
                  <w:vAlign w:val="center"/>
                </w:tcPr>
                <w:p w14:paraId="62B639B8">
                  <w:pPr>
                    <w:keepNext w:val="0"/>
                    <w:keepLines w:val="0"/>
                    <w:pageBreakBefore w:val="0"/>
                    <w:widowControl w:val="0"/>
                    <w:kinsoku/>
                    <w:wordWrap w:val="0"/>
                    <w:overflowPunct/>
                    <w:topLinePunct w:val="0"/>
                    <w:autoSpaceDE/>
                    <w:autoSpaceDN/>
                    <w:bidi w:val="0"/>
                    <w:adjustRightInd/>
                    <w:snapToGrid w:val="0"/>
                    <w:spacing w:line="240" w:lineRule="auto"/>
                    <w:jc w:val="center"/>
                    <w:textAlignment w:val="auto"/>
                    <w:rPr>
                      <w:sz w:val="21"/>
                      <w:szCs w:val="21"/>
                      <w:vertAlign w:val="baseline"/>
                    </w:rPr>
                  </w:pPr>
                </w:p>
              </w:tc>
              <w:tc>
                <w:tcPr>
                  <w:tcW w:w="1265" w:type="dxa"/>
                  <w:tcBorders>
                    <w:tl2br w:val="nil"/>
                    <w:tr2bl w:val="nil"/>
                  </w:tcBorders>
                  <w:noWrap w:val="0"/>
                  <w:vAlign w:val="center"/>
                </w:tcPr>
                <w:p w14:paraId="5431FA06">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sz w:val="21"/>
                      <w:szCs w:val="21"/>
                      <w:vertAlign w:val="baseline"/>
                    </w:rPr>
                  </w:pPr>
                  <w:r>
                    <w:rPr>
                      <w:rFonts w:hint="eastAsia"/>
                      <w:sz w:val="21"/>
                      <w:szCs w:val="21"/>
                      <w:vertAlign w:val="baseline"/>
                    </w:rPr>
                    <w:t>/</w:t>
                  </w:r>
                </w:p>
              </w:tc>
              <w:tc>
                <w:tcPr>
                  <w:tcW w:w="1265" w:type="dxa"/>
                  <w:tcBorders>
                    <w:tl2br w:val="nil"/>
                    <w:tr2bl w:val="nil"/>
                  </w:tcBorders>
                  <w:noWrap w:val="0"/>
                  <w:vAlign w:val="center"/>
                </w:tcPr>
                <w:p w14:paraId="57DA1A92">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0.104</w:t>
                  </w:r>
                </w:p>
              </w:tc>
              <w:tc>
                <w:tcPr>
                  <w:tcW w:w="1265" w:type="dxa"/>
                  <w:tcBorders>
                    <w:tl2br w:val="nil"/>
                    <w:tr2bl w:val="nil"/>
                  </w:tcBorders>
                  <w:noWrap w:val="0"/>
                  <w:vAlign w:val="center"/>
                </w:tcPr>
                <w:p w14:paraId="21BA743A">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0.054</w:t>
                  </w:r>
                </w:p>
              </w:tc>
              <w:tc>
                <w:tcPr>
                  <w:tcW w:w="1265" w:type="dxa"/>
                  <w:tcBorders>
                    <w:tl2br w:val="nil"/>
                    <w:tr2bl w:val="nil"/>
                  </w:tcBorders>
                  <w:noWrap w:val="0"/>
                  <w:vAlign w:val="center"/>
                </w:tcPr>
                <w:p w14:paraId="65215E5D">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0.080</w:t>
                  </w:r>
                </w:p>
              </w:tc>
              <w:tc>
                <w:tcPr>
                  <w:tcW w:w="1265" w:type="dxa"/>
                  <w:tcBorders>
                    <w:tl2br w:val="nil"/>
                    <w:tr2bl w:val="nil"/>
                  </w:tcBorders>
                  <w:noWrap w:val="0"/>
                  <w:vAlign w:val="center"/>
                </w:tcPr>
                <w:p w14:paraId="06E1986F">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0.008</w:t>
                  </w:r>
                </w:p>
              </w:tc>
              <w:tc>
                <w:tcPr>
                  <w:tcW w:w="1265" w:type="dxa"/>
                  <w:tcBorders>
                    <w:tl2br w:val="nil"/>
                    <w:tr2bl w:val="nil"/>
                  </w:tcBorders>
                  <w:noWrap w:val="0"/>
                  <w:vAlign w:val="center"/>
                </w:tcPr>
                <w:p w14:paraId="3D002DF6">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0.0004</w:t>
                  </w:r>
                </w:p>
              </w:tc>
              <w:tc>
                <w:tcPr>
                  <w:tcW w:w="1265" w:type="dxa"/>
                  <w:tcBorders>
                    <w:tl2br w:val="nil"/>
                    <w:tr2bl w:val="nil"/>
                  </w:tcBorders>
                  <w:noWrap w:val="0"/>
                  <w:vAlign w:val="center"/>
                </w:tcPr>
                <w:p w14:paraId="23CB59B7">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0.012</w:t>
                  </w:r>
                </w:p>
              </w:tc>
              <w:tc>
                <w:tcPr>
                  <w:tcW w:w="1269" w:type="dxa"/>
                  <w:tcBorders>
                    <w:tl2br w:val="nil"/>
                    <w:tr2bl w:val="nil"/>
                  </w:tcBorders>
                  <w:noWrap w:val="0"/>
                  <w:vAlign w:val="center"/>
                </w:tcPr>
                <w:p w14:paraId="2112C2B8">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rFonts w:hint="eastAsia"/>
                      <w:sz w:val="21"/>
                      <w:szCs w:val="21"/>
                      <w:vertAlign w:val="baseline"/>
                    </w:rPr>
                  </w:pPr>
                  <w:r>
                    <w:rPr>
                      <w:rFonts w:hint="eastAsia"/>
                      <w:sz w:val="21"/>
                      <w:szCs w:val="21"/>
                      <w:vertAlign w:val="baseline"/>
                      <w:lang w:val="en-US" w:eastAsia="zh-CN"/>
                    </w:rPr>
                    <w:t>0.012</w:t>
                  </w:r>
                </w:p>
              </w:tc>
            </w:tr>
            <w:tr w14:paraId="02FBBE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5" w:type="dxa"/>
                  <w:vMerge w:val="continue"/>
                  <w:tcBorders>
                    <w:tl2br w:val="nil"/>
                    <w:tr2bl w:val="nil"/>
                  </w:tcBorders>
                  <w:noWrap w:val="0"/>
                  <w:vAlign w:val="center"/>
                </w:tcPr>
                <w:p w14:paraId="35DA6BF0">
                  <w:pPr>
                    <w:keepNext w:val="0"/>
                    <w:keepLines w:val="0"/>
                    <w:pageBreakBefore w:val="0"/>
                    <w:widowControl w:val="0"/>
                    <w:kinsoku/>
                    <w:wordWrap w:val="0"/>
                    <w:overflowPunct/>
                    <w:topLinePunct w:val="0"/>
                    <w:autoSpaceDE/>
                    <w:autoSpaceDN/>
                    <w:bidi w:val="0"/>
                    <w:adjustRightInd/>
                    <w:snapToGrid w:val="0"/>
                    <w:spacing w:line="240" w:lineRule="auto"/>
                    <w:jc w:val="center"/>
                    <w:textAlignment w:val="auto"/>
                    <w:rPr>
                      <w:rFonts w:hint="eastAsia"/>
                      <w:sz w:val="21"/>
                      <w:szCs w:val="21"/>
                      <w:vertAlign w:val="baseline"/>
                    </w:rPr>
                  </w:pPr>
                </w:p>
              </w:tc>
              <w:tc>
                <w:tcPr>
                  <w:tcW w:w="1894" w:type="dxa"/>
                  <w:tcBorders>
                    <w:tl2br w:val="nil"/>
                    <w:tr2bl w:val="nil"/>
                  </w:tcBorders>
                  <w:noWrap w:val="0"/>
                  <w:vAlign w:val="center"/>
                </w:tcPr>
                <w:p w14:paraId="41674C5C">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rFonts w:hint="eastAsia"/>
                      <w:sz w:val="21"/>
                      <w:szCs w:val="21"/>
                      <w:vertAlign w:val="baseline"/>
                    </w:rPr>
                  </w:pPr>
                  <w:r>
                    <w:rPr>
                      <w:rFonts w:hint="eastAsia"/>
                      <w:sz w:val="21"/>
                      <w:szCs w:val="21"/>
                      <w:vertAlign w:val="baseline"/>
                    </w:rPr>
                    <w:t>治理设施</w:t>
                  </w:r>
                </w:p>
              </w:tc>
              <w:tc>
                <w:tcPr>
                  <w:tcW w:w="11557" w:type="dxa"/>
                  <w:gridSpan w:val="9"/>
                  <w:tcBorders>
                    <w:tl2br w:val="nil"/>
                    <w:tr2bl w:val="nil"/>
                  </w:tcBorders>
                  <w:noWrap w:val="0"/>
                  <w:vAlign w:val="center"/>
                </w:tcPr>
                <w:p w14:paraId="32034D53">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油水分离器+</w:t>
                  </w:r>
                  <w:r>
                    <w:rPr>
                      <w:sz w:val="21"/>
                      <w:szCs w:val="21"/>
                      <w:vertAlign w:val="baseline"/>
                    </w:rPr>
                    <w:t>化粪池</w:t>
                  </w:r>
                </w:p>
              </w:tc>
            </w:tr>
            <w:tr w14:paraId="7EECE3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5" w:type="dxa"/>
                  <w:vMerge w:val="continue"/>
                  <w:tcBorders>
                    <w:tl2br w:val="nil"/>
                    <w:tr2bl w:val="nil"/>
                  </w:tcBorders>
                  <w:noWrap w:val="0"/>
                  <w:vAlign w:val="center"/>
                </w:tcPr>
                <w:p w14:paraId="6FE87F23">
                  <w:pPr>
                    <w:keepNext w:val="0"/>
                    <w:keepLines w:val="0"/>
                    <w:pageBreakBefore w:val="0"/>
                    <w:widowControl w:val="0"/>
                    <w:kinsoku/>
                    <w:wordWrap w:val="0"/>
                    <w:overflowPunct/>
                    <w:topLinePunct w:val="0"/>
                    <w:autoSpaceDE/>
                    <w:autoSpaceDN/>
                    <w:bidi w:val="0"/>
                    <w:adjustRightInd/>
                    <w:snapToGrid w:val="0"/>
                    <w:spacing w:line="240" w:lineRule="auto"/>
                    <w:jc w:val="center"/>
                    <w:textAlignment w:val="auto"/>
                    <w:rPr>
                      <w:rFonts w:hint="eastAsia"/>
                      <w:sz w:val="21"/>
                      <w:szCs w:val="21"/>
                      <w:vertAlign w:val="baseline"/>
                    </w:rPr>
                  </w:pPr>
                </w:p>
              </w:tc>
              <w:tc>
                <w:tcPr>
                  <w:tcW w:w="1894" w:type="dxa"/>
                  <w:tcBorders>
                    <w:tl2br w:val="nil"/>
                    <w:tr2bl w:val="nil"/>
                  </w:tcBorders>
                  <w:noWrap w:val="0"/>
                  <w:vAlign w:val="center"/>
                </w:tcPr>
                <w:p w14:paraId="52D21C4E">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sz w:val="21"/>
                      <w:szCs w:val="21"/>
                      <w:vertAlign w:val="baseline"/>
                    </w:rPr>
                  </w:pPr>
                  <w:r>
                    <w:rPr>
                      <w:rFonts w:hint="eastAsia"/>
                      <w:sz w:val="21"/>
                      <w:szCs w:val="21"/>
                      <w:vertAlign w:val="baseline"/>
                    </w:rPr>
                    <w:t>治理效率（%）</w:t>
                  </w:r>
                </w:p>
              </w:tc>
              <w:tc>
                <w:tcPr>
                  <w:tcW w:w="1433" w:type="dxa"/>
                  <w:tcBorders>
                    <w:tl2br w:val="nil"/>
                    <w:tr2bl w:val="nil"/>
                  </w:tcBorders>
                  <w:noWrap w:val="0"/>
                  <w:vAlign w:val="center"/>
                </w:tcPr>
                <w:p w14:paraId="654FF431">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sz w:val="21"/>
                      <w:szCs w:val="21"/>
                      <w:vertAlign w:val="baseline"/>
                    </w:rPr>
                  </w:pPr>
                  <w:r>
                    <w:rPr>
                      <w:rFonts w:hint="eastAsia"/>
                      <w:sz w:val="21"/>
                      <w:szCs w:val="21"/>
                      <w:vertAlign w:val="baseline"/>
                    </w:rPr>
                    <w:t>/</w:t>
                  </w:r>
                </w:p>
              </w:tc>
              <w:tc>
                <w:tcPr>
                  <w:tcW w:w="1265" w:type="dxa"/>
                  <w:tcBorders>
                    <w:tl2br w:val="nil"/>
                    <w:tr2bl w:val="nil"/>
                  </w:tcBorders>
                  <w:noWrap w:val="0"/>
                  <w:vAlign w:val="center"/>
                </w:tcPr>
                <w:p w14:paraId="0B920CAA">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sz w:val="21"/>
                      <w:szCs w:val="21"/>
                      <w:vertAlign w:val="baseline"/>
                    </w:rPr>
                  </w:pPr>
                  <w:r>
                    <w:rPr>
                      <w:rFonts w:hint="eastAsia"/>
                      <w:sz w:val="21"/>
                      <w:szCs w:val="21"/>
                      <w:vertAlign w:val="baseline"/>
                    </w:rPr>
                    <w:t>/</w:t>
                  </w:r>
                </w:p>
              </w:tc>
              <w:tc>
                <w:tcPr>
                  <w:tcW w:w="1265" w:type="dxa"/>
                  <w:tcBorders>
                    <w:tl2br w:val="nil"/>
                    <w:tr2bl w:val="nil"/>
                  </w:tcBorders>
                  <w:noWrap w:val="0"/>
                  <w:vAlign w:val="center"/>
                </w:tcPr>
                <w:p w14:paraId="4D9402F4">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sz w:val="21"/>
                      <w:szCs w:val="21"/>
                      <w:vertAlign w:val="baseline"/>
                    </w:rPr>
                  </w:pPr>
                  <w:r>
                    <w:rPr>
                      <w:rFonts w:hint="eastAsia"/>
                      <w:sz w:val="21"/>
                      <w:szCs w:val="21"/>
                      <w:vertAlign w:val="baseline"/>
                    </w:rPr>
                    <w:t>15</w:t>
                  </w:r>
                </w:p>
              </w:tc>
              <w:tc>
                <w:tcPr>
                  <w:tcW w:w="1265" w:type="dxa"/>
                  <w:tcBorders>
                    <w:tl2br w:val="nil"/>
                    <w:tr2bl w:val="nil"/>
                  </w:tcBorders>
                  <w:noWrap w:val="0"/>
                  <w:vAlign w:val="center"/>
                </w:tcPr>
                <w:p w14:paraId="4D6DF75D">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rFonts w:hint="eastAsia" w:eastAsia="宋体"/>
                      <w:sz w:val="21"/>
                      <w:szCs w:val="21"/>
                      <w:vertAlign w:val="baseline"/>
                      <w:lang w:eastAsia="zh-CN"/>
                    </w:rPr>
                  </w:pPr>
                  <w:r>
                    <w:rPr>
                      <w:rFonts w:hint="eastAsia"/>
                      <w:sz w:val="21"/>
                      <w:szCs w:val="21"/>
                      <w:vertAlign w:val="baseline"/>
                    </w:rPr>
                    <w:t>1</w:t>
                  </w:r>
                  <w:r>
                    <w:rPr>
                      <w:rFonts w:hint="eastAsia"/>
                      <w:sz w:val="21"/>
                      <w:szCs w:val="21"/>
                      <w:vertAlign w:val="baseline"/>
                      <w:lang w:val="en-US" w:eastAsia="zh-CN"/>
                    </w:rPr>
                    <w:t>1</w:t>
                  </w:r>
                </w:p>
              </w:tc>
              <w:tc>
                <w:tcPr>
                  <w:tcW w:w="1265" w:type="dxa"/>
                  <w:tcBorders>
                    <w:tl2br w:val="nil"/>
                    <w:tr2bl w:val="nil"/>
                  </w:tcBorders>
                  <w:noWrap w:val="0"/>
                  <w:vAlign w:val="center"/>
                </w:tcPr>
                <w:p w14:paraId="6E58C31B">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sz w:val="21"/>
                      <w:szCs w:val="21"/>
                      <w:vertAlign w:val="baseline"/>
                    </w:rPr>
                  </w:pPr>
                  <w:r>
                    <w:rPr>
                      <w:rFonts w:hint="eastAsia"/>
                      <w:sz w:val="21"/>
                      <w:szCs w:val="21"/>
                      <w:vertAlign w:val="baseline"/>
                    </w:rPr>
                    <w:t>30</w:t>
                  </w:r>
                </w:p>
              </w:tc>
              <w:tc>
                <w:tcPr>
                  <w:tcW w:w="1265" w:type="dxa"/>
                  <w:tcBorders>
                    <w:tl2br w:val="nil"/>
                    <w:tr2bl w:val="nil"/>
                  </w:tcBorders>
                  <w:noWrap w:val="0"/>
                  <w:vAlign w:val="center"/>
                </w:tcPr>
                <w:p w14:paraId="2477BAF6">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sz w:val="21"/>
                      <w:szCs w:val="21"/>
                      <w:vertAlign w:val="baseline"/>
                    </w:rPr>
                  </w:pPr>
                  <w:r>
                    <w:rPr>
                      <w:rFonts w:hint="eastAsia"/>
                      <w:sz w:val="21"/>
                      <w:szCs w:val="21"/>
                      <w:vertAlign w:val="baseline"/>
                    </w:rPr>
                    <w:t>0</w:t>
                  </w:r>
                </w:p>
              </w:tc>
              <w:tc>
                <w:tcPr>
                  <w:tcW w:w="1265" w:type="dxa"/>
                  <w:tcBorders>
                    <w:tl2br w:val="nil"/>
                    <w:tr2bl w:val="nil"/>
                  </w:tcBorders>
                  <w:noWrap w:val="0"/>
                  <w:vAlign w:val="center"/>
                </w:tcPr>
                <w:p w14:paraId="3371D66C">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sz w:val="21"/>
                      <w:szCs w:val="21"/>
                      <w:vertAlign w:val="baseline"/>
                    </w:rPr>
                  </w:pPr>
                  <w:r>
                    <w:rPr>
                      <w:rFonts w:hint="eastAsia"/>
                      <w:sz w:val="21"/>
                      <w:szCs w:val="21"/>
                      <w:vertAlign w:val="baseline"/>
                    </w:rPr>
                    <w:t>0</w:t>
                  </w:r>
                </w:p>
              </w:tc>
              <w:tc>
                <w:tcPr>
                  <w:tcW w:w="1265" w:type="dxa"/>
                  <w:tcBorders>
                    <w:tl2br w:val="nil"/>
                    <w:tr2bl w:val="nil"/>
                  </w:tcBorders>
                  <w:noWrap w:val="0"/>
                  <w:vAlign w:val="center"/>
                </w:tcPr>
                <w:p w14:paraId="5A4B4D6F">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sz w:val="21"/>
                      <w:szCs w:val="21"/>
                      <w:vertAlign w:val="baseline"/>
                    </w:rPr>
                  </w:pPr>
                  <w:r>
                    <w:rPr>
                      <w:rFonts w:hint="eastAsia"/>
                      <w:sz w:val="21"/>
                      <w:szCs w:val="21"/>
                      <w:vertAlign w:val="baseline"/>
                    </w:rPr>
                    <w:t>0</w:t>
                  </w:r>
                </w:p>
              </w:tc>
              <w:tc>
                <w:tcPr>
                  <w:tcW w:w="1269" w:type="dxa"/>
                  <w:tcBorders>
                    <w:tl2br w:val="nil"/>
                    <w:tr2bl w:val="nil"/>
                  </w:tcBorders>
                  <w:noWrap w:val="0"/>
                  <w:vAlign w:val="center"/>
                </w:tcPr>
                <w:p w14:paraId="43A03CC2">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rFonts w:hint="default"/>
                      <w:sz w:val="21"/>
                      <w:szCs w:val="21"/>
                      <w:vertAlign w:val="baseline"/>
                      <w:lang w:val="en-US"/>
                    </w:rPr>
                  </w:pPr>
                  <w:r>
                    <w:rPr>
                      <w:rFonts w:hint="eastAsia"/>
                      <w:sz w:val="21"/>
                      <w:szCs w:val="21"/>
                      <w:vertAlign w:val="baseline"/>
                      <w:lang w:val="en-US" w:eastAsia="zh-CN"/>
                    </w:rPr>
                    <w:t>80</w:t>
                  </w:r>
                </w:p>
              </w:tc>
            </w:tr>
            <w:tr w14:paraId="3DCBC5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5" w:type="dxa"/>
                  <w:vMerge w:val="continue"/>
                  <w:tcBorders>
                    <w:tl2br w:val="nil"/>
                    <w:tr2bl w:val="nil"/>
                  </w:tcBorders>
                  <w:noWrap w:val="0"/>
                  <w:vAlign w:val="center"/>
                </w:tcPr>
                <w:p w14:paraId="3F40F865">
                  <w:pPr>
                    <w:keepNext w:val="0"/>
                    <w:keepLines w:val="0"/>
                    <w:pageBreakBefore w:val="0"/>
                    <w:widowControl w:val="0"/>
                    <w:kinsoku/>
                    <w:wordWrap w:val="0"/>
                    <w:overflowPunct/>
                    <w:topLinePunct w:val="0"/>
                    <w:autoSpaceDE/>
                    <w:autoSpaceDN/>
                    <w:bidi w:val="0"/>
                    <w:adjustRightInd/>
                    <w:snapToGrid w:val="0"/>
                    <w:spacing w:line="240" w:lineRule="auto"/>
                    <w:jc w:val="center"/>
                    <w:textAlignment w:val="auto"/>
                    <w:rPr>
                      <w:rFonts w:hint="eastAsia"/>
                      <w:sz w:val="21"/>
                      <w:szCs w:val="21"/>
                      <w:vertAlign w:val="baseline"/>
                    </w:rPr>
                  </w:pPr>
                </w:p>
              </w:tc>
              <w:tc>
                <w:tcPr>
                  <w:tcW w:w="1894" w:type="dxa"/>
                  <w:tcBorders>
                    <w:tl2br w:val="nil"/>
                    <w:tr2bl w:val="nil"/>
                  </w:tcBorders>
                  <w:noWrap w:val="0"/>
                  <w:vAlign w:val="center"/>
                </w:tcPr>
                <w:p w14:paraId="4928BEDD">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rFonts w:hint="eastAsia"/>
                      <w:sz w:val="21"/>
                      <w:szCs w:val="21"/>
                      <w:vertAlign w:val="baseline"/>
                    </w:rPr>
                  </w:pPr>
                  <w:r>
                    <w:rPr>
                      <w:rFonts w:hint="eastAsia"/>
                      <w:sz w:val="21"/>
                      <w:szCs w:val="21"/>
                      <w:vertAlign w:val="baseline"/>
                    </w:rPr>
                    <w:t>是否为可行技术</w:t>
                  </w:r>
                </w:p>
              </w:tc>
              <w:tc>
                <w:tcPr>
                  <w:tcW w:w="11557" w:type="dxa"/>
                  <w:gridSpan w:val="9"/>
                  <w:tcBorders>
                    <w:tl2br w:val="nil"/>
                    <w:tr2bl w:val="nil"/>
                  </w:tcBorders>
                  <w:noWrap w:val="0"/>
                  <w:vAlign w:val="center"/>
                </w:tcPr>
                <w:p w14:paraId="2B13B8EA">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rFonts w:hint="eastAsia"/>
                      <w:sz w:val="21"/>
                      <w:szCs w:val="21"/>
                      <w:vertAlign w:val="baseline"/>
                    </w:rPr>
                  </w:pPr>
                  <w:r>
                    <w:rPr>
                      <w:rFonts w:hint="eastAsia"/>
                      <w:sz w:val="21"/>
                      <w:szCs w:val="21"/>
                      <w:vertAlign w:val="baseline"/>
                    </w:rPr>
                    <w:t>是</w:t>
                  </w:r>
                </w:p>
              </w:tc>
            </w:tr>
            <w:tr w14:paraId="72E945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5" w:type="dxa"/>
                  <w:vMerge w:val="continue"/>
                  <w:tcBorders>
                    <w:tl2br w:val="nil"/>
                    <w:tr2bl w:val="nil"/>
                  </w:tcBorders>
                  <w:noWrap w:val="0"/>
                  <w:vAlign w:val="center"/>
                </w:tcPr>
                <w:p w14:paraId="20082C07">
                  <w:pPr>
                    <w:keepNext w:val="0"/>
                    <w:keepLines w:val="0"/>
                    <w:pageBreakBefore w:val="0"/>
                    <w:widowControl w:val="0"/>
                    <w:kinsoku/>
                    <w:wordWrap w:val="0"/>
                    <w:overflowPunct/>
                    <w:topLinePunct w:val="0"/>
                    <w:autoSpaceDE/>
                    <w:autoSpaceDN/>
                    <w:bidi w:val="0"/>
                    <w:adjustRightInd/>
                    <w:snapToGrid w:val="0"/>
                    <w:spacing w:line="240" w:lineRule="auto"/>
                    <w:jc w:val="center"/>
                    <w:textAlignment w:val="auto"/>
                    <w:rPr>
                      <w:rFonts w:hint="eastAsia"/>
                      <w:sz w:val="21"/>
                      <w:szCs w:val="21"/>
                      <w:vertAlign w:val="baseline"/>
                    </w:rPr>
                  </w:pPr>
                </w:p>
              </w:tc>
              <w:tc>
                <w:tcPr>
                  <w:tcW w:w="1894" w:type="dxa"/>
                  <w:tcBorders>
                    <w:tl2br w:val="nil"/>
                    <w:tr2bl w:val="nil"/>
                  </w:tcBorders>
                  <w:noWrap w:val="0"/>
                  <w:vAlign w:val="center"/>
                </w:tcPr>
                <w:p w14:paraId="598383D0">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rFonts w:hint="eastAsia"/>
                      <w:sz w:val="21"/>
                      <w:szCs w:val="21"/>
                      <w:vertAlign w:val="baseline"/>
                    </w:rPr>
                  </w:pPr>
                  <w:r>
                    <w:rPr>
                      <w:sz w:val="21"/>
                      <w:szCs w:val="21"/>
                      <w:vertAlign w:val="baseline"/>
                    </w:rPr>
                    <w:t>排放浓度</w:t>
                  </w:r>
                  <w:r>
                    <w:rPr>
                      <w:rFonts w:hint="eastAsia"/>
                      <w:sz w:val="21"/>
                      <w:szCs w:val="21"/>
                      <w:vertAlign w:val="baseline"/>
                      <w:lang w:eastAsia="zh-CN"/>
                    </w:rPr>
                    <w:t>（</w:t>
                  </w:r>
                  <w:r>
                    <w:rPr>
                      <w:sz w:val="21"/>
                      <w:szCs w:val="21"/>
                      <w:vertAlign w:val="baseline"/>
                    </w:rPr>
                    <w:t>mg/L</w:t>
                  </w:r>
                  <w:r>
                    <w:rPr>
                      <w:rFonts w:hint="eastAsia"/>
                      <w:sz w:val="21"/>
                      <w:szCs w:val="21"/>
                      <w:vertAlign w:val="baseline"/>
                      <w:lang w:eastAsia="zh-CN"/>
                    </w:rPr>
                    <w:t>）</w:t>
                  </w:r>
                </w:p>
              </w:tc>
              <w:tc>
                <w:tcPr>
                  <w:tcW w:w="1433" w:type="dxa"/>
                  <w:vMerge w:val="restart"/>
                  <w:tcBorders>
                    <w:tl2br w:val="nil"/>
                    <w:tr2bl w:val="nil"/>
                  </w:tcBorders>
                  <w:noWrap w:val="0"/>
                  <w:vAlign w:val="center"/>
                </w:tcPr>
                <w:p w14:paraId="77BAACFE">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rFonts w:hint="default"/>
                      <w:sz w:val="21"/>
                      <w:szCs w:val="21"/>
                      <w:vertAlign w:val="baseline"/>
                      <w:lang w:val="en-US"/>
                    </w:rPr>
                  </w:pPr>
                  <w:r>
                    <w:rPr>
                      <w:rFonts w:hint="default"/>
                      <w:sz w:val="21"/>
                      <w:szCs w:val="21"/>
                      <w:vertAlign w:val="baseline"/>
                      <w:lang w:val="en-US" w:eastAsia="zh-CN"/>
                    </w:rPr>
                    <w:t>400.04</w:t>
                  </w:r>
                </w:p>
              </w:tc>
              <w:tc>
                <w:tcPr>
                  <w:tcW w:w="1265" w:type="dxa"/>
                  <w:tcBorders>
                    <w:tl2br w:val="nil"/>
                    <w:tr2bl w:val="nil"/>
                  </w:tcBorders>
                  <w:noWrap w:val="0"/>
                  <w:vAlign w:val="center"/>
                </w:tcPr>
                <w:p w14:paraId="6FF562CC">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rFonts w:hint="eastAsia"/>
                      <w:sz w:val="21"/>
                      <w:szCs w:val="21"/>
                      <w:vertAlign w:val="baseline"/>
                    </w:rPr>
                  </w:pPr>
                  <w:r>
                    <w:rPr>
                      <w:rFonts w:hint="eastAsia"/>
                      <w:sz w:val="21"/>
                      <w:szCs w:val="21"/>
                      <w:vertAlign w:val="baseline"/>
                    </w:rPr>
                    <w:t>6-9</w:t>
                  </w:r>
                </w:p>
              </w:tc>
              <w:tc>
                <w:tcPr>
                  <w:tcW w:w="1265" w:type="dxa"/>
                  <w:tcBorders>
                    <w:tl2br w:val="nil"/>
                    <w:tr2bl w:val="nil"/>
                  </w:tcBorders>
                  <w:noWrap w:val="0"/>
                  <w:vAlign w:val="center"/>
                </w:tcPr>
                <w:p w14:paraId="26111996">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sz w:val="21"/>
                      <w:szCs w:val="21"/>
                      <w:vertAlign w:val="baseline"/>
                    </w:rPr>
                  </w:pPr>
                  <w:r>
                    <w:rPr>
                      <w:rFonts w:hint="eastAsia"/>
                      <w:sz w:val="21"/>
                      <w:szCs w:val="21"/>
                      <w:vertAlign w:val="baseline"/>
                    </w:rPr>
                    <w:t>220</w:t>
                  </w:r>
                </w:p>
              </w:tc>
              <w:tc>
                <w:tcPr>
                  <w:tcW w:w="1265" w:type="dxa"/>
                  <w:tcBorders>
                    <w:tl2br w:val="nil"/>
                    <w:tr2bl w:val="nil"/>
                  </w:tcBorders>
                  <w:noWrap w:val="0"/>
                  <w:vAlign w:val="center"/>
                </w:tcPr>
                <w:p w14:paraId="302B6018">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rFonts w:hint="default" w:eastAsia="宋体"/>
                      <w:sz w:val="21"/>
                      <w:szCs w:val="21"/>
                      <w:vertAlign w:val="baseline"/>
                      <w:lang w:val="en-US" w:eastAsia="zh-CN"/>
                    </w:rPr>
                  </w:pPr>
                  <w:r>
                    <w:rPr>
                      <w:rFonts w:hint="eastAsia"/>
                      <w:sz w:val="21"/>
                      <w:szCs w:val="21"/>
                      <w:vertAlign w:val="baseline"/>
                    </w:rPr>
                    <w:t>1</w:t>
                  </w:r>
                  <w:r>
                    <w:rPr>
                      <w:rFonts w:hint="eastAsia"/>
                      <w:sz w:val="21"/>
                      <w:szCs w:val="21"/>
                      <w:vertAlign w:val="baseline"/>
                      <w:lang w:val="en-US" w:eastAsia="zh-CN"/>
                    </w:rPr>
                    <w:t>20</w:t>
                  </w:r>
                </w:p>
              </w:tc>
              <w:tc>
                <w:tcPr>
                  <w:tcW w:w="1265" w:type="dxa"/>
                  <w:tcBorders>
                    <w:tl2br w:val="nil"/>
                    <w:tr2bl w:val="nil"/>
                  </w:tcBorders>
                  <w:noWrap w:val="0"/>
                  <w:vAlign w:val="center"/>
                </w:tcPr>
                <w:p w14:paraId="60E39CE7">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sz w:val="21"/>
                      <w:szCs w:val="21"/>
                      <w:vertAlign w:val="baseline"/>
                    </w:rPr>
                  </w:pPr>
                  <w:r>
                    <w:rPr>
                      <w:sz w:val="21"/>
                      <w:szCs w:val="21"/>
                      <w:vertAlign w:val="baseline"/>
                    </w:rPr>
                    <w:t>14</w:t>
                  </w:r>
                  <w:r>
                    <w:rPr>
                      <w:rFonts w:hint="eastAsia"/>
                      <w:sz w:val="21"/>
                      <w:szCs w:val="21"/>
                      <w:vertAlign w:val="baseline"/>
                    </w:rPr>
                    <w:t>0</w:t>
                  </w:r>
                </w:p>
              </w:tc>
              <w:tc>
                <w:tcPr>
                  <w:tcW w:w="1265" w:type="dxa"/>
                  <w:tcBorders>
                    <w:tl2br w:val="nil"/>
                    <w:tr2bl w:val="nil"/>
                  </w:tcBorders>
                  <w:noWrap w:val="0"/>
                  <w:vAlign w:val="center"/>
                </w:tcPr>
                <w:p w14:paraId="7C2392E1">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sz w:val="21"/>
                      <w:szCs w:val="21"/>
                      <w:vertAlign w:val="baseline"/>
                    </w:rPr>
                  </w:pPr>
                  <w:r>
                    <w:rPr>
                      <w:rFonts w:hint="eastAsia"/>
                      <w:sz w:val="21"/>
                      <w:szCs w:val="21"/>
                      <w:vertAlign w:val="baseline"/>
                    </w:rPr>
                    <w:t>20</w:t>
                  </w:r>
                </w:p>
              </w:tc>
              <w:tc>
                <w:tcPr>
                  <w:tcW w:w="1265" w:type="dxa"/>
                  <w:tcBorders>
                    <w:tl2br w:val="nil"/>
                    <w:tr2bl w:val="nil"/>
                  </w:tcBorders>
                  <w:noWrap w:val="0"/>
                  <w:vAlign w:val="center"/>
                </w:tcPr>
                <w:p w14:paraId="794377FD">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sz w:val="21"/>
                      <w:szCs w:val="21"/>
                      <w:vertAlign w:val="baseline"/>
                    </w:rPr>
                  </w:pPr>
                  <w:r>
                    <w:rPr>
                      <w:rFonts w:hint="eastAsia"/>
                      <w:sz w:val="21"/>
                      <w:szCs w:val="21"/>
                      <w:vertAlign w:val="baseline"/>
                    </w:rPr>
                    <w:t>1.1</w:t>
                  </w:r>
                </w:p>
              </w:tc>
              <w:tc>
                <w:tcPr>
                  <w:tcW w:w="1265" w:type="dxa"/>
                  <w:tcBorders>
                    <w:tl2br w:val="nil"/>
                    <w:tr2bl w:val="nil"/>
                  </w:tcBorders>
                  <w:noWrap w:val="0"/>
                  <w:vAlign w:val="center"/>
                </w:tcPr>
                <w:p w14:paraId="1B96D585">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sz w:val="21"/>
                      <w:szCs w:val="21"/>
                      <w:vertAlign w:val="baseline"/>
                    </w:rPr>
                  </w:pPr>
                  <w:r>
                    <w:rPr>
                      <w:rFonts w:hint="eastAsia"/>
                      <w:sz w:val="21"/>
                      <w:szCs w:val="21"/>
                      <w:vertAlign w:val="baseline"/>
                    </w:rPr>
                    <w:t>30</w:t>
                  </w:r>
                </w:p>
              </w:tc>
              <w:tc>
                <w:tcPr>
                  <w:tcW w:w="1269" w:type="dxa"/>
                  <w:tcBorders>
                    <w:tl2br w:val="nil"/>
                    <w:tr2bl w:val="nil"/>
                  </w:tcBorders>
                  <w:noWrap w:val="0"/>
                  <w:vAlign w:val="center"/>
                </w:tcPr>
                <w:p w14:paraId="5BE289BD">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rFonts w:hint="eastAsia" w:eastAsia="宋体"/>
                      <w:sz w:val="21"/>
                      <w:szCs w:val="21"/>
                      <w:vertAlign w:val="baseline"/>
                      <w:lang w:val="en-US" w:eastAsia="zh-CN"/>
                    </w:rPr>
                  </w:pPr>
                  <w:r>
                    <w:rPr>
                      <w:rFonts w:hint="eastAsia"/>
                      <w:sz w:val="21"/>
                      <w:szCs w:val="21"/>
                      <w:vertAlign w:val="baseline"/>
                      <w:lang w:val="en-US" w:eastAsia="zh-CN"/>
                    </w:rPr>
                    <w:t>6</w:t>
                  </w:r>
                </w:p>
              </w:tc>
            </w:tr>
            <w:tr w14:paraId="1B74A3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5" w:type="dxa"/>
                  <w:vMerge w:val="continue"/>
                  <w:tcBorders>
                    <w:tl2br w:val="nil"/>
                    <w:tr2bl w:val="nil"/>
                  </w:tcBorders>
                  <w:noWrap w:val="0"/>
                  <w:vAlign w:val="center"/>
                </w:tcPr>
                <w:p w14:paraId="6C28AA2C">
                  <w:pPr>
                    <w:keepNext w:val="0"/>
                    <w:keepLines w:val="0"/>
                    <w:pageBreakBefore w:val="0"/>
                    <w:widowControl w:val="0"/>
                    <w:kinsoku/>
                    <w:wordWrap w:val="0"/>
                    <w:overflowPunct/>
                    <w:topLinePunct w:val="0"/>
                    <w:autoSpaceDE/>
                    <w:autoSpaceDN/>
                    <w:bidi w:val="0"/>
                    <w:adjustRightInd/>
                    <w:snapToGrid w:val="0"/>
                    <w:spacing w:line="240" w:lineRule="auto"/>
                    <w:jc w:val="center"/>
                    <w:textAlignment w:val="auto"/>
                    <w:rPr>
                      <w:rFonts w:hint="eastAsia"/>
                      <w:sz w:val="21"/>
                      <w:szCs w:val="21"/>
                      <w:vertAlign w:val="baseline"/>
                    </w:rPr>
                  </w:pPr>
                </w:p>
              </w:tc>
              <w:tc>
                <w:tcPr>
                  <w:tcW w:w="1894" w:type="dxa"/>
                  <w:tcBorders>
                    <w:tl2br w:val="nil"/>
                    <w:tr2bl w:val="nil"/>
                  </w:tcBorders>
                  <w:noWrap w:val="0"/>
                  <w:vAlign w:val="center"/>
                </w:tcPr>
                <w:p w14:paraId="035744A3">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rFonts w:hint="eastAsia"/>
                      <w:sz w:val="21"/>
                      <w:szCs w:val="21"/>
                      <w:vertAlign w:val="baseline"/>
                    </w:rPr>
                  </w:pPr>
                  <w:r>
                    <w:rPr>
                      <w:sz w:val="21"/>
                      <w:szCs w:val="21"/>
                      <w:vertAlign w:val="baseline"/>
                    </w:rPr>
                    <w:t>排放量</w:t>
                  </w:r>
                  <w:r>
                    <w:rPr>
                      <w:rFonts w:hint="eastAsia"/>
                      <w:sz w:val="21"/>
                      <w:szCs w:val="21"/>
                      <w:vertAlign w:val="baseline"/>
                      <w:lang w:eastAsia="zh-CN"/>
                    </w:rPr>
                    <w:t>（</w:t>
                  </w:r>
                  <w:r>
                    <w:rPr>
                      <w:sz w:val="21"/>
                      <w:szCs w:val="21"/>
                      <w:vertAlign w:val="baseline"/>
                    </w:rPr>
                    <w:t>t/a</w:t>
                  </w:r>
                  <w:r>
                    <w:rPr>
                      <w:rFonts w:hint="eastAsia"/>
                      <w:sz w:val="21"/>
                      <w:szCs w:val="21"/>
                      <w:vertAlign w:val="baseline"/>
                      <w:lang w:eastAsia="zh-CN"/>
                    </w:rPr>
                    <w:t>）</w:t>
                  </w:r>
                </w:p>
              </w:tc>
              <w:tc>
                <w:tcPr>
                  <w:tcW w:w="1433" w:type="dxa"/>
                  <w:vMerge w:val="continue"/>
                  <w:tcBorders>
                    <w:tl2br w:val="nil"/>
                    <w:tr2bl w:val="nil"/>
                  </w:tcBorders>
                  <w:noWrap w:val="0"/>
                  <w:vAlign w:val="center"/>
                </w:tcPr>
                <w:p w14:paraId="583196D4">
                  <w:pPr>
                    <w:keepNext w:val="0"/>
                    <w:keepLines w:val="0"/>
                    <w:pageBreakBefore w:val="0"/>
                    <w:widowControl w:val="0"/>
                    <w:kinsoku/>
                    <w:wordWrap w:val="0"/>
                    <w:overflowPunct/>
                    <w:topLinePunct w:val="0"/>
                    <w:autoSpaceDE/>
                    <w:autoSpaceDN/>
                    <w:bidi w:val="0"/>
                    <w:adjustRightInd/>
                    <w:snapToGrid w:val="0"/>
                    <w:spacing w:line="240" w:lineRule="auto"/>
                    <w:jc w:val="center"/>
                    <w:textAlignment w:val="auto"/>
                    <w:rPr>
                      <w:sz w:val="21"/>
                      <w:szCs w:val="21"/>
                      <w:vertAlign w:val="baseline"/>
                    </w:rPr>
                  </w:pPr>
                </w:p>
              </w:tc>
              <w:tc>
                <w:tcPr>
                  <w:tcW w:w="1265" w:type="dxa"/>
                  <w:tcBorders>
                    <w:tl2br w:val="nil"/>
                    <w:tr2bl w:val="nil"/>
                  </w:tcBorders>
                  <w:noWrap w:val="0"/>
                  <w:vAlign w:val="center"/>
                </w:tcPr>
                <w:p w14:paraId="1CA69DE7">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sz w:val="21"/>
                      <w:szCs w:val="21"/>
                      <w:vertAlign w:val="baseline"/>
                    </w:rPr>
                  </w:pPr>
                  <w:r>
                    <w:rPr>
                      <w:rFonts w:hint="eastAsia"/>
                      <w:sz w:val="21"/>
                      <w:szCs w:val="21"/>
                      <w:vertAlign w:val="baseline"/>
                    </w:rPr>
                    <w:t>/</w:t>
                  </w:r>
                </w:p>
              </w:tc>
              <w:tc>
                <w:tcPr>
                  <w:tcW w:w="1265" w:type="dxa"/>
                  <w:tcBorders>
                    <w:tl2br w:val="nil"/>
                    <w:tr2bl w:val="nil"/>
                  </w:tcBorders>
                  <w:noWrap w:val="0"/>
                  <w:vAlign w:val="center"/>
                </w:tcPr>
                <w:p w14:paraId="2A58F294">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0.088</w:t>
                  </w:r>
                </w:p>
              </w:tc>
              <w:tc>
                <w:tcPr>
                  <w:tcW w:w="1265" w:type="dxa"/>
                  <w:tcBorders>
                    <w:tl2br w:val="nil"/>
                    <w:tr2bl w:val="nil"/>
                  </w:tcBorders>
                  <w:noWrap w:val="0"/>
                  <w:vAlign w:val="center"/>
                </w:tcPr>
                <w:p w14:paraId="3F93EED9">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0.048</w:t>
                  </w:r>
                </w:p>
              </w:tc>
              <w:tc>
                <w:tcPr>
                  <w:tcW w:w="1265" w:type="dxa"/>
                  <w:tcBorders>
                    <w:tl2br w:val="nil"/>
                    <w:tr2bl w:val="nil"/>
                  </w:tcBorders>
                  <w:noWrap w:val="0"/>
                  <w:vAlign w:val="center"/>
                </w:tcPr>
                <w:p w14:paraId="656FF2F0">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0.056</w:t>
                  </w:r>
                </w:p>
              </w:tc>
              <w:tc>
                <w:tcPr>
                  <w:tcW w:w="1265" w:type="dxa"/>
                  <w:tcBorders>
                    <w:tl2br w:val="nil"/>
                    <w:tr2bl w:val="nil"/>
                  </w:tcBorders>
                  <w:noWrap w:val="0"/>
                  <w:vAlign w:val="center"/>
                </w:tcPr>
                <w:p w14:paraId="481B43A0">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rFonts w:hint="default"/>
                      <w:sz w:val="21"/>
                      <w:szCs w:val="21"/>
                      <w:vertAlign w:val="baseline"/>
                      <w:lang w:val="en-US"/>
                    </w:rPr>
                  </w:pPr>
                  <w:r>
                    <w:rPr>
                      <w:rFonts w:hint="eastAsia"/>
                      <w:sz w:val="21"/>
                      <w:szCs w:val="21"/>
                      <w:vertAlign w:val="baseline"/>
                      <w:lang w:val="en-US" w:eastAsia="zh-CN"/>
                    </w:rPr>
                    <w:t>0.008</w:t>
                  </w:r>
                </w:p>
              </w:tc>
              <w:tc>
                <w:tcPr>
                  <w:tcW w:w="1265" w:type="dxa"/>
                  <w:tcBorders>
                    <w:tl2br w:val="nil"/>
                    <w:tr2bl w:val="nil"/>
                  </w:tcBorders>
                  <w:noWrap w:val="0"/>
                  <w:vAlign w:val="center"/>
                </w:tcPr>
                <w:p w14:paraId="02BB3B30">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rFonts w:hint="default"/>
                      <w:sz w:val="21"/>
                      <w:szCs w:val="21"/>
                      <w:vertAlign w:val="baseline"/>
                      <w:lang w:val="en-US"/>
                    </w:rPr>
                  </w:pPr>
                  <w:r>
                    <w:rPr>
                      <w:rFonts w:hint="eastAsia"/>
                      <w:sz w:val="21"/>
                      <w:szCs w:val="21"/>
                      <w:vertAlign w:val="baseline"/>
                      <w:lang w:val="en-US" w:eastAsia="zh-CN"/>
                    </w:rPr>
                    <w:t>0.0004</w:t>
                  </w:r>
                </w:p>
              </w:tc>
              <w:tc>
                <w:tcPr>
                  <w:tcW w:w="1265" w:type="dxa"/>
                  <w:tcBorders>
                    <w:tl2br w:val="nil"/>
                    <w:tr2bl w:val="nil"/>
                  </w:tcBorders>
                  <w:noWrap w:val="0"/>
                  <w:vAlign w:val="center"/>
                </w:tcPr>
                <w:p w14:paraId="7186B081">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rFonts w:hint="default"/>
                      <w:sz w:val="21"/>
                      <w:szCs w:val="21"/>
                      <w:vertAlign w:val="baseline"/>
                      <w:lang w:val="en-US"/>
                    </w:rPr>
                  </w:pPr>
                  <w:r>
                    <w:rPr>
                      <w:rFonts w:hint="eastAsia"/>
                      <w:sz w:val="21"/>
                      <w:szCs w:val="21"/>
                      <w:vertAlign w:val="baseline"/>
                      <w:lang w:val="en-US" w:eastAsia="zh-CN"/>
                    </w:rPr>
                    <w:t>0.012</w:t>
                  </w:r>
                </w:p>
              </w:tc>
              <w:tc>
                <w:tcPr>
                  <w:tcW w:w="1269" w:type="dxa"/>
                  <w:tcBorders>
                    <w:tl2br w:val="nil"/>
                    <w:tr2bl w:val="nil"/>
                  </w:tcBorders>
                  <w:noWrap w:val="0"/>
                  <w:vAlign w:val="center"/>
                </w:tcPr>
                <w:p w14:paraId="6DFD24A1">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rFonts w:hint="default"/>
                      <w:sz w:val="21"/>
                      <w:szCs w:val="21"/>
                      <w:vertAlign w:val="baseline"/>
                      <w:lang w:val="en-US"/>
                    </w:rPr>
                  </w:pPr>
                  <w:r>
                    <w:rPr>
                      <w:rFonts w:hint="eastAsia"/>
                      <w:sz w:val="21"/>
                      <w:szCs w:val="21"/>
                      <w:vertAlign w:val="baseline"/>
                      <w:lang w:val="en-US" w:eastAsia="zh-CN"/>
                    </w:rPr>
                    <w:t>0.002</w:t>
                  </w:r>
                </w:p>
              </w:tc>
            </w:tr>
            <w:tr w14:paraId="5EB3E8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39" w:type="dxa"/>
                  <w:gridSpan w:val="2"/>
                  <w:tcBorders>
                    <w:tl2br w:val="nil"/>
                    <w:tr2bl w:val="nil"/>
                  </w:tcBorders>
                  <w:noWrap w:val="0"/>
                  <w:vAlign w:val="center"/>
                </w:tcPr>
                <w:p w14:paraId="55032CD7">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color w:val="auto"/>
                      <w:sz w:val="21"/>
                      <w:szCs w:val="21"/>
                      <w:vertAlign w:val="baseline"/>
                    </w:rPr>
                  </w:pPr>
                  <w:r>
                    <w:rPr>
                      <w:color w:val="auto"/>
                      <w:sz w:val="21"/>
                      <w:szCs w:val="21"/>
                      <w:vertAlign w:val="baseline"/>
                    </w:rPr>
                    <w:t>污水处理</w:t>
                  </w:r>
                  <w:r>
                    <w:rPr>
                      <w:rFonts w:hint="eastAsia"/>
                      <w:color w:val="auto"/>
                      <w:sz w:val="21"/>
                      <w:szCs w:val="21"/>
                      <w:lang w:val="en-US" w:eastAsia="zh-CN"/>
                    </w:rPr>
                    <w:t>站</w:t>
                  </w:r>
                  <w:r>
                    <w:rPr>
                      <w:color w:val="auto"/>
                      <w:sz w:val="21"/>
                      <w:szCs w:val="21"/>
                      <w:vertAlign w:val="baseline"/>
                    </w:rPr>
                    <w:t>进水水质标准</w:t>
                  </w:r>
                  <w:r>
                    <w:rPr>
                      <w:rFonts w:hint="eastAsia"/>
                      <w:color w:val="auto"/>
                      <w:sz w:val="21"/>
                      <w:szCs w:val="21"/>
                      <w:vertAlign w:val="baseline"/>
                      <w:lang w:eastAsia="zh-CN"/>
                    </w:rPr>
                    <w:t>（</w:t>
                  </w:r>
                  <w:r>
                    <w:rPr>
                      <w:color w:val="auto"/>
                      <w:sz w:val="21"/>
                      <w:szCs w:val="21"/>
                      <w:vertAlign w:val="baseline"/>
                    </w:rPr>
                    <w:t>mg/L</w:t>
                  </w:r>
                  <w:r>
                    <w:rPr>
                      <w:rFonts w:hint="eastAsia"/>
                      <w:color w:val="auto"/>
                      <w:sz w:val="21"/>
                      <w:szCs w:val="21"/>
                      <w:vertAlign w:val="baseline"/>
                      <w:lang w:eastAsia="zh-CN"/>
                    </w:rPr>
                    <w:t>）</w:t>
                  </w:r>
                </w:p>
              </w:tc>
              <w:tc>
                <w:tcPr>
                  <w:tcW w:w="1433" w:type="dxa"/>
                  <w:tcBorders>
                    <w:tl2br w:val="nil"/>
                    <w:tr2bl w:val="nil"/>
                  </w:tcBorders>
                  <w:noWrap w:val="0"/>
                  <w:vAlign w:val="center"/>
                </w:tcPr>
                <w:p w14:paraId="50574EE6">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color w:val="auto"/>
                      <w:sz w:val="21"/>
                      <w:szCs w:val="21"/>
                      <w:vertAlign w:val="baseline"/>
                    </w:rPr>
                  </w:pPr>
                  <w:r>
                    <w:rPr>
                      <w:color w:val="auto"/>
                      <w:sz w:val="21"/>
                      <w:szCs w:val="21"/>
                      <w:vertAlign w:val="baseline"/>
                    </w:rPr>
                    <w:t>/</w:t>
                  </w:r>
                </w:p>
              </w:tc>
              <w:tc>
                <w:tcPr>
                  <w:tcW w:w="1265" w:type="dxa"/>
                  <w:tcBorders>
                    <w:tl2br w:val="nil"/>
                    <w:tr2bl w:val="nil"/>
                  </w:tcBorders>
                  <w:noWrap w:val="0"/>
                  <w:vAlign w:val="center"/>
                </w:tcPr>
                <w:p w14:paraId="4E671B81">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color w:val="auto"/>
                      <w:sz w:val="21"/>
                      <w:szCs w:val="21"/>
                      <w:vertAlign w:val="baseline"/>
                    </w:rPr>
                  </w:pPr>
                  <w:r>
                    <w:rPr>
                      <w:rFonts w:hint="eastAsia"/>
                      <w:color w:val="auto"/>
                      <w:sz w:val="21"/>
                      <w:szCs w:val="21"/>
                      <w:vertAlign w:val="baseline"/>
                    </w:rPr>
                    <w:t>6-9</w:t>
                  </w:r>
                </w:p>
              </w:tc>
              <w:tc>
                <w:tcPr>
                  <w:tcW w:w="1265" w:type="dxa"/>
                  <w:tcBorders>
                    <w:tl2br w:val="nil"/>
                    <w:tr2bl w:val="nil"/>
                  </w:tcBorders>
                  <w:noWrap w:val="0"/>
                  <w:vAlign w:val="center"/>
                </w:tcPr>
                <w:p w14:paraId="5925D868">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220</w:t>
                  </w:r>
                </w:p>
              </w:tc>
              <w:tc>
                <w:tcPr>
                  <w:tcW w:w="1265" w:type="dxa"/>
                  <w:tcBorders>
                    <w:tl2br w:val="nil"/>
                    <w:tr2bl w:val="nil"/>
                  </w:tcBorders>
                  <w:noWrap w:val="0"/>
                  <w:vAlign w:val="center"/>
                </w:tcPr>
                <w:p w14:paraId="5A021CD2">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120</w:t>
                  </w:r>
                </w:p>
              </w:tc>
              <w:tc>
                <w:tcPr>
                  <w:tcW w:w="1265" w:type="dxa"/>
                  <w:tcBorders>
                    <w:tl2br w:val="nil"/>
                    <w:tr2bl w:val="nil"/>
                  </w:tcBorders>
                  <w:noWrap w:val="0"/>
                  <w:vAlign w:val="center"/>
                </w:tcPr>
                <w:p w14:paraId="3909BC7B">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200</w:t>
                  </w:r>
                </w:p>
              </w:tc>
              <w:tc>
                <w:tcPr>
                  <w:tcW w:w="1265" w:type="dxa"/>
                  <w:tcBorders>
                    <w:tl2br w:val="nil"/>
                    <w:tr2bl w:val="nil"/>
                  </w:tcBorders>
                  <w:noWrap w:val="0"/>
                  <w:vAlign w:val="center"/>
                </w:tcPr>
                <w:p w14:paraId="419473D3">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25</w:t>
                  </w:r>
                </w:p>
              </w:tc>
              <w:tc>
                <w:tcPr>
                  <w:tcW w:w="1265" w:type="dxa"/>
                  <w:tcBorders>
                    <w:tl2br w:val="nil"/>
                    <w:tr2bl w:val="nil"/>
                  </w:tcBorders>
                  <w:noWrap w:val="0"/>
                  <w:vAlign w:val="center"/>
                </w:tcPr>
                <w:p w14:paraId="13E984BB">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rFonts w:hint="eastAsia" w:eastAsia="宋体"/>
                      <w:color w:val="auto"/>
                      <w:sz w:val="21"/>
                      <w:szCs w:val="21"/>
                      <w:vertAlign w:val="baseline"/>
                      <w:lang w:eastAsia="zh-CN"/>
                    </w:rPr>
                  </w:pPr>
                  <w:r>
                    <w:rPr>
                      <w:rFonts w:hint="eastAsia"/>
                      <w:color w:val="auto"/>
                      <w:sz w:val="21"/>
                      <w:szCs w:val="21"/>
                      <w:vertAlign w:val="baseline"/>
                      <w:lang w:val="en-US" w:eastAsia="zh-CN"/>
                    </w:rPr>
                    <w:t>3</w:t>
                  </w:r>
                </w:p>
              </w:tc>
              <w:tc>
                <w:tcPr>
                  <w:tcW w:w="1265" w:type="dxa"/>
                  <w:tcBorders>
                    <w:tl2br w:val="nil"/>
                    <w:tr2bl w:val="nil"/>
                  </w:tcBorders>
                  <w:noWrap w:val="0"/>
                  <w:vAlign w:val="center"/>
                </w:tcPr>
                <w:p w14:paraId="63124F26">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35</w:t>
                  </w:r>
                </w:p>
              </w:tc>
              <w:tc>
                <w:tcPr>
                  <w:tcW w:w="1269" w:type="dxa"/>
                  <w:tcBorders>
                    <w:tl2br w:val="nil"/>
                    <w:tr2bl w:val="nil"/>
                  </w:tcBorders>
                  <w:noWrap w:val="0"/>
                  <w:vAlign w:val="center"/>
                </w:tcPr>
                <w:p w14:paraId="365C8180">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rFonts w:hint="eastAsia" w:eastAsia="宋体"/>
                      <w:color w:val="auto"/>
                      <w:sz w:val="21"/>
                      <w:szCs w:val="21"/>
                      <w:vertAlign w:val="baseline"/>
                      <w:lang w:val="en-US" w:eastAsia="zh-CN"/>
                    </w:rPr>
                  </w:pPr>
                  <w:r>
                    <w:rPr>
                      <w:rFonts w:hint="eastAsia"/>
                      <w:color w:val="auto"/>
                      <w:sz w:val="21"/>
                      <w:szCs w:val="21"/>
                      <w:vertAlign w:val="baseline"/>
                      <w:lang w:val="en-US" w:eastAsia="zh-CN"/>
                    </w:rPr>
                    <w:t>8</w:t>
                  </w:r>
                </w:p>
              </w:tc>
            </w:tr>
            <w:tr w14:paraId="275136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39" w:type="dxa"/>
                  <w:gridSpan w:val="2"/>
                  <w:tcBorders>
                    <w:tl2br w:val="nil"/>
                    <w:tr2bl w:val="nil"/>
                  </w:tcBorders>
                  <w:noWrap w:val="0"/>
                  <w:vAlign w:val="center"/>
                </w:tcPr>
                <w:p w14:paraId="10682AF2">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color w:val="auto"/>
                      <w:sz w:val="21"/>
                      <w:szCs w:val="21"/>
                      <w:vertAlign w:val="baseline"/>
                    </w:rPr>
                  </w:pPr>
                  <w:r>
                    <w:rPr>
                      <w:color w:val="auto"/>
                      <w:sz w:val="21"/>
                      <w:szCs w:val="21"/>
                      <w:vertAlign w:val="baseline"/>
                    </w:rPr>
                    <w:t>（GB18918-2002）中一级</w:t>
                  </w:r>
                  <w:r>
                    <w:rPr>
                      <w:rFonts w:hint="eastAsia"/>
                      <w:color w:val="auto"/>
                      <w:sz w:val="21"/>
                      <w:szCs w:val="21"/>
                      <w:vertAlign w:val="baseline"/>
                      <w:lang w:val="en-US" w:eastAsia="zh-CN"/>
                    </w:rPr>
                    <w:t>B</w:t>
                  </w:r>
                  <w:r>
                    <w:rPr>
                      <w:color w:val="auto"/>
                      <w:sz w:val="21"/>
                      <w:szCs w:val="21"/>
                      <w:vertAlign w:val="baseline"/>
                    </w:rPr>
                    <w:t>标准</w:t>
                  </w:r>
                  <w:r>
                    <w:rPr>
                      <w:rFonts w:hint="eastAsia"/>
                      <w:color w:val="auto"/>
                      <w:sz w:val="21"/>
                      <w:szCs w:val="21"/>
                      <w:vertAlign w:val="baseline"/>
                      <w:lang w:eastAsia="zh-CN"/>
                    </w:rPr>
                    <w:t>（</w:t>
                  </w:r>
                  <w:r>
                    <w:rPr>
                      <w:color w:val="auto"/>
                      <w:sz w:val="21"/>
                      <w:szCs w:val="21"/>
                      <w:vertAlign w:val="baseline"/>
                    </w:rPr>
                    <w:t>mg/L</w:t>
                  </w:r>
                  <w:r>
                    <w:rPr>
                      <w:rFonts w:hint="eastAsia"/>
                      <w:color w:val="auto"/>
                      <w:sz w:val="21"/>
                      <w:szCs w:val="21"/>
                      <w:vertAlign w:val="baseline"/>
                      <w:lang w:eastAsia="zh-CN"/>
                    </w:rPr>
                    <w:t>）</w:t>
                  </w:r>
                </w:p>
              </w:tc>
              <w:tc>
                <w:tcPr>
                  <w:tcW w:w="1433" w:type="dxa"/>
                  <w:tcBorders>
                    <w:tl2br w:val="nil"/>
                    <w:tr2bl w:val="nil"/>
                  </w:tcBorders>
                  <w:noWrap w:val="0"/>
                  <w:vAlign w:val="center"/>
                </w:tcPr>
                <w:p w14:paraId="6020786B">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color w:val="auto"/>
                      <w:sz w:val="21"/>
                      <w:szCs w:val="21"/>
                      <w:vertAlign w:val="baseline"/>
                    </w:rPr>
                  </w:pPr>
                  <w:r>
                    <w:rPr>
                      <w:color w:val="auto"/>
                      <w:sz w:val="21"/>
                      <w:szCs w:val="21"/>
                      <w:vertAlign w:val="baseline"/>
                    </w:rPr>
                    <w:t>/</w:t>
                  </w:r>
                </w:p>
              </w:tc>
              <w:tc>
                <w:tcPr>
                  <w:tcW w:w="1265" w:type="dxa"/>
                  <w:tcBorders>
                    <w:tl2br w:val="nil"/>
                    <w:tr2bl w:val="nil"/>
                  </w:tcBorders>
                  <w:noWrap w:val="0"/>
                  <w:vAlign w:val="center"/>
                </w:tcPr>
                <w:p w14:paraId="09A89F98">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color w:val="auto"/>
                      <w:sz w:val="21"/>
                      <w:szCs w:val="21"/>
                      <w:vertAlign w:val="baseline"/>
                    </w:rPr>
                  </w:pPr>
                  <w:r>
                    <w:rPr>
                      <w:rFonts w:hint="eastAsia"/>
                      <w:color w:val="auto"/>
                      <w:sz w:val="21"/>
                      <w:szCs w:val="21"/>
                      <w:vertAlign w:val="baseline"/>
                    </w:rPr>
                    <w:t>6-9</w:t>
                  </w:r>
                </w:p>
              </w:tc>
              <w:tc>
                <w:tcPr>
                  <w:tcW w:w="1265" w:type="dxa"/>
                  <w:tcBorders>
                    <w:tl2br w:val="nil"/>
                    <w:tr2bl w:val="nil"/>
                  </w:tcBorders>
                  <w:noWrap w:val="0"/>
                  <w:vAlign w:val="center"/>
                </w:tcPr>
                <w:p w14:paraId="10384676">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60</w:t>
                  </w:r>
                </w:p>
              </w:tc>
              <w:tc>
                <w:tcPr>
                  <w:tcW w:w="1265" w:type="dxa"/>
                  <w:tcBorders>
                    <w:tl2br w:val="nil"/>
                    <w:tr2bl w:val="nil"/>
                  </w:tcBorders>
                  <w:noWrap w:val="0"/>
                  <w:vAlign w:val="center"/>
                </w:tcPr>
                <w:p w14:paraId="72BAF3D8">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20</w:t>
                  </w:r>
                </w:p>
              </w:tc>
              <w:tc>
                <w:tcPr>
                  <w:tcW w:w="1265" w:type="dxa"/>
                  <w:tcBorders>
                    <w:tl2br w:val="nil"/>
                    <w:tr2bl w:val="nil"/>
                  </w:tcBorders>
                  <w:noWrap w:val="0"/>
                  <w:vAlign w:val="center"/>
                </w:tcPr>
                <w:p w14:paraId="33A4EB5C">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20</w:t>
                  </w:r>
                </w:p>
              </w:tc>
              <w:tc>
                <w:tcPr>
                  <w:tcW w:w="1265" w:type="dxa"/>
                  <w:tcBorders>
                    <w:tl2br w:val="nil"/>
                    <w:tr2bl w:val="nil"/>
                  </w:tcBorders>
                  <w:noWrap w:val="0"/>
                  <w:vAlign w:val="center"/>
                </w:tcPr>
                <w:p w14:paraId="1F5EC0F6">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rFonts w:hint="eastAsia" w:eastAsia="宋体"/>
                      <w:color w:val="auto"/>
                      <w:sz w:val="21"/>
                      <w:szCs w:val="21"/>
                      <w:vertAlign w:val="baseline"/>
                      <w:lang w:eastAsia="zh-CN"/>
                    </w:rPr>
                  </w:pPr>
                  <w:r>
                    <w:rPr>
                      <w:rFonts w:hint="eastAsia"/>
                      <w:color w:val="auto"/>
                      <w:sz w:val="21"/>
                      <w:szCs w:val="21"/>
                      <w:vertAlign w:val="baseline"/>
                      <w:lang w:val="en-US" w:eastAsia="zh-CN"/>
                    </w:rPr>
                    <w:t>8</w:t>
                  </w:r>
                </w:p>
              </w:tc>
              <w:tc>
                <w:tcPr>
                  <w:tcW w:w="1265" w:type="dxa"/>
                  <w:tcBorders>
                    <w:tl2br w:val="nil"/>
                    <w:tr2bl w:val="nil"/>
                  </w:tcBorders>
                  <w:noWrap w:val="0"/>
                  <w:vAlign w:val="center"/>
                </w:tcPr>
                <w:p w14:paraId="6C316EB5">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rFonts w:hint="eastAsia" w:eastAsia="宋体"/>
                      <w:color w:val="auto"/>
                      <w:sz w:val="21"/>
                      <w:szCs w:val="21"/>
                      <w:vertAlign w:val="baseline"/>
                      <w:lang w:eastAsia="zh-CN"/>
                    </w:rPr>
                  </w:pPr>
                  <w:r>
                    <w:rPr>
                      <w:rFonts w:hint="eastAsia"/>
                      <w:color w:val="auto"/>
                      <w:sz w:val="21"/>
                      <w:szCs w:val="21"/>
                      <w:vertAlign w:val="baseline"/>
                      <w:lang w:val="en-US" w:eastAsia="zh-CN"/>
                    </w:rPr>
                    <w:t>1</w:t>
                  </w:r>
                </w:p>
              </w:tc>
              <w:tc>
                <w:tcPr>
                  <w:tcW w:w="1265" w:type="dxa"/>
                  <w:tcBorders>
                    <w:tl2br w:val="nil"/>
                    <w:tr2bl w:val="nil"/>
                  </w:tcBorders>
                  <w:noWrap w:val="0"/>
                  <w:vAlign w:val="center"/>
                </w:tcPr>
                <w:p w14:paraId="43CDA29B">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20</w:t>
                  </w:r>
                </w:p>
              </w:tc>
              <w:tc>
                <w:tcPr>
                  <w:tcW w:w="1269" w:type="dxa"/>
                  <w:tcBorders>
                    <w:tl2br w:val="nil"/>
                    <w:tr2bl w:val="nil"/>
                  </w:tcBorders>
                  <w:noWrap w:val="0"/>
                  <w:vAlign w:val="center"/>
                </w:tcPr>
                <w:p w14:paraId="7D0A88FB">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3</w:t>
                  </w:r>
                </w:p>
              </w:tc>
            </w:tr>
            <w:tr w14:paraId="50E991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39" w:type="dxa"/>
                  <w:gridSpan w:val="2"/>
                  <w:tcBorders>
                    <w:tl2br w:val="nil"/>
                    <w:tr2bl w:val="nil"/>
                  </w:tcBorders>
                  <w:noWrap w:val="0"/>
                  <w:vAlign w:val="center"/>
                </w:tcPr>
                <w:p w14:paraId="0915E47C">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color w:val="auto"/>
                      <w:sz w:val="21"/>
                      <w:szCs w:val="21"/>
                      <w:vertAlign w:val="baseline"/>
                    </w:rPr>
                  </w:pPr>
                  <w:r>
                    <w:rPr>
                      <w:color w:val="auto"/>
                      <w:sz w:val="21"/>
                      <w:szCs w:val="21"/>
                      <w:vertAlign w:val="baseline"/>
                    </w:rPr>
                    <w:t>污水处理</w:t>
                  </w:r>
                  <w:r>
                    <w:rPr>
                      <w:rFonts w:hint="eastAsia"/>
                      <w:color w:val="auto"/>
                      <w:sz w:val="21"/>
                      <w:szCs w:val="21"/>
                      <w:lang w:val="en-US" w:eastAsia="zh-CN"/>
                    </w:rPr>
                    <w:t>站</w:t>
                  </w:r>
                  <w:r>
                    <w:rPr>
                      <w:color w:val="auto"/>
                      <w:sz w:val="21"/>
                      <w:szCs w:val="21"/>
                      <w:vertAlign w:val="baseline"/>
                    </w:rPr>
                    <w:t>处理后污染物排放量（t/a）</w:t>
                  </w:r>
                </w:p>
              </w:tc>
              <w:tc>
                <w:tcPr>
                  <w:tcW w:w="1433" w:type="dxa"/>
                  <w:tcBorders>
                    <w:tl2br w:val="nil"/>
                    <w:tr2bl w:val="nil"/>
                  </w:tcBorders>
                  <w:noWrap w:val="0"/>
                  <w:vAlign w:val="center"/>
                </w:tcPr>
                <w:p w14:paraId="5EE19B82">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color w:val="auto"/>
                      <w:sz w:val="21"/>
                      <w:szCs w:val="21"/>
                      <w:vertAlign w:val="baseline"/>
                    </w:rPr>
                  </w:pPr>
                  <w:r>
                    <w:rPr>
                      <w:rFonts w:hint="default"/>
                      <w:sz w:val="21"/>
                      <w:szCs w:val="21"/>
                      <w:vertAlign w:val="baseline"/>
                      <w:lang w:val="en-US" w:eastAsia="zh-CN"/>
                    </w:rPr>
                    <w:t>400.04</w:t>
                  </w:r>
                </w:p>
              </w:tc>
              <w:tc>
                <w:tcPr>
                  <w:tcW w:w="1265" w:type="dxa"/>
                  <w:tcBorders>
                    <w:tl2br w:val="nil"/>
                    <w:tr2bl w:val="nil"/>
                  </w:tcBorders>
                  <w:noWrap w:val="0"/>
                  <w:vAlign w:val="center"/>
                </w:tcPr>
                <w:p w14:paraId="5B31B2DC">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color w:val="auto"/>
                      <w:sz w:val="21"/>
                      <w:szCs w:val="21"/>
                      <w:vertAlign w:val="baseline"/>
                    </w:rPr>
                  </w:pPr>
                  <w:r>
                    <w:rPr>
                      <w:rFonts w:hint="eastAsia"/>
                      <w:color w:val="auto"/>
                      <w:sz w:val="21"/>
                      <w:szCs w:val="21"/>
                      <w:vertAlign w:val="baseline"/>
                    </w:rPr>
                    <w:t>/</w:t>
                  </w:r>
                </w:p>
              </w:tc>
              <w:tc>
                <w:tcPr>
                  <w:tcW w:w="1265" w:type="dxa"/>
                  <w:tcBorders>
                    <w:tl2br w:val="nil"/>
                    <w:tr2bl w:val="nil"/>
                  </w:tcBorders>
                  <w:noWrap w:val="0"/>
                  <w:vAlign w:val="center"/>
                </w:tcPr>
                <w:p w14:paraId="06F8BA85">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0.024</w:t>
                  </w:r>
                </w:p>
              </w:tc>
              <w:tc>
                <w:tcPr>
                  <w:tcW w:w="1265" w:type="dxa"/>
                  <w:tcBorders>
                    <w:tl2br w:val="nil"/>
                    <w:tr2bl w:val="nil"/>
                  </w:tcBorders>
                  <w:noWrap w:val="0"/>
                  <w:vAlign w:val="center"/>
                </w:tcPr>
                <w:p w14:paraId="392E1F30">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0.008</w:t>
                  </w:r>
                </w:p>
              </w:tc>
              <w:tc>
                <w:tcPr>
                  <w:tcW w:w="1265" w:type="dxa"/>
                  <w:tcBorders>
                    <w:tl2br w:val="nil"/>
                    <w:tr2bl w:val="nil"/>
                  </w:tcBorders>
                  <w:noWrap w:val="0"/>
                  <w:vAlign w:val="center"/>
                </w:tcPr>
                <w:p w14:paraId="25EE8339">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0.008</w:t>
                  </w:r>
                </w:p>
              </w:tc>
              <w:tc>
                <w:tcPr>
                  <w:tcW w:w="1265" w:type="dxa"/>
                  <w:tcBorders>
                    <w:tl2br w:val="nil"/>
                    <w:tr2bl w:val="nil"/>
                  </w:tcBorders>
                  <w:noWrap w:val="0"/>
                  <w:vAlign w:val="center"/>
                </w:tcPr>
                <w:p w14:paraId="6C4324CC">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0.003</w:t>
                  </w:r>
                </w:p>
              </w:tc>
              <w:tc>
                <w:tcPr>
                  <w:tcW w:w="1265" w:type="dxa"/>
                  <w:tcBorders>
                    <w:tl2br w:val="nil"/>
                    <w:tr2bl w:val="nil"/>
                  </w:tcBorders>
                  <w:noWrap w:val="0"/>
                  <w:vAlign w:val="center"/>
                </w:tcPr>
                <w:p w14:paraId="308EFE7B">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0.0004</w:t>
                  </w:r>
                </w:p>
              </w:tc>
              <w:tc>
                <w:tcPr>
                  <w:tcW w:w="1265" w:type="dxa"/>
                  <w:tcBorders>
                    <w:tl2br w:val="nil"/>
                    <w:tr2bl w:val="nil"/>
                  </w:tcBorders>
                  <w:noWrap w:val="0"/>
                  <w:vAlign w:val="center"/>
                </w:tcPr>
                <w:p w14:paraId="778CE916">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0.008</w:t>
                  </w:r>
                </w:p>
              </w:tc>
              <w:tc>
                <w:tcPr>
                  <w:tcW w:w="1269" w:type="dxa"/>
                  <w:tcBorders>
                    <w:tl2br w:val="nil"/>
                    <w:tr2bl w:val="nil"/>
                  </w:tcBorders>
                  <w:noWrap w:val="0"/>
                  <w:vAlign w:val="center"/>
                </w:tcPr>
                <w:p w14:paraId="1192FC6B">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0.001</w:t>
                  </w:r>
                </w:p>
              </w:tc>
            </w:tr>
          </w:tbl>
          <w:p w14:paraId="43E47B9E">
            <w:pPr>
              <w:pStyle w:val="16"/>
              <w:tabs>
                <w:tab w:val="left" w:pos="3360"/>
              </w:tabs>
              <w:autoSpaceDE/>
              <w:autoSpaceDN/>
              <w:adjustRightInd w:val="0"/>
              <w:spacing w:line="240" w:lineRule="auto"/>
              <w:ind w:firstLine="0" w:firstLineChars="0"/>
              <w:jc w:val="center"/>
              <w:rPr>
                <w:b/>
                <w:bCs/>
                <w:sz w:val="21"/>
                <w:szCs w:val="21"/>
                <w:vertAlign w:val="baseline"/>
              </w:rPr>
            </w:pPr>
          </w:p>
          <w:p w14:paraId="11F0F8D2">
            <w:pPr>
              <w:pStyle w:val="16"/>
              <w:tabs>
                <w:tab w:val="left" w:pos="3360"/>
              </w:tabs>
              <w:autoSpaceDE/>
              <w:autoSpaceDN/>
              <w:adjustRightInd w:val="0"/>
              <w:spacing w:line="240" w:lineRule="auto"/>
              <w:ind w:firstLine="0" w:firstLineChars="0"/>
              <w:jc w:val="center"/>
              <w:rPr>
                <w:rFonts w:hAnsi="Times New Roman"/>
                <w:b/>
                <w:color w:val="1F497D" w:themeColor="text2"/>
                <w:szCs w:val="21"/>
                <w14:textFill>
                  <w14:solidFill>
                    <w14:schemeClr w14:val="tx2"/>
                  </w14:solidFill>
                </w14:textFill>
              </w:rPr>
            </w:pPr>
            <w:r>
              <w:rPr>
                <w:b/>
                <w:bCs/>
                <w:color w:val="1F497D" w:themeColor="text2"/>
                <w:sz w:val="21"/>
                <w:szCs w:val="21"/>
                <w:vertAlign w:val="baseline"/>
                <w14:textFill>
                  <w14:solidFill>
                    <w14:schemeClr w14:val="tx2"/>
                  </w14:solidFill>
                </w14:textFill>
              </w:rPr>
              <w:t>表</w:t>
            </w:r>
            <w:r>
              <w:rPr>
                <w:rFonts w:hint="default" w:ascii="Times New Roman" w:hAnsi="Times New Roman" w:cs="Times New Roman"/>
                <w:b/>
                <w:bCs/>
                <w:color w:val="1F497D" w:themeColor="text2"/>
                <w:sz w:val="21"/>
                <w:szCs w:val="21"/>
                <w:vertAlign w:val="baseline"/>
                <w14:textFill>
                  <w14:solidFill>
                    <w14:schemeClr w14:val="tx2"/>
                  </w14:solidFill>
                </w14:textFill>
              </w:rPr>
              <w:t>4.2-</w:t>
            </w:r>
            <w:r>
              <w:rPr>
                <w:rFonts w:hint="default" w:ascii="Times New Roman" w:hAnsi="Times New Roman" w:cs="Times New Roman"/>
                <w:b/>
                <w:bCs/>
                <w:color w:val="1F497D" w:themeColor="text2"/>
                <w:sz w:val="21"/>
                <w:szCs w:val="21"/>
                <w:vertAlign w:val="baseline"/>
                <w:lang w:val="en-US" w:eastAsia="zh-CN"/>
                <w14:textFill>
                  <w14:solidFill>
                    <w14:schemeClr w14:val="tx2"/>
                  </w14:solidFill>
                </w14:textFill>
              </w:rPr>
              <w:t>2</w:t>
            </w:r>
            <w:r>
              <w:rPr>
                <w:b/>
                <w:bCs/>
                <w:color w:val="1F497D" w:themeColor="text2"/>
                <w:sz w:val="21"/>
                <w:szCs w:val="21"/>
                <w:vertAlign w:val="baseline"/>
                <w14:textFill>
                  <w14:solidFill>
                    <w14:schemeClr w14:val="tx2"/>
                  </w14:solidFill>
                </w14:textFill>
              </w:rPr>
              <w:t xml:space="preserve">   项目</w:t>
            </w:r>
            <w:r>
              <w:rPr>
                <w:rFonts w:hint="eastAsia"/>
                <w:b/>
                <w:bCs/>
                <w:color w:val="1F497D" w:themeColor="text2"/>
                <w:sz w:val="21"/>
                <w:szCs w:val="21"/>
                <w:vertAlign w:val="baseline"/>
                <w:lang w:val="en-US" w:eastAsia="zh-CN"/>
                <w14:textFill>
                  <w14:solidFill>
                    <w14:schemeClr w14:val="tx2"/>
                  </w14:solidFill>
                </w14:textFill>
              </w:rPr>
              <w:t>生产废水</w:t>
            </w:r>
            <w:r>
              <w:rPr>
                <w:b/>
                <w:bCs/>
                <w:color w:val="1F497D" w:themeColor="text2"/>
                <w:sz w:val="21"/>
                <w:szCs w:val="21"/>
                <w:vertAlign w:val="baseline"/>
                <w14:textFill>
                  <w14:solidFill>
                    <w14:schemeClr w14:val="tx2"/>
                  </w14:solidFill>
                </w14:textFill>
              </w:rPr>
              <w:t>污染物</w:t>
            </w:r>
            <w:r>
              <w:rPr>
                <w:rFonts w:hint="eastAsia"/>
                <w:b/>
                <w:bCs/>
                <w:color w:val="1F497D" w:themeColor="text2"/>
                <w:sz w:val="21"/>
                <w:szCs w:val="21"/>
                <w:vertAlign w:val="baseline"/>
                <w14:textFill>
                  <w14:solidFill>
                    <w14:schemeClr w14:val="tx2"/>
                  </w14:solidFill>
                </w14:textFill>
              </w:rPr>
              <w:t>产排情况</w:t>
            </w:r>
            <w:r>
              <w:rPr>
                <w:b/>
                <w:bCs/>
                <w:color w:val="1F497D" w:themeColor="text2"/>
                <w:sz w:val="21"/>
                <w:szCs w:val="21"/>
                <w:vertAlign w:val="baseline"/>
                <w14:textFill>
                  <w14:solidFill>
                    <w14:schemeClr w14:val="tx2"/>
                  </w14:solidFill>
                </w14:textFill>
              </w:rPr>
              <w:t>一览表</w:t>
            </w:r>
          </w:p>
          <w:tbl>
            <w:tblPr>
              <w:tblStyle w:val="3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16"/>
              <w:gridCol w:w="1814"/>
              <w:gridCol w:w="1635"/>
              <w:gridCol w:w="1925"/>
              <w:gridCol w:w="1925"/>
              <w:gridCol w:w="1925"/>
              <w:gridCol w:w="1925"/>
              <w:gridCol w:w="1931"/>
            </w:tblGrid>
            <w:tr w14:paraId="067840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31" w:type="pct"/>
                  <w:gridSpan w:val="2"/>
                  <w:tcBorders>
                    <w:tl2br w:val="single" w:color="auto" w:sz="4" w:space="0"/>
                  </w:tcBorders>
                  <w:noWrap w:val="0"/>
                  <w:vAlign w:val="center"/>
                </w:tcPr>
                <w:p w14:paraId="20D15E2C">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right"/>
                    <w:textAlignment w:val="auto"/>
                    <w:rPr>
                      <w:rFonts w:hint="default" w:ascii="Times New Roman" w:hAnsi="Times New Roman" w:eastAsia="宋体" w:cs="Times New Roman"/>
                      <w:b/>
                      <w:bCs/>
                      <w:color w:val="1F497D" w:themeColor="text2"/>
                      <w:sz w:val="21"/>
                      <w:szCs w:val="21"/>
                      <w:highlight w:val="none"/>
                      <w14:textFill>
                        <w14:solidFill>
                          <w14:schemeClr w14:val="tx2"/>
                        </w14:solidFill>
                      </w14:textFill>
                    </w:rPr>
                  </w:pPr>
                  <w:r>
                    <w:rPr>
                      <w:rFonts w:hint="default" w:ascii="Times New Roman" w:hAnsi="Times New Roman" w:eastAsia="宋体" w:cs="Times New Roman"/>
                      <w:b/>
                      <w:bCs/>
                      <w:color w:val="1F497D" w:themeColor="text2"/>
                      <w:sz w:val="21"/>
                      <w:szCs w:val="21"/>
                      <w:highlight w:val="none"/>
                      <w14:textFill>
                        <w14:solidFill>
                          <w14:schemeClr w14:val="tx2"/>
                        </w14:solidFill>
                      </w14:textFill>
                    </w:rPr>
                    <w:t>污染物</w:t>
                  </w:r>
                </w:p>
                <w:p w14:paraId="39746E51">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left"/>
                    <w:textAlignment w:val="auto"/>
                    <w:rPr>
                      <w:rFonts w:hint="default" w:ascii="Times New Roman" w:hAnsi="Times New Roman" w:eastAsia="宋体" w:cs="Times New Roman"/>
                      <w:b/>
                      <w:bCs/>
                      <w:color w:val="1F497D" w:themeColor="text2"/>
                      <w:sz w:val="21"/>
                      <w:szCs w:val="21"/>
                      <w:highlight w:val="none"/>
                      <w14:textFill>
                        <w14:solidFill>
                          <w14:schemeClr w14:val="tx2"/>
                        </w14:solidFill>
                      </w14:textFill>
                    </w:rPr>
                  </w:pPr>
                  <w:r>
                    <w:rPr>
                      <w:b/>
                      <w:bCs/>
                      <w:color w:val="1F497D" w:themeColor="text2"/>
                      <w:sz w:val="21"/>
                      <w:szCs w:val="21"/>
                      <w:vertAlign w:val="baseline"/>
                      <w14:textFill>
                        <w14:solidFill>
                          <w14:schemeClr w14:val="tx2"/>
                        </w14:solidFill>
                      </w14:textFill>
                    </w:rPr>
                    <w:t>污染源</w:t>
                  </w:r>
                </w:p>
              </w:tc>
              <w:tc>
                <w:tcPr>
                  <w:tcW w:w="575" w:type="pct"/>
                  <w:tcBorders>
                    <w:tl2br w:val="nil"/>
                    <w:tr2bl w:val="nil"/>
                  </w:tcBorders>
                  <w:noWrap w:val="0"/>
                  <w:vAlign w:val="center"/>
                </w:tcPr>
                <w:p w14:paraId="48B383D1">
                  <w:pPr>
                    <w:keepNext w:val="0"/>
                    <w:keepLines w:val="0"/>
                    <w:pageBreakBefore w:val="0"/>
                    <w:widowControl w:val="0"/>
                    <w:suppressLineNumbers w:val="0"/>
                    <w:tabs>
                      <w:tab w:val="left" w:pos="3240"/>
                    </w:tabs>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1F497D" w:themeColor="text2"/>
                      <w:sz w:val="21"/>
                      <w:szCs w:val="21"/>
                      <w:highlight w:val="none"/>
                      <w:lang w:val="en-US" w:eastAsia="zh-CN"/>
                      <w14:textFill>
                        <w14:solidFill>
                          <w14:schemeClr w14:val="tx2"/>
                        </w14:solidFill>
                      </w14:textFill>
                    </w:rPr>
                  </w:pPr>
                  <w:r>
                    <w:rPr>
                      <w:b/>
                      <w:bCs/>
                      <w:color w:val="1F497D" w:themeColor="text2"/>
                      <w:sz w:val="21"/>
                      <w:szCs w:val="21"/>
                      <w:vertAlign w:val="baseline"/>
                      <w14:textFill>
                        <w14:solidFill>
                          <w14:schemeClr w14:val="tx2"/>
                        </w14:solidFill>
                      </w14:textFill>
                    </w:rPr>
                    <w:t>水量</w:t>
                  </w:r>
                  <w:r>
                    <w:rPr>
                      <w:rFonts w:hint="eastAsia"/>
                      <w:b/>
                      <w:bCs/>
                      <w:color w:val="1F497D" w:themeColor="text2"/>
                      <w:sz w:val="21"/>
                      <w:szCs w:val="21"/>
                      <w:vertAlign w:val="baseline"/>
                      <w14:textFill>
                        <w14:solidFill>
                          <w14:schemeClr w14:val="tx2"/>
                        </w14:solidFill>
                      </w14:textFill>
                    </w:rPr>
                    <w:t>（</w:t>
                  </w:r>
                  <w:r>
                    <w:rPr>
                      <w:b/>
                      <w:bCs/>
                      <w:color w:val="1F497D" w:themeColor="text2"/>
                      <w:sz w:val="21"/>
                      <w:szCs w:val="21"/>
                      <w:vertAlign w:val="baseline"/>
                      <w14:textFill>
                        <w14:solidFill>
                          <w14:schemeClr w14:val="tx2"/>
                        </w14:solidFill>
                      </w14:textFill>
                    </w:rPr>
                    <w:t>m</w:t>
                  </w:r>
                  <w:r>
                    <w:rPr>
                      <w:b/>
                      <w:bCs/>
                      <w:color w:val="1F497D" w:themeColor="text2"/>
                      <w:sz w:val="21"/>
                      <w:szCs w:val="21"/>
                      <w:vertAlign w:val="superscript"/>
                      <w14:textFill>
                        <w14:solidFill>
                          <w14:schemeClr w14:val="tx2"/>
                        </w14:solidFill>
                      </w14:textFill>
                    </w:rPr>
                    <w:t>3</w:t>
                  </w:r>
                  <w:r>
                    <w:rPr>
                      <w:b/>
                      <w:bCs/>
                      <w:color w:val="1F497D" w:themeColor="text2"/>
                      <w:sz w:val="21"/>
                      <w:szCs w:val="21"/>
                      <w:vertAlign w:val="baseline"/>
                      <w14:textFill>
                        <w14:solidFill>
                          <w14:schemeClr w14:val="tx2"/>
                        </w14:solidFill>
                      </w14:textFill>
                    </w:rPr>
                    <w:t>/a</w:t>
                  </w:r>
                  <w:r>
                    <w:rPr>
                      <w:rFonts w:hint="eastAsia"/>
                      <w:b/>
                      <w:bCs/>
                      <w:color w:val="1F497D" w:themeColor="text2"/>
                      <w:sz w:val="21"/>
                      <w:szCs w:val="21"/>
                      <w:vertAlign w:val="baseline"/>
                      <w14:textFill>
                        <w14:solidFill>
                          <w14:schemeClr w14:val="tx2"/>
                        </w14:solidFill>
                      </w14:textFill>
                    </w:rPr>
                    <w:t>）</w:t>
                  </w:r>
                </w:p>
              </w:tc>
              <w:tc>
                <w:tcPr>
                  <w:tcW w:w="678" w:type="pct"/>
                  <w:tcBorders>
                    <w:tl2br w:val="nil"/>
                    <w:tr2bl w:val="nil"/>
                  </w:tcBorders>
                  <w:noWrap w:val="0"/>
                  <w:vAlign w:val="center"/>
                </w:tcPr>
                <w:p w14:paraId="6E1E4060">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1F497D" w:themeColor="text2"/>
                      <w:sz w:val="21"/>
                      <w:szCs w:val="21"/>
                      <w:highlight w:val="none"/>
                      <w14:textFill>
                        <w14:solidFill>
                          <w14:schemeClr w14:val="tx2"/>
                        </w14:solidFill>
                      </w14:textFill>
                    </w:rPr>
                  </w:pPr>
                  <w:r>
                    <w:rPr>
                      <w:rFonts w:hint="default" w:ascii="Times New Roman" w:hAnsi="Times New Roman" w:eastAsia="宋体" w:cs="Times New Roman"/>
                      <w:b/>
                      <w:bCs/>
                      <w:color w:val="1F497D" w:themeColor="text2"/>
                      <w:sz w:val="21"/>
                      <w:szCs w:val="21"/>
                      <w:highlight w:val="none"/>
                      <w14:textFill>
                        <w14:solidFill>
                          <w14:schemeClr w14:val="tx2"/>
                        </w14:solidFill>
                      </w14:textFill>
                    </w:rPr>
                    <w:t>COD</w:t>
                  </w:r>
                  <w:r>
                    <w:rPr>
                      <w:rFonts w:hint="default" w:ascii="Times New Roman" w:hAnsi="Times New Roman" w:eastAsia="宋体" w:cs="Times New Roman"/>
                      <w:b/>
                      <w:bCs/>
                      <w:color w:val="1F497D" w:themeColor="text2"/>
                      <w:sz w:val="21"/>
                      <w:szCs w:val="21"/>
                      <w:highlight w:val="none"/>
                      <w:vertAlign w:val="subscript"/>
                      <w:lang w:val="en-US" w:eastAsia="zh-CN"/>
                      <w14:textFill>
                        <w14:solidFill>
                          <w14:schemeClr w14:val="tx2"/>
                        </w14:solidFill>
                      </w14:textFill>
                    </w:rPr>
                    <w:t>Cr</w:t>
                  </w:r>
                </w:p>
              </w:tc>
              <w:tc>
                <w:tcPr>
                  <w:tcW w:w="678" w:type="pct"/>
                  <w:tcBorders>
                    <w:tl2br w:val="nil"/>
                    <w:tr2bl w:val="nil"/>
                  </w:tcBorders>
                  <w:noWrap w:val="0"/>
                  <w:vAlign w:val="center"/>
                </w:tcPr>
                <w:p w14:paraId="000AB390">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1F497D" w:themeColor="text2"/>
                      <w:sz w:val="21"/>
                      <w:szCs w:val="21"/>
                      <w:highlight w:val="none"/>
                      <w14:textFill>
                        <w14:solidFill>
                          <w14:schemeClr w14:val="tx2"/>
                        </w14:solidFill>
                      </w14:textFill>
                    </w:rPr>
                  </w:pPr>
                  <w:r>
                    <w:rPr>
                      <w:b/>
                      <w:bCs/>
                      <w:color w:val="1F497D" w:themeColor="text2"/>
                      <w:sz w:val="21"/>
                      <w:szCs w:val="21"/>
                      <w:vertAlign w:val="baseline"/>
                      <w14:textFill>
                        <w14:solidFill>
                          <w14:schemeClr w14:val="tx2"/>
                        </w14:solidFill>
                      </w14:textFill>
                    </w:rPr>
                    <w:t>BOD</w:t>
                  </w:r>
                  <w:r>
                    <w:rPr>
                      <w:b/>
                      <w:bCs/>
                      <w:color w:val="1F497D" w:themeColor="text2"/>
                      <w:sz w:val="21"/>
                      <w:szCs w:val="21"/>
                      <w:vertAlign w:val="subscript"/>
                      <w14:textFill>
                        <w14:solidFill>
                          <w14:schemeClr w14:val="tx2"/>
                        </w14:solidFill>
                      </w14:textFill>
                    </w:rPr>
                    <w:t>5</w:t>
                  </w:r>
                </w:p>
              </w:tc>
              <w:tc>
                <w:tcPr>
                  <w:tcW w:w="678" w:type="pct"/>
                  <w:tcBorders>
                    <w:tl2br w:val="nil"/>
                    <w:tr2bl w:val="nil"/>
                  </w:tcBorders>
                  <w:noWrap w:val="0"/>
                  <w:vAlign w:val="center"/>
                </w:tcPr>
                <w:p w14:paraId="7A4416E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1F497D" w:themeColor="text2"/>
                      <w:sz w:val="21"/>
                      <w:szCs w:val="21"/>
                      <w:highlight w:val="none"/>
                      <w14:textFill>
                        <w14:solidFill>
                          <w14:schemeClr w14:val="tx2"/>
                        </w14:solidFill>
                      </w14:textFill>
                    </w:rPr>
                  </w:pPr>
                  <w:r>
                    <w:rPr>
                      <w:b/>
                      <w:bCs/>
                      <w:color w:val="1F497D" w:themeColor="text2"/>
                      <w:sz w:val="21"/>
                      <w:szCs w:val="21"/>
                      <w:vertAlign w:val="baseline"/>
                      <w14:textFill>
                        <w14:solidFill>
                          <w14:schemeClr w14:val="tx2"/>
                        </w14:solidFill>
                      </w14:textFill>
                    </w:rPr>
                    <w:t>SS</w:t>
                  </w:r>
                </w:p>
              </w:tc>
              <w:tc>
                <w:tcPr>
                  <w:tcW w:w="678" w:type="pct"/>
                  <w:tcBorders>
                    <w:tl2br w:val="nil"/>
                    <w:tr2bl w:val="nil"/>
                  </w:tcBorders>
                  <w:noWrap w:val="0"/>
                  <w:vAlign w:val="center"/>
                </w:tcPr>
                <w:p w14:paraId="1BEFBFA9">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b/>
                      <w:bCs/>
                      <w:color w:val="1F497D" w:themeColor="text2"/>
                      <w:sz w:val="21"/>
                      <w:szCs w:val="21"/>
                      <w:highlight w:val="none"/>
                      <w:lang w:eastAsia="zh-CN"/>
                      <w14:textFill>
                        <w14:solidFill>
                          <w14:schemeClr w14:val="tx2"/>
                        </w14:solidFill>
                      </w14:textFill>
                    </w:rPr>
                  </w:pPr>
                  <w:r>
                    <w:rPr>
                      <w:rFonts w:hint="eastAsia" w:eastAsia="宋体"/>
                      <w:b/>
                      <w:bCs/>
                      <w:color w:val="1F497D" w:themeColor="text2"/>
                      <w:sz w:val="21"/>
                      <w:szCs w:val="21"/>
                      <w:vertAlign w:val="baseline"/>
                      <w:lang w:val="en-US" w:eastAsia="zh-CN"/>
                      <w14:textFill>
                        <w14:solidFill>
                          <w14:schemeClr w14:val="tx2"/>
                        </w14:solidFill>
                      </w14:textFill>
                    </w:rPr>
                    <w:t>石油类</w:t>
                  </w:r>
                </w:p>
              </w:tc>
              <w:tc>
                <w:tcPr>
                  <w:tcW w:w="680" w:type="pct"/>
                  <w:tcBorders>
                    <w:tl2br w:val="nil"/>
                    <w:tr2bl w:val="nil"/>
                  </w:tcBorders>
                  <w:noWrap w:val="0"/>
                  <w:vAlign w:val="center"/>
                </w:tcPr>
                <w:p w14:paraId="22A1C74B">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1F497D" w:themeColor="text2"/>
                      <w:sz w:val="21"/>
                      <w:szCs w:val="21"/>
                      <w:highlight w:val="none"/>
                      <w:lang w:val="en-US" w:eastAsia="zh-CN"/>
                      <w14:textFill>
                        <w14:solidFill>
                          <w14:schemeClr w14:val="tx2"/>
                        </w14:solidFill>
                      </w14:textFill>
                    </w:rPr>
                  </w:pPr>
                  <w:r>
                    <w:rPr>
                      <w:rFonts w:hint="eastAsia" w:ascii="Times New Roman" w:hAnsi="Times New Roman" w:eastAsia="宋体" w:cs="Times New Roman"/>
                      <w:b/>
                      <w:bCs/>
                      <w:color w:val="1F497D" w:themeColor="text2"/>
                      <w:sz w:val="21"/>
                      <w:szCs w:val="21"/>
                      <w:highlight w:val="none"/>
                      <w:lang w:val="en-US" w:eastAsia="zh-CN"/>
                      <w14:textFill>
                        <w14:solidFill>
                          <w14:schemeClr w14:val="tx2"/>
                        </w14:solidFill>
                      </w14:textFill>
                    </w:rPr>
                    <w:t>LAS</w:t>
                  </w:r>
                </w:p>
              </w:tc>
            </w:tr>
            <w:tr w14:paraId="34C813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3" w:type="pct"/>
                  <w:vMerge w:val="restart"/>
                  <w:tcBorders>
                    <w:tl2br w:val="nil"/>
                    <w:tr2bl w:val="nil"/>
                  </w:tcBorders>
                  <w:noWrap w:val="0"/>
                  <w:vAlign w:val="center"/>
                </w:tcPr>
                <w:p w14:paraId="6FA31709">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cs="Times New Roman"/>
                      <w:b w:val="0"/>
                      <w:bCs w:val="0"/>
                      <w:color w:val="1F497D" w:themeColor="text2"/>
                      <w:sz w:val="21"/>
                      <w:szCs w:val="21"/>
                      <w:highlight w:val="none"/>
                      <w:lang w:val="en-US" w:eastAsia="zh-CN"/>
                      <w14:textFill>
                        <w14:solidFill>
                          <w14:schemeClr w14:val="tx2"/>
                        </w14:solidFill>
                      </w14:textFill>
                    </w:rPr>
                  </w:pPr>
                  <w:r>
                    <w:rPr>
                      <w:rFonts w:hint="eastAsia" w:ascii="Times New Roman" w:hAnsi="Times New Roman" w:eastAsia="宋体" w:cs="Times New Roman"/>
                      <w:b w:val="0"/>
                      <w:bCs w:val="0"/>
                      <w:color w:val="1F497D" w:themeColor="text2"/>
                      <w:spacing w:val="4"/>
                      <w:kern w:val="2"/>
                      <w:sz w:val="21"/>
                      <w:szCs w:val="21"/>
                      <w:highlight w:val="none"/>
                      <w:lang w:val="en-US" w:eastAsia="zh-CN" w:bidi="ar-SA"/>
                      <w14:textFill>
                        <w14:solidFill>
                          <w14:schemeClr w14:val="tx2"/>
                        </w14:solidFill>
                      </w14:textFill>
                    </w:rPr>
                    <w:t>地面冲洗废水</w:t>
                  </w:r>
                </w:p>
              </w:tc>
              <w:tc>
                <w:tcPr>
                  <w:tcW w:w="638" w:type="pct"/>
                  <w:tcBorders>
                    <w:tl2br w:val="nil"/>
                    <w:tr2bl w:val="nil"/>
                  </w:tcBorders>
                  <w:noWrap w:val="0"/>
                  <w:vAlign w:val="center"/>
                </w:tcPr>
                <w:p w14:paraId="120AD482">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eastAsia" w:ascii="Times New Roman" w:cs="Times New Roman"/>
                      <w:b w:val="0"/>
                      <w:bCs w:val="0"/>
                      <w:color w:val="1F497D" w:themeColor="text2"/>
                      <w:sz w:val="21"/>
                      <w:szCs w:val="21"/>
                      <w:highlight w:val="none"/>
                      <w:lang w:val="en-US" w:eastAsia="zh-CN"/>
                      <w14:textFill>
                        <w14:solidFill>
                          <w14:schemeClr w14:val="tx2"/>
                        </w14:solidFill>
                      </w14:textFill>
                    </w:rPr>
                  </w:pPr>
                  <w:r>
                    <w:rPr>
                      <w:rFonts w:hint="eastAsia" w:ascii="Times New Roman" w:cs="Times New Roman"/>
                      <w:b w:val="0"/>
                      <w:bCs w:val="0"/>
                      <w:color w:val="1F497D" w:themeColor="text2"/>
                      <w:sz w:val="21"/>
                      <w:szCs w:val="21"/>
                      <w:highlight w:val="none"/>
                      <w:lang w:val="en-US" w:eastAsia="zh-CN"/>
                      <w14:textFill>
                        <w14:solidFill>
                          <w14:schemeClr w14:val="tx2"/>
                        </w14:solidFill>
                      </w14:textFill>
                    </w:rPr>
                    <w:t>产生</w:t>
                  </w:r>
                  <w:r>
                    <w:rPr>
                      <w:rFonts w:hint="default" w:ascii="Times New Roman" w:hAnsi="Times New Roman" w:eastAsia="宋体" w:cs="Times New Roman"/>
                      <w:b w:val="0"/>
                      <w:bCs w:val="0"/>
                      <w:color w:val="1F497D" w:themeColor="text2"/>
                      <w:sz w:val="21"/>
                      <w:szCs w:val="21"/>
                      <w:highlight w:val="none"/>
                      <w:lang w:val="en-US" w:eastAsia="zh-CN"/>
                      <w14:textFill>
                        <w14:solidFill>
                          <w14:schemeClr w14:val="tx2"/>
                        </w14:solidFill>
                      </w14:textFill>
                    </w:rPr>
                    <w:t>浓度</w:t>
                  </w:r>
                  <w:r>
                    <w:rPr>
                      <w:rFonts w:hint="default" w:ascii="Times New Roman" w:hAnsi="Times New Roman" w:eastAsia="宋体" w:cs="Times New Roman"/>
                      <w:b w:val="0"/>
                      <w:bCs w:val="0"/>
                      <w:color w:val="1F497D" w:themeColor="text2"/>
                      <w:sz w:val="21"/>
                      <w:szCs w:val="21"/>
                      <w:highlight w:val="none"/>
                      <w:lang w:eastAsia="zh-CN"/>
                      <w14:textFill>
                        <w14:solidFill>
                          <w14:schemeClr w14:val="tx2"/>
                        </w14:solidFill>
                      </w14:textFill>
                    </w:rPr>
                    <w:t>（</w:t>
                  </w:r>
                  <w:r>
                    <w:rPr>
                      <w:rFonts w:hint="default" w:ascii="Times New Roman" w:hAnsi="Times New Roman" w:eastAsia="宋体" w:cs="Times New Roman"/>
                      <w:b w:val="0"/>
                      <w:bCs w:val="0"/>
                      <w:color w:val="1F497D" w:themeColor="text2"/>
                      <w:sz w:val="21"/>
                      <w:szCs w:val="21"/>
                      <w:highlight w:val="none"/>
                      <w14:textFill>
                        <w14:solidFill>
                          <w14:schemeClr w14:val="tx2"/>
                        </w14:solidFill>
                      </w14:textFill>
                    </w:rPr>
                    <w:t>mg/L</w:t>
                  </w:r>
                  <w:r>
                    <w:rPr>
                      <w:rFonts w:hint="default" w:ascii="Times New Roman" w:hAnsi="Times New Roman" w:eastAsia="宋体" w:cs="Times New Roman"/>
                      <w:b w:val="0"/>
                      <w:bCs w:val="0"/>
                      <w:color w:val="1F497D" w:themeColor="text2"/>
                      <w:sz w:val="21"/>
                      <w:szCs w:val="21"/>
                      <w:highlight w:val="none"/>
                      <w:lang w:eastAsia="zh-CN"/>
                      <w14:textFill>
                        <w14:solidFill>
                          <w14:schemeClr w14:val="tx2"/>
                        </w14:solidFill>
                      </w14:textFill>
                    </w:rPr>
                    <w:t>）</w:t>
                  </w:r>
                </w:p>
              </w:tc>
              <w:tc>
                <w:tcPr>
                  <w:tcW w:w="575" w:type="pct"/>
                  <w:vMerge w:val="restart"/>
                  <w:tcBorders>
                    <w:tl2br w:val="nil"/>
                    <w:tr2bl w:val="nil"/>
                  </w:tcBorders>
                  <w:noWrap w:val="0"/>
                  <w:vAlign w:val="center"/>
                </w:tcPr>
                <w:p w14:paraId="1730926E">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1F497D" w:themeColor="text2"/>
                      <w:spacing w:val="4"/>
                      <w:kern w:val="18"/>
                      <w:sz w:val="21"/>
                      <w:szCs w:val="21"/>
                      <w:highlight w:val="none"/>
                      <w:lang w:val="en-US" w:eastAsia="zh-CN" w:bidi="ar-SA"/>
                      <w14:textFill>
                        <w14:solidFill>
                          <w14:schemeClr w14:val="tx2"/>
                        </w14:solidFill>
                      </w14:textFill>
                    </w:rPr>
                  </w:pPr>
                  <w:r>
                    <w:rPr>
                      <w:rFonts w:hint="default" w:ascii="Times New Roman" w:hAnsi="Times New Roman" w:eastAsia="宋体" w:cs="Times New Roman"/>
                      <w:b w:val="0"/>
                      <w:bCs w:val="0"/>
                      <w:color w:val="1F497D" w:themeColor="text2"/>
                      <w:spacing w:val="4"/>
                      <w:kern w:val="18"/>
                      <w:sz w:val="21"/>
                      <w:szCs w:val="21"/>
                      <w:highlight w:val="none"/>
                      <w:lang w:val="en-US" w:eastAsia="zh-CN" w:bidi="ar-SA"/>
                      <w14:textFill>
                        <w14:solidFill>
                          <w14:schemeClr w14:val="tx2"/>
                        </w14:solidFill>
                      </w14:textFill>
                    </w:rPr>
                    <w:t>37.824</w:t>
                  </w:r>
                </w:p>
              </w:tc>
              <w:tc>
                <w:tcPr>
                  <w:tcW w:w="678" w:type="pct"/>
                  <w:tcBorders>
                    <w:tl2br w:val="nil"/>
                    <w:tr2bl w:val="nil"/>
                  </w:tcBorders>
                  <w:noWrap w:val="0"/>
                  <w:vAlign w:val="center"/>
                </w:tcPr>
                <w:p w14:paraId="5D59198A">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1F497D" w:themeColor="text2"/>
                      <w:spacing w:val="4"/>
                      <w:kern w:val="18"/>
                      <w:sz w:val="21"/>
                      <w:szCs w:val="21"/>
                      <w:highlight w:val="none"/>
                      <w:lang w:val="en-US" w:eastAsia="zh-CN" w:bidi="ar-SA"/>
                      <w14:textFill>
                        <w14:solidFill>
                          <w14:schemeClr w14:val="tx2"/>
                        </w14:solidFill>
                      </w14:textFill>
                    </w:rPr>
                  </w:pPr>
                  <w:r>
                    <w:rPr>
                      <w:rFonts w:hint="eastAsia" w:ascii="Times New Roman" w:hAnsi="Times New Roman" w:cs="Times New Roman"/>
                      <w:b w:val="0"/>
                      <w:bCs w:val="0"/>
                      <w:color w:val="1F497D" w:themeColor="text2"/>
                      <w:sz w:val="21"/>
                      <w:szCs w:val="21"/>
                      <w:highlight w:val="none"/>
                      <w:lang w:val="en-US" w:eastAsia="zh-CN"/>
                      <w14:textFill>
                        <w14:solidFill>
                          <w14:schemeClr w14:val="tx2"/>
                        </w14:solidFill>
                      </w14:textFill>
                    </w:rPr>
                    <w:t>/</w:t>
                  </w:r>
                </w:p>
              </w:tc>
              <w:tc>
                <w:tcPr>
                  <w:tcW w:w="678" w:type="pct"/>
                  <w:tcBorders>
                    <w:tl2br w:val="nil"/>
                    <w:tr2bl w:val="nil"/>
                  </w:tcBorders>
                  <w:noWrap w:val="0"/>
                  <w:vAlign w:val="center"/>
                </w:tcPr>
                <w:p w14:paraId="7A46B05D">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1F497D" w:themeColor="text2"/>
                      <w:spacing w:val="4"/>
                      <w:kern w:val="18"/>
                      <w:sz w:val="21"/>
                      <w:szCs w:val="21"/>
                      <w:highlight w:val="none"/>
                      <w:lang w:val="en-US" w:eastAsia="zh-CN" w:bidi="ar-SA"/>
                      <w14:textFill>
                        <w14:solidFill>
                          <w14:schemeClr w14:val="tx2"/>
                        </w14:solidFill>
                      </w14:textFill>
                    </w:rPr>
                  </w:pPr>
                  <w:r>
                    <w:rPr>
                      <w:rFonts w:hint="eastAsia" w:ascii="Times New Roman" w:hAnsi="Times New Roman" w:cs="Times New Roman"/>
                      <w:b w:val="0"/>
                      <w:bCs w:val="0"/>
                      <w:color w:val="1F497D" w:themeColor="text2"/>
                      <w:sz w:val="21"/>
                      <w:szCs w:val="21"/>
                      <w:highlight w:val="none"/>
                      <w:lang w:val="en-US" w:eastAsia="zh-CN"/>
                      <w14:textFill>
                        <w14:solidFill>
                          <w14:schemeClr w14:val="tx2"/>
                        </w14:solidFill>
                      </w14:textFill>
                    </w:rPr>
                    <w:t>/</w:t>
                  </w:r>
                </w:p>
              </w:tc>
              <w:tc>
                <w:tcPr>
                  <w:tcW w:w="678" w:type="pct"/>
                  <w:tcBorders>
                    <w:tl2br w:val="nil"/>
                    <w:tr2bl w:val="nil"/>
                  </w:tcBorders>
                  <w:noWrap w:val="0"/>
                  <w:vAlign w:val="center"/>
                </w:tcPr>
                <w:p w14:paraId="79895550">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hAnsi="Times New Roman" w:cs="Times New Roman"/>
                      <w:b w:val="0"/>
                      <w:bCs w:val="0"/>
                      <w:color w:val="1F497D" w:themeColor="text2"/>
                      <w:sz w:val="21"/>
                      <w:szCs w:val="21"/>
                      <w:highlight w:val="none"/>
                      <w:lang w:val="en-US" w:eastAsia="zh-CN"/>
                      <w14:textFill>
                        <w14:solidFill>
                          <w14:schemeClr w14:val="tx2"/>
                        </w14:solidFill>
                      </w14:textFill>
                    </w:rPr>
                  </w:pPr>
                  <w:r>
                    <w:rPr>
                      <w:rFonts w:hint="eastAsia" w:ascii="Times New Roman" w:hAnsi="Times New Roman" w:cs="Times New Roman"/>
                      <w:b w:val="0"/>
                      <w:bCs w:val="0"/>
                      <w:color w:val="1F497D" w:themeColor="text2"/>
                      <w:sz w:val="21"/>
                      <w:szCs w:val="21"/>
                      <w:highlight w:val="none"/>
                      <w:lang w:val="en-US" w:eastAsia="zh-CN"/>
                      <w14:textFill>
                        <w14:solidFill>
                          <w14:schemeClr w14:val="tx2"/>
                        </w14:solidFill>
                      </w14:textFill>
                    </w:rPr>
                    <w:t>110</w:t>
                  </w:r>
                </w:p>
              </w:tc>
              <w:tc>
                <w:tcPr>
                  <w:tcW w:w="678" w:type="pct"/>
                  <w:tcBorders>
                    <w:tl2br w:val="nil"/>
                    <w:tr2bl w:val="nil"/>
                  </w:tcBorders>
                  <w:noWrap w:val="0"/>
                  <w:vAlign w:val="center"/>
                </w:tcPr>
                <w:p w14:paraId="6346A421">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1F497D" w:themeColor="text2"/>
                      <w:spacing w:val="4"/>
                      <w:kern w:val="18"/>
                      <w:sz w:val="21"/>
                      <w:szCs w:val="21"/>
                      <w:highlight w:val="none"/>
                      <w:lang w:val="en-US" w:eastAsia="zh-CN" w:bidi="ar-SA"/>
                      <w14:textFill>
                        <w14:solidFill>
                          <w14:schemeClr w14:val="tx2"/>
                        </w14:solidFill>
                      </w14:textFill>
                    </w:rPr>
                  </w:pPr>
                  <w:r>
                    <w:rPr>
                      <w:rFonts w:hint="eastAsia" w:ascii="Times New Roman" w:hAnsi="Times New Roman" w:eastAsia="宋体" w:cs="Times New Roman"/>
                      <w:b w:val="0"/>
                      <w:bCs w:val="0"/>
                      <w:color w:val="1F497D" w:themeColor="text2"/>
                      <w:spacing w:val="4"/>
                      <w:kern w:val="18"/>
                      <w:sz w:val="21"/>
                      <w:szCs w:val="21"/>
                      <w:highlight w:val="none"/>
                      <w:lang w:val="en-US" w:eastAsia="zh-CN" w:bidi="ar-SA"/>
                      <w14:textFill>
                        <w14:solidFill>
                          <w14:schemeClr w14:val="tx2"/>
                        </w14:solidFill>
                      </w14:textFill>
                    </w:rPr>
                    <w:t>50</w:t>
                  </w:r>
                </w:p>
              </w:tc>
              <w:tc>
                <w:tcPr>
                  <w:tcW w:w="680" w:type="pct"/>
                  <w:tcBorders>
                    <w:tl2br w:val="nil"/>
                    <w:tr2bl w:val="nil"/>
                  </w:tcBorders>
                  <w:noWrap w:val="0"/>
                  <w:vAlign w:val="center"/>
                </w:tcPr>
                <w:p w14:paraId="408944D4">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1F497D" w:themeColor="text2"/>
                      <w:spacing w:val="4"/>
                      <w:kern w:val="18"/>
                      <w:sz w:val="21"/>
                      <w:szCs w:val="21"/>
                      <w:highlight w:val="none"/>
                      <w:lang w:val="en-US" w:eastAsia="zh-CN" w:bidi="ar-SA"/>
                      <w14:textFill>
                        <w14:solidFill>
                          <w14:schemeClr w14:val="tx2"/>
                        </w14:solidFill>
                      </w14:textFill>
                    </w:rPr>
                  </w:pPr>
                  <w:r>
                    <w:rPr>
                      <w:rFonts w:hint="eastAsia" w:ascii="Times New Roman" w:cs="Times New Roman"/>
                      <w:b w:val="0"/>
                      <w:snapToGrid/>
                      <w:color w:val="1F497D" w:themeColor="text2"/>
                      <w:spacing w:val="4"/>
                      <w:kern w:val="18"/>
                      <w:sz w:val="21"/>
                      <w:szCs w:val="21"/>
                      <w:lang w:val="en-US" w:eastAsia="zh-CN" w:bidi="ar-SA"/>
                      <w14:textFill>
                        <w14:solidFill>
                          <w14:schemeClr w14:val="tx2"/>
                        </w14:solidFill>
                      </w14:textFill>
                    </w:rPr>
                    <w:t>/</w:t>
                  </w:r>
                </w:p>
              </w:tc>
            </w:tr>
            <w:tr w14:paraId="2D6E17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3" w:type="pct"/>
                  <w:vMerge w:val="continue"/>
                  <w:tcBorders>
                    <w:tl2br w:val="nil"/>
                    <w:tr2bl w:val="nil"/>
                  </w:tcBorders>
                  <w:noWrap w:val="0"/>
                  <w:vAlign w:val="center"/>
                </w:tcPr>
                <w:p w14:paraId="723C77C5">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1F497D" w:themeColor="text2"/>
                      <w:sz w:val="21"/>
                      <w:szCs w:val="21"/>
                      <w:highlight w:val="none"/>
                      <w:lang w:val="en-US" w:eastAsia="zh-CN"/>
                      <w14:textFill>
                        <w14:solidFill>
                          <w14:schemeClr w14:val="tx2"/>
                        </w14:solidFill>
                      </w14:textFill>
                    </w:rPr>
                  </w:pPr>
                </w:p>
              </w:tc>
              <w:tc>
                <w:tcPr>
                  <w:tcW w:w="638" w:type="pct"/>
                  <w:tcBorders>
                    <w:tl2br w:val="nil"/>
                    <w:tr2bl w:val="nil"/>
                  </w:tcBorders>
                  <w:noWrap w:val="0"/>
                  <w:vAlign w:val="center"/>
                </w:tcPr>
                <w:p w14:paraId="1DEAD81D">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eastAsia" w:ascii="Times New Roman" w:cs="Times New Roman"/>
                      <w:b w:val="0"/>
                      <w:bCs w:val="0"/>
                      <w:color w:val="1F497D" w:themeColor="text2"/>
                      <w:sz w:val="21"/>
                      <w:szCs w:val="21"/>
                      <w:highlight w:val="none"/>
                      <w:lang w:val="en-US" w:eastAsia="zh-CN"/>
                      <w14:textFill>
                        <w14:solidFill>
                          <w14:schemeClr w14:val="tx2"/>
                        </w14:solidFill>
                      </w14:textFill>
                    </w:rPr>
                  </w:pPr>
                  <w:r>
                    <w:rPr>
                      <w:rFonts w:hint="eastAsia" w:ascii="Times New Roman" w:cs="Times New Roman"/>
                      <w:b w:val="0"/>
                      <w:bCs w:val="0"/>
                      <w:color w:val="1F497D" w:themeColor="text2"/>
                      <w:sz w:val="21"/>
                      <w:szCs w:val="21"/>
                      <w:highlight w:val="none"/>
                      <w:lang w:val="en-US" w:eastAsia="zh-CN"/>
                      <w14:textFill>
                        <w14:solidFill>
                          <w14:schemeClr w14:val="tx2"/>
                        </w14:solidFill>
                      </w14:textFill>
                    </w:rPr>
                    <w:t>产生量（t/a）</w:t>
                  </w:r>
                </w:p>
              </w:tc>
              <w:tc>
                <w:tcPr>
                  <w:tcW w:w="575" w:type="pct"/>
                  <w:vMerge w:val="continue"/>
                  <w:tcBorders>
                    <w:tl2br w:val="nil"/>
                    <w:tr2bl w:val="nil"/>
                  </w:tcBorders>
                  <w:noWrap w:val="0"/>
                  <w:vAlign w:val="center"/>
                </w:tcPr>
                <w:p w14:paraId="4A08D684">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hAnsi="Times New Roman" w:cs="Times New Roman"/>
                      <w:b w:val="0"/>
                      <w:bCs w:val="0"/>
                      <w:color w:val="1F497D" w:themeColor="text2"/>
                      <w:sz w:val="21"/>
                      <w:szCs w:val="21"/>
                      <w:highlight w:val="none"/>
                      <w:lang w:val="en-US" w:eastAsia="zh-CN"/>
                      <w14:textFill>
                        <w14:solidFill>
                          <w14:schemeClr w14:val="tx2"/>
                        </w14:solidFill>
                      </w14:textFill>
                    </w:rPr>
                  </w:pPr>
                </w:p>
              </w:tc>
              <w:tc>
                <w:tcPr>
                  <w:tcW w:w="678" w:type="pct"/>
                  <w:tcBorders>
                    <w:tl2br w:val="nil"/>
                    <w:tr2bl w:val="nil"/>
                  </w:tcBorders>
                  <w:noWrap w:val="0"/>
                  <w:vAlign w:val="center"/>
                </w:tcPr>
                <w:p w14:paraId="4470BF2B">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hAnsi="Times New Roman" w:cs="Times New Roman"/>
                      <w:b w:val="0"/>
                      <w:bCs w:val="0"/>
                      <w:color w:val="1F497D" w:themeColor="text2"/>
                      <w:sz w:val="21"/>
                      <w:szCs w:val="21"/>
                      <w:highlight w:val="none"/>
                      <w:lang w:val="en-US" w:eastAsia="zh-CN"/>
                      <w14:textFill>
                        <w14:solidFill>
                          <w14:schemeClr w14:val="tx2"/>
                        </w14:solidFill>
                      </w14:textFill>
                    </w:rPr>
                  </w:pPr>
                  <w:r>
                    <w:rPr>
                      <w:rFonts w:hint="eastAsia" w:ascii="Times New Roman" w:cs="Times New Roman"/>
                      <w:b w:val="0"/>
                      <w:snapToGrid/>
                      <w:color w:val="1F497D" w:themeColor="text2"/>
                      <w:spacing w:val="4"/>
                      <w:kern w:val="18"/>
                      <w:sz w:val="21"/>
                      <w:szCs w:val="21"/>
                      <w:lang w:val="en-US" w:eastAsia="zh-CN" w:bidi="ar-SA"/>
                      <w14:textFill>
                        <w14:solidFill>
                          <w14:schemeClr w14:val="tx2"/>
                        </w14:solidFill>
                      </w14:textFill>
                    </w:rPr>
                    <w:t>/</w:t>
                  </w:r>
                </w:p>
              </w:tc>
              <w:tc>
                <w:tcPr>
                  <w:tcW w:w="678" w:type="pct"/>
                  <w:tcBorders>
                    <w:tl2br w:val="nil"/>
                    <w:tr2bl w:val="nil"/>
                  </w:tcBorders>
                  <w:noWrap w:val="0"/>
                  <w:vAlign w:val="center"/>
                </w:tcPr>
                <w:p w14:paraId="294E2EF7">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hAnsi="Times New Roman" w:cs="Times New Roman"/>
                      <w:b w:val="0"/>
                      <w:bCs w:val="0"/>
                      <w:color w:val="1F497D" w:themeColor="text2"/>
                      <w:sz w:val="21"/>
                      <w:szCs w:val="21"/>
                      <w:highlight w:val="none"/>
                      <w:lang w:val="en-US" w:eastAsia="zh-CN"/>
                      <w14:textFill>
                        <w14:solidFill>
                          <w14:schemeClr w14:val="tx2"/>
                        </w14:solidFill>
                      </w14:textFill>
                    </w:rPr>
                  </w:pPr>
                  <w:r>
                    <w:rPr>
                      <w:rFonts w:hint="eastAsia" w:ascii="Times New Roman" w:cs="Times New Roman"/>
                      <w:b w:val="0"/>
                      <w:snapToGrid/>
                      <w:color w:val="1F497D" w:themeColor="text2"/>
                      <w:spacing w:val="4"/>
                      <w:kern w:val="18"/>
                      <w:sz w:val="21"/>
                      <w:szCs w:val="21"/>
                      <w:lang w:val="en-US" w:eastAsia="zh-CN" w:bidi="ar-SA"/>
                      <w14:textFill>
                        <w14:solidFill>
                          <w14:schemeClr w14:val="tx2"/>
                        </w14:solidFill>
                      </w14:textFill>
                    </w:rPr>
                    <w:t>/</w:t>
                  </w:r>
                </w:p>
              </w:tc>
              <w:tc>
                <w:tcPr>
                  <w:tcW w:w="678" w:type="pct"/>
                  <w:tcBorders>
                    <w:tl2br w:val="nil"/>
                    <w:tr2bl w:val="nil"/>
                  </w:tcBorders>
                  <w:noWrap w:val="0"/>
                  <w:vAlign w:val="center"/>
                </w:tcPr>
                <w:p w14:paraId="3FF9D173">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cs="Times New Roman"/>
                      <w:b w:val="0"/>
                      <w:bCs w:val="0"/>
                      <w:color w:val="1F497D" w:themeColor="text2"/>
                      <w:sz w:val="21"/>
                      <w:szCs w:val="21"/>
                      <w:highlight w:val="none"/>
                      <w:lang w:val="en-US" w:eastAsia="zh-CN"/>
                      <w14:textFill>
                        <w14:solidFill>
                          <w14:schemeClr w14:val="tx2"/>
                        </w14:solidFill>
                      </w14:textFill>
                    </w:rPr>
                  </w:pPr>
                  <w:r>
                    <w:rPr>
                      <w:rFonts w:hint="eastAsia" w:ascii="Times New Roman" w:cs="Times New Roman"/>
                      <w:b w:val="0"/>
                      <w:bCs w:val="0"/>
                      <w:color w:val="1F497D" w:themeColor="text2"/>
                      <w:sz w:val="21"/>
                      <w:szCs w:val="21"/>
                      <w:highlight w:val="none"/>
                      <w:lang w:val="en-US" w:eastAsia="zh-CN"/>
                      <w14:textFill>
                        <w14:solidFill>
                          <w14:schemeClr w14:val="tx2"/>
                        </w14:solidFill>
                      </w14:textFill>
                    </w:rPr>
                    <w:t>0.004</w:t>
                  </w:r>
                </w:p>
              </w:tc>
              <w:tc>
                <w:tcPr>
                  <w:tcW w:w="678" w:type="pct"/>
                  <w:tcBorders>
                    <w:tl2br w:val="nil"/>
                    <w:tr2bl w:val="nil"/>
                  </w:tcBorders>
                  <w:noWrap w:val="0"/>
                  <w:vAlign w:val="center"/>
                </w:tcPr>
                <w:p w14:paraId="2F6EB6D9">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hAnsi="Times New Roman" w:cs="Times New Roman"/>
                      <w:b w:val="0"/>
                      <w:bCs w:val="0"/>
                      <w:color w:val="1F497D" w:themeColor="text2"/>
                      <w:sz w:val="21"/>
                      <w:szCs w:val="21"/>
                      <w:highlight w:val="none"/>
                      <w:lang w:val="en-US" w:eastAsia="zh-CN"/>
                      <w14:textFill>
                        <w14:solidFill>
                          <w14:schemeClr w14:val="tx2"/>
                        </w14:solidFill>
                      </w14:textFill>
                    </w:rPr>
                  </w:pPr>
                  <w:r>
                    <w:rPr>
                      <w:rFonts w:hint="eastAsia" w:ascii="Times New Roman" w:hAnsi="Times New Roman" w:cs="Times New Roman"/>
                      <w:b w:val="0"/>
                      <w:bCs w:val="0"/>
                      <w:color w:val="1F497D" w:themeColor="text2"/>
                      <w:sz w:val="21"/>
                      <w:szCs w:val="21"/>
                      <w:highlight w:val="none"/>
                      <w:lang w:val="en-US" w:eastAsia="zh-CN"/>
                      <w14:textFill>
                        <w14:solidFill>
                          <w14:schemeClr w14:val="tx2"/>
                        </w14:solidFill>
                      </w14:textFill>
                    </w:rPr>
                    <w:t>0.002</w:t>
                  </w:r>
                </w:p>
              </w:tc>
              <w:tc>
                <w:tcPr>
                  <w:tcW w:w="680" w:type="pct"/>
                  <w:tcBorders>
                    <w:tl2br w:val="nil"/>
                    <w:tr2bl w:val="nil"/>
                  </w:tcBorders>
                  <w:noWrap w:val="0"/>
                  <w:vAlign w:val="center"/>
                </w:tcPr>
                <w:p w14:paraId="718F2D1E">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hAnsi="Times New Roman" w:cs="Times New Roman"/>
                      <w:b w:val="0"/>
                      <w:bCs w:val="0"/>
                      <w:color w:val="1F497D" w:themeColor="text2"/>
                      <w:sz w:val="21"/>
                      <w:szCs w:val="21"/>
                      <w:highlight w:val="none"/>
                      <w:vertAlign w:val="baseline"/>
                      <w:lang w:val="en-US" w:eastAsia="zh-CN"/>
                      <w14:textFill>
                        <w14:solidFill>
                          <w14:schemeClr w14:val="tx2"/>
                        </w14:solidFill>
                      </w14:textFill>
                    </w:rPr>
                  </w:pPr>
                  <w:r>
                    <w:rPr>
                      <w:rFonts w:hint="eastAsia" w:ascii="Times New Roman" w:cs="Times New Roman"/>
                      <w:b w:val="0"/>
                      <w:snapToGrid/>
                      <w:color w:val="1F497D" w:themeColor="text2"/>
                      <w:spacing w:val="4"/>
                      <w:kern w:val="18"/>
                      <w:sz w:val="21"/>
                      <w:szCs w:val="21"/>
                      <w:lang w:val="en-US" w:eastAsia="zh-CN" w:bidi="ar-SA"/>
                      <w14:textFill>
                        <w14:solidFill>
                          <w14:schemeClr w14:val="tx2"/>
                        </w14:solidFill>
                      </w14:textFill>
                    </w:rPr>
                    <w:t>/</w:t>
                  </w:r>
                </w:p>
              </w:tc>
            </w:tr>
            <w:tr w14:paraId="2FFF8F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3" w:type="pct"/>
                  <w:vMerge w:val="continue"/>
                  <w:tcBorders>
                    <w:tl2br w:val="nil"/>
                    <w:tr2bl w:val="nil"/>
                  </w:tcBorders>
                  <w:noWrap w:val="0"/>
                  <w:vAlign w:val="center"/>
                </w:tcPr>
                <w:p w14:paraId="4B7853F7">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eastAsia" w:ascii="Times New Roman" w:cs="Times New Roman"/>
                      <w:b w:val="0"/>
                      <w:snapToGrid/>
                      <w:color w:val="1F497D" w:themeColor="text2"/>
                      <w:spacing w:val="4"/>
                      <w:kern w:val="18"/>
                      <w:sz w:val="21"/>
                      <w:szCs w:val="21"/>
                      <w:lang w:val="en-US" w:eastAsia="zh-CN" w:bidi="ar-SA"/>
                      <w14:textFill>
                        <w14:solidFill>
                          <w14:schemeClr w14:val="tx2"/>
                        </w14:solidFill>
                      </w14:textFill>
                    </w:rPr>
                  </w:pPr>
                </w:p>
              </w:tc>
              <w:tc>
                <w:tcPr>
                  <w:tcW w:w="638" w:type="pct"/>
                  <w:tcBorders>
                    <w:tl2br w:val="nil"/>
                    <w:tr2bl w:val="nil"/>
                  </w:tcBorders>
                  <w:noWrap w:val="0"/>
                  <w:vAlign w:val="center"/>
                </w:tcPr>
                <w:p w14:paraId="403917E8">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eastAsia" w:ascii="Times New Roman" w:cs="Times New Roman"/>
                      <w:b w:val="0"/>
                      <w:snapToGrid/>
                      <w:color w:val="1F497D" w:themeColor="text2"/>
                      <w:spacing w:val="4"/>
                      <w:kern w:val="18"/>
                      <w:sz w:val="21"/>
                      <w:szCs w:val="21"/>
                      <w:lang w:val="en-US" w:eastAsia="zh-CN" w:bidi="ar-SA"/>
                      <w14:textFill>
                        <w14:solidFill>
                          <w14:schemeClr w14:val="tx2"/>
                        </w14:solidFill>
                      </w14:textFill>
                    </w:rPr>
                  </w:pPr>
                  <w:r>
                    <w:rPr>
                      <w:rFonts w:hint="eastAsia"/>
                      <w:color w:val="1F497D" w:themeColor="text2"/>
                      <w:sz w:val="21"/>
                      <w:szCs w:val="21"/>
                      <w:vertAlign w:val="baseline"/>
                      <w14:textFill>
                        <w14:solidFill>
                          <w14:schemeClr w14:val="tx2"/>
                        </w14:solidFill>
                      </w14:textFill>
                    </w:rPr>
                    <w:t>治理设施</w:t>
                  </w:r>
                </w:p>
              </w:tc>
              <w:tc>
                <w:tcPr>
                  <w:tcW w:w="3968" w:type="pct"/>
                  <w:gridSpan w:val="6"/>
                  <w:tcBorders>
                    <w:tl2br w:val="nil"/>
                    <w:tr2bl w:val="nil"/>
                  </w:tcBorders>
                  <w:noWrap w:val="0"/>
                  <w:vAlign w:val="center"/>
                </w:tcPr>
                <w:p w14:paraId="08D57008">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eastAsia" w:ascii="Times New Roman" w:cs="Times New Roman"/>
                      <w:b w:val="0"/>
                      <w:snapToGrid/>
                      <w:color w:val="1F497D" w:themeColor="text2"/>
                      <w:spacing w:val="4"/>
                      <w:kern w:val="18"/>
                      <w:sz w:val="21"/>
                      <w:szCs w:val="21"/>
                      <w:lang w:val="en-US" w:eastAsia="zh-CN" w:bidi="ar-SA"/>
                      <w14:textFill>
                        <w14:solidFill>
                          <w14:schemeClr w14:val="tx2"/>
                        </w14:solidFill>
                      </w14:textFill>
                    </w:rPr>
                  </w:pPr>
                  <w:r>
                    <w:rPr>
                      <w:rFonts w:hint="eastAsia" w:ascii="Times New Roman" w:cs="Times New Roman"/>
                      <w:b w:val="0"/>
                      <w:snapToGrid/>
                      <w:color w:val="1F497D" w:themeColor="text2"/>
                      <w:spacing w:val="4"/>
                      <w:kern w:val="18"/>
                      <w:sz w:val="21"/>
                      <w:szCs w:val="21"/>
                      <w:lang w:val="en-US" w:eastAsia="zh-CN" w:bidi="ar-SA"/>
                      <w14:textFill>
                        <w14:solidFill>
                          <w14:schemeClr w14:val="tx2"/>
                        </w14:solidFill>
                      </w14:textFill>
                    </w:rPr>
                    <w:t>隔油池</w:t>
                  </w:r>
                </w:p>
              </w:tc>
            </w:tr>
            <w:tr w14:paraId="4EF1C3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3" w:type="pct"/>
                  <w:vMerge w:val="continue"/>
                  <w:tcBorders>
                    <w:tl2br w:val="nil"/>
                    <w:tr2bl w:val="nil"/>
                  </w:tcBorders>
                  <w:noWrap w:val="0"/>
                  <w:vAlign w:val="center"/>
                </w:tcPr>
                <w:p w14:paraId="054CFF10">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cs="Times New Roman"/>
                      <w:b w:val="0"/>
                      <w:bCs w:val="0"/>
                      <w:color w:val="1F497D" w:themeColor="text2"/>
                      <w:sz w:val="21"/>
                      <w:szCs w:val="21"/>
                      <w:highlight w:val="none"/>
                      <w:lang w:val="en-US" w:eastAsia="zh-CN"/>
                      <w14:textFill>
                        <w14:solidFill>
                          <w14:schemeClr w14:val="tx2"/>
                        </w14:solidFill>
                      </w14:textFill>
                    </w:rPr>
                  </w:pPr>
                </w:p>
              </w:tc>
              <w:tc>
                <w:tcPr>
                  <w:tcW w:w="638" w:type="pct"/>
                  <w:tcBorders>
                    <w:tl2br w:val="nil"/>
                    <w:tr2bl w:val="nil"/>
                  </w:tcBorders>
                  <w:noWrap w:val="0"/>
                  <w:vAlign w:val="center"/>
                </w:tcPr>
                <w:p w14:paraId="397975C1">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eastAsia" w:ascii="Times New Roman" w:cs="Times New Roman"/>
                      <w:b w:val="0"/>
                      <w:bCs w:val="0"/>
                      <w:color w:val="1F497D" w:themeColor="text2"/>
                      <w:sz w:val="21"/>
                      <w:szCs w:val="21"/>
                      <w:highlight w:val="none"/>
                      <w:lang w:val="en-US" w:eastAsia="zh-CN"/>
                      <w14:textFill>
                        <w14:solidFill>
                          <w14:schemeClr w14:val="tx2"/>
                        </w14:solidFill>
                      </w14:textFill>
                    </w:rPr>
                  </w:pPr>
                  <w:r>
                    <w:rPr>
                      <w:rFonts w:hint="eastAsia"/>
                      <w:color w:val="1F497D" w:themeColor="text2"/>
                      <w:sz w:val="21"/>
                      <w:szCs w:val="21"/>
                      <w:vertAlign w:val="baseline"/>
                      <w14:textFill>
                        <w14:solidFill>
                          <w14:schemeClr w14:val="tx2"/>
                        </w14:solidFill>
                      </w14:textFill>
                    </w:rPr>
                    <w:t>治理效率（%）</w:t>
                  </w:r>
                </w:p>
              </w:tc>
              <w:tc>
                <w:tcPr>
                  <w:tcW w:w="575" w:type="pct"/>
                  <w:tcBorders>
                    <w:tl2br w:val="nil"/>
                    <w:tr2bl w:val="nil"/>
                  </w:tcBorders>
                  <w:noWrap w:val="0"/>
                  <w:vAlign w:val="center"/>
                </w:tcPr>
                <w:p w14:paraId="46CE218F">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cs="Times New Roman"/>
                      <w:b w:val="0"/>
                      <w:bCs w:val="0"/>
                      <w:color w:val="1F497D" w:themeColor="text2"/>
                      <w:sz w:val="21"/>
                      <w:szCs w:val="21"/>
                      <w:highlight w:val="none"/>
                      <w:lang w:val="en-US" w:eastAsia="zh-CN"/>
                      <w14:textFill>
                        <w14:solidFill>
                          <w14:schemeClr w14:val="tx2"/>
                        </w14:solidFill>
                      </w14:textFill>
                    </w:rPr>
                  </w:pPr>
                  <w:r>
                    <w:rPr>
                      <w:rFonts w:hint="eastAsia"/>
                      <w:color w:val="1F497D" w:themeColor="text2"/>
                      <w:sz w:val="21"/>
                      <w:szCs w:val="21"/>
                      <w:vertAlign w:val="baseline"/>
                      <w14:textFill>
                        <w14:solidFill>
                          <w14:schemeClr w14:val="tx2"/>
                        </w14:solidFill>
                      </w14:textFill>
                    </w:rPr>
                    <w:t>/</w:t>
                  </w:r>
                </w:p>
              </w:tc>
              <w:tc>
                <w:tcPr>
                  <w:tcW w:w="678" w:type="pct"/>
                  <w:tcBorders>
                    <w:tl2br w:val="nil"/>
                    <w:tr2bl w:val="nil"/>
                  </w:tcBorders>
                  <w:noWrap w:val="0"/>
                  <w:vAlign w:val="center"/>
                </w:tcPr>
                <w:p w14:paraId="28E6F1B6">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cs="Times New Roman"/>
                      <w:b w:val="0"/>
                      <w:bCs w:val="0"/>
                      <w:color w:val="1F497D" w:themeColor="text2"/>
                      <w:sz w:val="21"/>
                      <w:szCs w:val="21"/>
                      <w:highlight w:val="none"/>
                      <w:lang w:val="en-US" w:eastAsia="zh-CN"/>
                      <w14:textFill>
                        <w14:solidFill>
                          <w14:schemeClr w14:val="tx2"/>
                        </w14:solidFill>
                      </w14:textFill>
                    </w:rPr>
                  </w:pPr>
                  <w:r>
                    <w:rPr>
                      <w:rFonts w:hint="eastAsia" w:ascii="Times New Roman" w:cs="Times New Roman"/>
                      <w:b w:val="0"/>
                      <w:snapToGrid/>
                      <w:color w:val="1F497D" w:themeColor="text2"/>
                      <w:spacing w:val="4"/>
                      <w:kern w:val="18"/>
                      <w:sz w:val="21"/>
                      <w:szCs w:val="21"/>
                      <w:lang w:val="en-US" w:eastAsia="zh-CN" w:bidi="ar-SA"/>
                      <w14:textFill>
                        <w14:solidFill>
                          <w14:schemeClr w14:val="tx2"/>
                        </w14:solidFill>
                      </w14:textFill>
                    </w:rPr>
                    <w:t>/</w:t>
                  </w:r>
                </w:p>
              </w:tc>
              <w:tc>
                <w:tcPr>
                  <w:tcW w:w="678" w:type="pct"/>
                  <w:tcBorders>
                    <w:tl2br w:val="nil"/>
                    <w:tr2bl w:val="nil"/>
                  </w:tcBorders>
                  <w:noWrap w:val="0"/>
                  <w:vAlign w:val="center"/>
                </w:tcPr>
                <w:p w14:paraId="11114C62">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cs="Times New Roman"/>
                      <w:b w:val="0"/>
                      <w:bCs w:val="0"/>
                      <w:color w:val="1F497D" w:themeColor="text2"/>
                      <w:sz w:val="21"/>
                      <w:szCs w:val="21"/>
                      <w:highlight w:val="none"/>
                      <w:lang w:val="en-US" w:eastAsia="zh-CN"/>
                      <w14:textFill>
                        <w14:solidFill>
                          <w14:schemeClr w14:val="tx2"/>
                        </w14:solidFill>
                      </w14:textFill>
                    </w:rPr>
                  </w:pPr>
                  <w:r>
                    <w:rPr>
                      <w:rFonts w:hint="eastAsia" w:ascii="Times New Roman" w:cs="Times New Roman"/>
                      <w:b w:val="0"/>
                      <w:snapToGrid/>
                      <w:color w:val="1F497D" w:themeColor="text2"/>
                      <w:spacing w:val="4"/>
                      <w:kern w:val="18"/>
                      <w:sz w:val="21"/>
                      <w:szCs w:val="21"/>
                      <w:lang w:val="en-US" w:eastAsia="zh-CN" w:bidi="ar-SA"/>
                      <w14:textFill>
                        <w14:solidFill>
                          <w14:schemeClr w14:val="tx2"/>
                        </w14:solidFill>
                      </w14:textFill>
                    </w:rPr>
                    <w:t>/</w:t>
                  </w:r>
                </w:p>
              </w:tc>
              <w:tc>
                <w:tcPr>
                  <w:tcW w:w="678" w:type="pct"/>
                  <w:tcBorders>
                    <w:tl2br w:val="nil"/>
                    <w:tr2bl w:val="nil"/>
                  </w:tcBorders>
                  <w:noWrap w:val="0"/>
                  <w:vAlign w:val="center"/>
                </w:tcPr>
                <w:p w14:paraId="476C2317">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cs="Times New Roman"/>
                      <w:b w:val="0"/>
                      <w:bCs w:val="0"/>
                      <w:color w:val="1F497D" w:themeColor="text2"/>
                      <w:sz w:val="21"/>
                      <w:szCs w:val="21"/>
                      <w:highlight w:val="none"/>
                      <w:lang w:val="en-US" w:eastAsia="zh-CN"/>
                      <w14:textFill>
                        <w14:solidFill>
                          <w14:schemeClr w14:val="tx2"/>
                        </w14:solidFill>
                      </w14:textFill>
                    </w:rPr>
                  </w:pPr>
                  <w:r>
                    <w:rPr>
                      <w:rFonts w:hint="eastAsia" w:ascii="Times New Roman" w:cs="Times New Roman"/>
                      <w:b w:val="0"/>
                      <w:snapToGrid/>
                      <w:color w:val="1F497D" w:themeColor="text2"/>
                      <w:spacing w:val="4"/>
                      <w:kern w:val="18"/>
                      <w:sz w:val="21"/>
                      <w:szCs w:val="21"/>
                      <w:lang w:val="en-US" w:eastAsia="zh-CN" w:bidi="ar-SA"/>
                      <w14:textFill>
                        <w14:solidFill>
                          <w14:schemeClr w14:val="tx2"/>
                        </w14:solidFill>
                      </w14:textFill>
                    </w:rPr>
                    <w:t>50</w:t>
                  </w:r>
                </w:p>
              </w:tc>
              <w:tc>
                <w:tcPr>
                  <w:tcW w:w="678" w:type="pct"/>
                  <w:tcBorders>
                    <w:tl2br w:val="nil"/>
                    <w:tr2bl w:val="nil"/>
                  </w:tcBorders>
                  <w:noWrap w:val="0"/>
                  <w:vAlign w:val="center"/>
                </w:tcPr>
                <w:p w14:paraId="2924912F">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cs="Times New Roman"/>
                      <w:b w:val="0"/>
                      <w:snapToGrid/>
                      <w:color w:val="1F497D" w:themeColor="text2"/>
                      <w:spacing w:val="4"/>
                      <w:kern w:val="18"/>
                      <w:sz w:val="21"/>
                      <w:szCs w:val="21"/>
                      <w:lang w:val="en-US" w:eastAsia="zh-CN" w:bidi="ar-SA"/>
                      <w14:textFill>
                        <w14:solidFill>
                          <w14:schemeClr w14:val="tx2"/>
                        </w14:solidFill>
                      </w14:textFill>
                    </w:rPr>
                  </w:pPr>
                  <w:r>
                    <w:rPr>
                      <w:rFonts w:hint="eastAsia" w:ascii="Times New Roman" w:cs="Times New Roman"/>
                      <w:b w:val="0"/>
                      <w:snapToGrid/>
                      <w:color w:val="1F497D" w:themeColor="text2"/>
                      <w:spacing w:val="4"/>
                      <w:kern w:val="18"/>
                      <w:sz w:val="21"/>
                      <w:szCs w:val="21"/>
                      <w:lang w:val="en-US" w:eastAsia="zh-CN" w:bidi="ar-SA"/>
                      <w14:textFill>
                        <w14:solidFill>
                          <w14:schemeClr w14:val="tx2"/>
                        </w14:solidFill>
                      </w14:textFill>
                    </w:rPr>
                    <w:t>80</w:t>
                  </w:r>
                </w:p>
              </w:tc>
              <w:tc>
                <w:tcPr>
                  <w:tcW w:w="680" w:type="pct"/>
                  <w:tcBorders>
                    <w:tl2br w:val="nil"/>
                    <w:tr2bl w:val="nil"/>
                  </w:tcBorders>
                  <w:noWrap w:val="0"/>
                  <w:vAlign w:val="center"/>
                </w:tcPr>
                <w:p w14:paraId="6C180B76">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eastAsia" w:ascii="Times New Roman" w:cs="Times New Roman"/>
                      <w:b w:val="0"/>
                      <w:snapToGrid/>
                      <w:color w:val="1F497D" w:themeColor="text2"/>
                      <w:spacing w:val="4"/>
                      <w:kern w:val="18"/>
                      <w:sz w:val="21"/>
                      <w:szCs w:val="21"/>
                      <w:lang w:val="en-US" w:eastAsia="zh-CN" w:bidi="ar-SA"/>
                      <w14:textFill>
                        <w14:solidFill>
                          <w14:schemeClr w14:val="tx2"/>
                        </w14:solidFill>
                      </w14:textFill>
                    </w:rPr>
                  </w:pPr>
                  <w:r>
                    <w:rPr>
                      <w:rFonts w:hint="eastAsia" w:ascii="Times New Roman" w:cs="Times New Roman"/>
                      <w:b w:val="0"/>
                      <w:snapToGrid/>
                      <w:color w:val="1F497D" w:themeColor="text2"/>
                      <w:spacing w:val="4"/>
                      <w:kern w:val="18"/>
                      <w:sz w:val="21"/>
                      <w:szCs w:val="21"/>
                      <w:lang w:val="en-US" w:eastAsia="zh-CN" w:bidi="ar-SA"/>
                      <w14:textFill>
                        <w14:solidFill>
                          <w14:schemeClr w14:val="tx2"/>
                        </w14:solidFill>
                      </w14:textFill>
                    </w:rPr>
                    <w:t>/</w:t>
                  </w:r>
                </w:p>
              </w:tc>
            </w:tr>
            <w:tr w14:paraId="061AE4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3" w:type="pct"/>
                  <w:vMerge w:val="continue"/>
                  <w:tcBorders>
                    <w:tl2br w:val="nil"/>
                    <w:tr2bl w:val="nil"/>
                  </w:tcBorders>
                  <w:noWrap w:val="0"/>
                  <w:vAlign w:val="center"/>
                </w:tcPr>
                <w:p w14:paraId="3BE76351">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color w:val="1F497D" w:themeColor="text2"/>
                      <w:sz w:val="21"/>
                      <w:szCs w:val="21"/>
                      <w14:textFill>
                        <w14:solidFill>
                          <w14:schemeClr w14:val="tx2"/>
                        </w14:solidFill>
                      </w14:textFill>
                    </w:rPr>
                  </w:pPr>
                </w:p>
              </w:tc>
              <w:tc>
                <w:tcPr>
                  <w:tcW w:w="638" w:type="pct"/>
                  <w:tcBorders>
                    <w:tl2br w:val="nil"/>
                    <w:tr2bl w:val="nil"/>
                  </w:tcBorders>
                  <w:noWrap w:val="0"/>
                  <w:vAlign w:val="center"/>
                </w:tcPr>
                <w:p w14:paraId="18E0EA8F">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eastAsia"/>
                      <w:color w:val="1F497D" w:themeColor="text2"/>
                      <w:sz w:val="21"/>
                      <w:szCs w:val="21"/>
                      <w:vertAlign w:val="baseline"/>
                      <w14:textFill>
                        <w14:solidFill>
                          <w14:schemeClr w14:val="tx2"/>
                        </w14:solidFill>
                      </w14:textFill>
                    </w:rPr>
                  </w:pPr>
                  <w:r>
                    <w:rPr>
                      <w:rFonts w:hint="eastAsia"/>
                      <w:color w:val="1F497D" w:themeColor="text2"/>
                      <w:sz w:val="21"/>
                      <w:szCs w:val="21"/>
                      <w:vertAlign w:val="baseline"/>
                      <w14:textFill>
                        <w14:solidFill>
                          <w14:schemeClr w14:val="tx2"/>
                        </w14:solidFill>
                      </w14:textFill>
                    </w:rPr>
                    <w:t>是否为可行技术</w:t>
                  </w:r>
                </w:p>
              </w:tc>
              <w:tc>
                <w:tcPr>
                  <w:tcW w:w="3968" w:type="pct"/>
                  <w:gridSpan w:val="6"/>
                  <w:tcBorders>
                    <w:tl2br w:val="nil"/>
                    <w:tr2bl w:val="nil"/>
                  </w:tcBorders>
                  <w:noWrap w:val="0"/>
                  <w:vAlign w:val="center"/>
                </w:tcPr>
                <w:p w14:paraId="635112F8">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eastAsia" w:eastAsia="宋体"/>
                      <w:color w:val="1F497D" w:themeColor="text2"/>
                      <w:sz w:val="21"/>
                      <w:szCs w:val="21"/>
                      <w:vertAlign w:val="baseline"/>
                      <w:lang w:val="en-US" w:eastAsia="zh-CN"/>
                      <w14:textFill>
                        <w14:solidFill>
                          <w14:schemeClr w14:val="tx2"/>
                        </w14:solidFill>
                      </w14:textFill>
                    </w:rPr>
                  </w:pPr>
                  <w:r>
                    <w:rPr>
                      <w:rFonts w:hint="eastAsia"/>
                      <w:color w:val="1F497D" w:themeColor="text2"/>
                      <w:sz w:val="21"/>
                      <w:szCs w:val="21"/>
                      <w:vertAlign w:val="baseline"/>
                      <w:lang w:val="en-US" w:eastAsia="zh-CN"/>
                      <w14:textFill>
                        <w14:solidFill>
                          <w14:schemeClr w14:val="tx2"/>
                        </w14:solidFill>
                      </w14:textFill>
                    </w:rPr>
                    <w:t>是</w:t>
                  </w:r>
                </w:p>
              </w:tc>
            </w:tr>
            <w:tr w14:paraId="7E8B55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393" w:type="pct"/>
                  <w:vMerge w:val="continue"/>
                  <w:tcBorders>
                    <w:tl2br w:val="nil"/>
                    <w:tr2bl w:val="nil"/>
                  </w:tcBorders>
                  <w:noWrap w:val="0"/>
                  <w:vAlign w:val="center"/>
                </w:tcPr>
                <w:p w14:paraId="2026867F">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cs="Times New Roman"/>
                      <w:b w:val="0"/>
                      <w:bCs w:val="0"/>
                      <w:color w:val="1F497D" w:themeColor="text2"/>
                      <w:sz w:val="21"/>
                      <w:szCs w:val="21"/>
                      <w:highlight w:val="none"/>
                      <w:lang w:val="en-US" w:eastAsia="zh-CN"/>
                      <w14:textFill>
                        <w14:solidFill>
                          <w14:schemeClr w14:val="tx2"/>
                        </w14:solidFill>
                      </w14:textFill>
                    </w:rPr>
                  </w:pPr>
                </w:p>
              </w:tc>
              <w:tc>
                <w:tcPr>
                  <w:tcW w:w="638" w:type="pct"/>
                  <w:tcBorders>
                    <w:tl2br w:val="nil"/>
                    <w:tr2bl w:val="nil"/>
                  </w:tcBorders>
                  <w:noWrap w:val="0"/>
                  <w:vAlign w:val="center"/>
                </w:tcPr>
                <w:p w14:paraId="0DB1CCEE">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eastAsia" w:ascii="Times New Roman" w:cs="Times New Roman"/>
                      <w:b w:val="0"/>
                      <w:bCs w:val="0"/>
                      <w:color w:val="1F497D" w:themeColor="text2"/>
                      <w:sz w:val="21"/>
                      <w:szCs w:val="21"/>
                      <w:highlight w:val="none"/>
                      <w:lang w:val="en-US" w:eastAsia="zh-CN"/>
                      <w14:textFill>
                        <w14:solidFill>
                          <w14:schemeClr w14:val="tx2"/>
                        </w14:solidFill>
                      </w14:textFill>
                    </w:rPr>
                  </w:pPr>
                  <w:r>
                    <w:rPr>
                      <w:color w:val="1F497D" w:themeColor="text2"/>
                      <w:sz w:val="21"/>
                      <w:szCs w:val="21"/>
                      <w:vertAlign w:val="baseline"/>
                      <w14:textFill>
                        <w14:solidFill>
                          <w14:schemeClr w14:val="tx2"/>
                        </w14:solidFill>
                      </w14:textFill>
                    </w:rPr>
                    <w:t>排放浓度</w:t>
                  </w:r>
                  <w:r>
                    <w:rPr>
                      <w:rFonts w:hint="eastAsia"/>
                      <w:color w:val="1F497D" w:themeColor="text2"/>
                      <w:sz w:val="21"/>
                      <w:szCs w:val="21"/>
                      <w:vertAlign w:val="baseline"/>
                      <w:lang w:eastAsia="zh-CN"/>
                      <w14:textFill>
                        <w14:solidFill>
                          <w14:schemeClr w14:val="tx2"/>
                        </w14:solidFill>
                      </w14:textFill>
                    </w:rPr>
                    <w:t>（</w:t>
                  </w:r>
                  <w:r>
                    <w:rPr>
                      <w:color w:val="1F497D" w:themeColor="text2"/>
                      <w:sz w:val="21"/>
                      <w:szCs w:val="21"/>
                      <w:vertAlign w:val="baseline"/>
                      <w14:textFill>
                        <w14:solidFill>
                          <w14:schemeClr w14:val="tx2"/>
                        </w14:solidFill>
                      </w14:textFill>
                    </w:rPr>
                    <w:t>mg/L</w:t>
                  </w:r>
                  <w:r>
                    <w:rPr>
                      <w:rFonts w:hint="eastAsia"/>
                      <w:color w:val="1F497D" w:themeColor="text2"/>
                      <w:sz w:val="21"/>
                      <w:szCs w:val="21"/>
                      <w:vertAlign w:val="baseline"/>
                      <w:lang w:eastAsia="zh-CN"/>
                      <w14:textFill>
                        <w14:solidFill>
                          <w14:schemeClr w14:val="tx2"/>
                        </w14:solidFill>
                      </w14:textFill>
                    </w:rPr>
                    <w:t>）</w:t>
                  </w:r>
                </w:p>
              </w:tc>
              <w:tc>
                <w:tcPr>
                  <w:tcW w:w="575" w:type="pct"/>
                  <w:vMerge w:val="restart"/>
                  <w:tcBorders>
                    <w:tl2br w:val="nil"/>
                    <w:tr2bl w:val="nil"/>
                  </w:tcBorders>
                  <w:noWrap w:val="0"/>
                  <w:vAlign w:val="center"/>
                </w:tcPr>
                <w:p w14:paraId="1C157141">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cs="Times New Roman"/>
                      <w:b w:val="0"/>
                      <w:bCs w:val="0"/>
                      <w:color w:val="1F497D" w:themeColor="text2"/>
                      <w:sz w:val="21"/>
                      <w:szCs w:val="21"/>
                      <w:highlight w:val="none"/>
                      <w:lang w:val="en-US" w:eastAsia="zh-CN"/>
                      <w14:textFill>
                        <w14:solidFill>
                          <w14:schemeClr w14:val="tx2"/>
                        </w14:solidFill>
                      </w14:textFill>
                    </w:rPr>
                  </w:pPr>
                  <w:r>
                    <w:rPr>
                      <w:rFonts w:hint="default" w:ascii="Times New Roman" w:cs="Times New Roman"/>
                      <w:b w:val="0"/>
                      <w:bCs w:val="0"/>
                      <w:color w:val="1F497D" w:themeColor="text2"/>
                      <w:sz w:val="21"/>
                      <w:szCs w:val="21"/>
                      <w:highlight w:val="none"/>
                      <w:lang w:val="en-US" w:eastAsia="zh-CN"/>
                      <w14:textFill>
                        <w14:solidFill>
                          <w14:schemeClr w14:val="tx2"/>
                        </w14:solidFill>
                      </w14:textFill>
                    </w:rPr>
                    <w:t>37.824</w:t>
                  </w:r>
                </w:p>
              </w:tc>
              <w:tc>
                <w:tcPr>
                  <w:tcW w:w="678" w:type="pct"/>
                  <w:tcBorders>
                    <w:tl2br w:val="nil"/>
                    <w:tr2bl w:val="nil"/>
                  </w:tcBorders>
                  <w:noWrap w:val="0"/>
                  <w:vAlign w:val="center"/>
                </w:tcPr>
                <w:p w14:paraId="4BF27329">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cs="Times New Roman"/>
                      <w:b w:val="0"/>
                      <w:bCs w:val="0"/>
                      <w:color w:val="1F497D" w:themeColor="text2"/>
                      <w:sz w:val="21"/>
                      <w:szCs w:val="21"/>
                      <w:highlight w:val="none"/>
                      <w:lang w:val="en-US" w:eastAsia="zh-CN"/>
                      <w14:textFill>
                        <w14:solidFill>
                          <w14:schemeClr w14:val="tx2"/>
                        </w14:solidFill>
                      </w14:textFill>
                    </w:rPr>
                  </w:pPr>
                  <w:r>
                    <w:rPr>
                      <w:rFonts w:hint="eastAsia" w:ascii="Times New Roman" w:cs="Times New Roman"/>
                      <w:b w:val="0"/>
                      <w:snapToGrid/>
                      <w:color w:val="1F497D" w:themeColor="text2"/>
                      <w:spacing w:val="4"/>
                      <w:kern w:val="18"/>
                      <w:sz w:val="21"/>
                      <w:szCs w:val="21"/>
                      <w:lang w:val="en-US" w:eastAsia="zh-CN" w:bidi="ar-SA"/>
                      <w14:textFill>
                        <w14:solidFill>
                          <w14:schemeClr w14:val="tx2"/>
                        </w14:solidFill>
                      </w14:textFill>
                    </w:rPr>
                    <w:t>/</w:t>
                  </w:r>
                </w:p>
              </w:tc>
              <w:tc>
                <w:tcPr>
                  <w:tcW w:w="678" w:type="pct"/>
                  <w:tcBorders>
                    <w:tl2br w:val="nil"/>
                    <w:tr2bl w:val="nil"/>
                  </w:tcBorders>
                  <w:noWrap w:val="0"/>
                  <w:vAlign w:val="center"/>
                </w:tcPr>
                <w:p w14:paraId="1D530E93">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cs="Times New Roman"/>
                      <w:b w:val="0"/>
                      <w:bCs w:val="0"/>
                      <w:color w:val="1F497D" w:themeColor="text2"/>
                      <w:sz w:val="21"/>
                      <w:szCs w:val="21"/>
                      <w:highlight w:val="none"/>
                      <w:lang w:val="en-US" w:eastAsia="zh-CN"/>
                      <w14:textFill>
                        <w14:solidFill>
                          <w14:schemeClr w14:val="tx2"/>
                        </w14:solidFill>
                      </w14:textFill>
                    </w:rPr>
                  </w:pPr>
                  <w:r>
                    <w:rPr>
                      <w:rFonts w:hint="eastAsia" w:ascii="Times New Roman" w:cs="Times New Roman"/>
                      <w:b w:val="0"/>
                      <w:snapToGrid/>
                      <w:color w:val="1F497D" w:themeColor="text2"/>
                      <w:spacing w:val="4"/>
                      <w:kern w:val="18"/>
                      <w:sz w:val="21"/>
                      <w:szCs w:val="21"/>
                      <w:lang w:val="en-US" w:eastAsia="zh-CN" w:bidi="ar-SA"/>
                      <w14:textFill>
                        <w14:solidFill>
                          <w14:schemeClr w14:val="tx2"/>
                        </w14:solidFill>
                      </w14:textFill>
                    </w:rPr>
                    <w:t>/</w:t>
                  </w:r>
                </w:p>
              </w:tc>
              <w:tc>
                <w:tcPr>
                  <w:tcW w:w="678" w:type="pct"/>
                  <w:tcBorders>
                    <w:tl2br w:val="nil"/>
                    <w:tr2bl w:val="nil"/>
                  </w:tcBorders>
                  <w:noWrap w:val="0"/>
                  <w:vAlign w:val="center"/>
                </w:tcPr>
                <w:p w14:paraId="34DB0BCB">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cs="Times New Roman"/>
                      <w:b w:val="0"/>
                      <w:bCs w:val="0"/>
                      <w:color w:val="1F497D" w:themeColor="text2"/>
                      <w:sz w:val="21"/>
                      <w:szCs w:val="21"/>
                      <w:highlight w:val="none"/>
                      <w:lang w:val="en-US" w:eastAsia="zh-CN"/>
                      <w14:textFill>
                        <w14:solidFill>
                          <w14:schemeClr w14:val="tx2"/>
                        </w14:solidFill>
                      </w14:textFill>
                    </w:rPr>
                  </w:pPr>
                  <w:r>
                    <w:rPr>
                      <w:rFonts w:hint="eastAsia" w:ascii="Times New Roman" w:cs="Times New Roman"/>
                      <w:b w:val="0"/>
                      <w:bCs w:val="0"/>
                      <w:color w:val="1F497D" w:themeColor="text2"/>
                      <w:sz w:val="21"/>
                      <w:szCs w:val="21"/>
                      <w:highlight w:val="none"/>
                      <w:lang w:val="en-US" w:eastAsia="zh-CN"/>
                      <w14:textFill>
                        <w14:solidFill>
                          <w14:schemeClr w14:val="tx2"/>
                        </w14:solidFill>
                      </w14:textFill>
                    </w:rPr>
                    <w:t>55</w:t>
                  </w:r>
                </w:p>
              </w:tc>
              <w:tc>
                <w:tcPr>
                  <w:tcW w:w="678" w:type="pct"/>
                  <w:tcBorders>
                    <w:tl2br w:val="nil"/>
                    <w:tr2bl w:val="nil"/>
                  </w:tcBorders>
                  <w:noWrap w:val="0"/>
                  <w:vAlign w:val="center"/>
                </w:tcPr>
                <w:p w14:paraId="5059E1DB">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cs="Times New Roman"/>
                      <w:b w:val="0"/>
                      <w:bCs w:val="0"/>
                      <w:color w:val="1F497D" w:themeColor="text2"/>
                      <w:sz w:val="21"/>
                      <w:szCs w:val="21"/>
                      <w:highlight w:val="none"/>
                      <w:lang w:val="en-US" w:eastAsia="zh-CN"/>
                      <w14:textFill>
                        <w14:solidFill>
                          <w14:schemeClr w14:val="tx2"/>
                        </w14:solidFill>
                      </w14:textFill>
                    </w:rPr>
                  </w:pPr>
                  <w:r>
                    <w:rPr>
                      <w:rFonts w:hint="eastAsia" w:ascii="Times New Roman" w:cs="Times New Roman"/>
                      <w:b w:val="0"/>
                      <w:bCs w:val="0"/>
                      <w:color w:val="1F497D" w:themeColor="text2"/>
                      <w:sz w:val="21"/>
                      <w:szCs w:val="21"/>
                      <w:highlight w:val="none"/>
                      <w:lang w:val="en-US" w:eastAsia="zh-CN"/>
                      <w14:textFill>
                        <w14:solidFill>
                          <w14:schemeClr w14:val="tx2"/>
                        </w14:solidFill>
                      </w14:textFill>
                    </w:rPr>
                    <w:t>10</w:t>
                  </w:r>
                </w:p>
              </w:tc>
              <w:tc>
                <w:tcPr>
                  <w:tcW w:w="680" w:type="pct"/>
                  <w:tcBorders>
                    <w:tl2br w:val="nil"/>
                    <w:tr2bl w:val="nil"/>
                  </w:tcBorders>
                  <w:noWrap w:val="0"/>
                  <w:vAlign w:val="center"/>
                </w:tcPr>
                <w:p w14:paraId="75E19092">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eastAsia" w:ascii="Times New Roman" w:cs="Times New Roman"/>
                      <w:b w:val="0"/>
                      <w:snapToGrid/>
                      <w:color w:val="1F497D" w:themeColor="text2"/>
                      <w:spacing w:val="4"/>
                      <w:kern w:val="18"/>
                      <w:sz w:val="21"/>
                      <w:szCs w:val="21"/>
                      <w:lang w:val="en-US" w:eastAsia="zh-CN" w:bidi="ar-SA"/>
                      <w14:textFill>
                        <w14:solidFill>
                          <w14:schemeClr w14:val="tx2"/>
                        </w14:solidFill>
                      </w14:textFill>
                    </w:rPr>
                  </w:pPr>
                  <w:r>
                    <w:rPr>
                      <w:rFonts w:hint="eastAsia" w:ascii="Times New Roman" w:cs="Times New Roman"/>
                      <w:b w:val="0"/>
                      <w:snapToGrid/>
                      <w:color w:val="1F497D" w:themeColor="text2"/>
                      <w:spacing w:val="4"/>
                      <w:kern w:val="18"/>
                      <w:sz w:val="21"/>
                      <w:szCs w:val="21"/>
                      <w:lang w:val="en-US" w:eastAsia="zh-CN" w:bidi="ar-SA"/>
                      <w14:textFill>
                        <w14:solidFill>
                          <w14:schemeClr w14:val="tx2"/>
                        </w14:solidFill>
                      </w14:textFill>
                    </w:rPr>
                    <w:t>/</w:t>
                  </w:r>
                </w:p>
              </w:tc>
            </w:tr>
            <w:tr w14:paraId="3A3080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3" w:type="pct"/>
                  <w:vMerge w:val="continue"/>
                  <w:tcBorders>
                    <w:tl2br w:val="nil"/>
                    <w:tr2bl w:val="nil"/>
                  </w:tcBorders>
                  <w:noWrap w:val="0"/>
                  <w:vAlign w:val="center"/>
                </w:tcPr>
                <w:p w14:paraId="69359D49">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cs="Times New Roman"/>
                      <w:b w:val="0"/>
                      <w:bCs w:val="0"/>
                      <w:color w:val="1F497D" w:themeColor="text2"/>
                      <w:sz w:val="21"/>
                      <w:szCs w:val="21"/>
                      <w:highlight w:val="none"/>
                      <w:lang w:val="en-US" w:eastAsia="zh-CN"/>
                      <w14:textFill>
                        <w14:solidFill>
                          <w14:schemeClr w14:val="tx2"/>
                        </w14:solidFill>
                      </w14:textFill>
                    </w:rPr>
                  </w:pPr>
                </w:p>
              </w:tc>
              <w:tc>
                <w:tcPr>
                  <w:tcW w:w="638" w:type="pct"/>
                  <w:tcBorders>
                    <w:tl2br w:val="nil"/>
                    <w:tr2bl w:val="nil"/>
                  </w:tcBorders>
                  <w:noWrap w:val="0"/>
                  <w:vAlign w:val="center"/>
                </w:tcPr>
                <w:p w14:paraId="426D92DA">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eastAsia" w:ascii="Times New Roman" w:cs="Times New Roman"/>
                      <w:b w:val="0"/>
                      <w:bCs w:val="0"/>
                      <w:color w:val="1F497D" w:themeColor="text2"/>
                      <w:sz w:val="21"/>
                      <w:szCs w:val="21"/>
                      <w:highlight w:val="none"/>
                      <w:lang w:val="en-US" w:eastAsia="zh-CN"/>
                      <w14:textFill>
                        <w14:solidFill>
                          <w14:schemeClr w14:val="tx2"/>
                        </w14:solidFill>
                      </w14:textFill>
                    </w:rPr>
                  </w:pPr>
                  <w:r>
                    <w:rPr>
                      <w:color w:val="1F497D" w:themeColor="text2"/>
                      <w:sz w:val="21"/>
                      <w:szCs w:val="21"/>
                      <w:vertAlign w:val="baseline"/>
                      <w14:textFill>
                        <w14:solidFill>
                          <w14:schemeClr w14:val="tx2"/>
                        </w14:solidFill>
                      </w14:textFill>
                    </w:rPr>
                    <w:t>排放量</w:t>
                  </w:r>
                  <w:r>
                    <w:rPr>
                      <w:rFonts w:hint="eastAsia"/>
                      <w:color w:val="1F497D" w:themeColor="text2"/>
                      <w:sz w:val="21"/>
                      <w:szCs w:val="21"/>
                      <w:vertAlign w:val="baseline"/>
                      <w:lang w:eastAsia="zh-CN"/>
                      <w14:textFill>
                        <w14:solidFill>
                          <w14:schemeClr w14:val="tx2"/>
                        </w14:solidFill>
                      </w14:textFill>
                    </w:rPr>
                    <w:t>（</w:t>
                  </w:r>
                  <w:r>
                    <w:rPr>
                      <w:color w:val="1F497D" w:themeColor="text2"/>
                      <w:sz w:val="21"/>
                      <w:szCs w:val="21"/>
                      <w:vertAlign w:val="baseline"/>
                      <w14:textFill>
                        <w14:solidFill>
                          <w14:schemeClr w14:val="tx2"/>
                        </w14:solidFill>
                      </w14:textFill>
                    </w:rPr>
                    <w:t>t/a</w:t>
                  </w:r>
                  <w:r>
                    <w:rPr>
                      <w:rFonts w:hint="eastAsia"/>
                      <w:color w:val="1F497D" w:themeColor="text2"/>
                      <w:sz w:val="21"/>
                      <w:szCs w:val="21"/>
                      <w:vertAlign w:val="baseline"/>
                      <w:lang w:eastAsia="zh-CN"/>
                      <w14:textFill>
                        <w14:solidFill>
                          <w14:schemeClr w14:val="tx2"/>
                        </w14:solidFill>
                      </w14:textFill>
                    </w:rPr>
                    <w:t>）</w:t>
                  </w:r>
                </w:p>
              </w:tc>
              <w:tc>
                <w:tcPr>
                  <w:tcW w:w="575" w:type="pct"/>
                  <w:vMerge w:val="continue"/>
                  <w:tcBorders>
                    <w:tl2br w:val="nil"/>
                    <w:tr2bl w:val="nil"/>
                  </w:tcBorders>
                  <w:noWrap w:val="0"/>
                  <w:vAlign w:val="center"/>
                </w:tcPr>
                <w:p w14:paraId="06236A2D">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cs="Times New Roman"/>
                      <w:b w:val="0"/>
                      <w:bCs w:val="0"/>
                      <w:color w:val="1F497D" w:themeColor="text2"/>
                      <w:sz w:val="21"/>
                      <w:szCs w:val="21"/>
                      <w:highlight w:val="none"/>
                      <w:lang w:val="en-US" w:eastAsia="zh-CN"/>
                      <w14:textFill>
                        <w14:solidFill>
                          <w14:schemeClr w14:val="tx2"/>
                        </w14:solidFill>
                      </w14:textFill>
                    </w:rPr>
                  </w:pPr>
                </w:p>
              </w:tc>
              <w:tc>
                <w:tcPr>
                  <w:tcW w:w="678" w:type="pct"/>
                  <w:tcBorders>
                    <w:tl2br w:val="nil"/>
                    <w:tr2bl w:val="nil"/>
                  </w:tcBorders>
                  <w:noWrap w:val="0"/>
                  <w:vAlign w:val="center"/>
                </w:tcPr>
                <w:p w14:paraId="758885F8">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cs="Times New Roman"/>
                      <w:b w:val="0"/>
                      <w:bCs w:val="0"/>
                      <w:color w:val="1F497D" w:themeColor="text2"/>
                      <w:sz w:val="21"/>
                      <w:szCs w:val="21"/>
                      <w:highlight w:val="none"/>
                      <w:lang w:val="en-US" w:eastAsia="zh-CN"/>
                      <w14:textFill>
                        <w14:solidFill>
                          <w14:schemeClr w14:val="tx2"/>
                        </w14:solidFill>
                      </w14:textFill>
                    </w:rPr>
                  </w:pPr>
                  <w:r>
                    <w:rPr>
                      <w:rFonts w:hint="eastAsia" w:ascii="Times New Roman" w:cs="Times New Roman"/>
                      <w:b w:val="0"/>
                      <w:snapToGrid/>
                      <w:color w:val="1F497D" w:themeColor="text2"/>
                      <w:spacing w:val="4"/>
                      <w:kern w:val="18"/>
                      <w:sz w:val="21"/>
                      <w:szCs w:val="21"/>
                      <w:lang w:val="en-US" w:eastAsia="zh-CN" w:bidi="ar-SA"/>
                      <w14:textFill>
                        <w14:solidFill>
                          <w14:schemeClr w14:val="tx2"/>
                        </w14:solidFill>
                      </w14:textFill>
                    </w:rPr>
                    <w:t>/</w:t>
                  </w:r>
                </w:p>
              </w:tc>
              <w:tc>
                <w:tcPr>
                  <w:tcW w:w="678" w:type="pct"/>
                  <w:tcBorders>
                    <w:tl2br w:val="nil"/>
                    <w:tr2bl w:val="nil"/>
                  </w:tcBorders>
                  <w:noWrap w:val="0"/>
                  <w:vAlign w:val="center"/>
                </w:tcPr>
                <w:p w14:paraId="4AE3A6C6">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eastAsia="宋体" w:cs="Times New Roman"/>
                      <w:b w:val="0"/>
                      <w:bCs w:val="0"/>
                      <w:color w:val="1F497D" w:themeColor="text2"/>
                      <w:sz w:val="21"/>
                      <w:szCs w:val="21"/>
                      <w:highlight w:val="none"/>
                      <w:lang w:val="en-US" w:eastAsia="zh-CN"/>
                      <w14:textFill>
                        <w14:solidFill>
                          <w14:schemeClr w14:val="tx2"/>
                        </w14:solidFill>
                      </w14:textFill>
                    </w:rPr>
                  </w:pPr>
                  <w:r>
                    <w:rPr>
                      <w:rFonts w:hint="eastAsia" w:ascii="Times New Roman" w:cs="Times New Roman"/>
                      <w:b w:val="0"/>
                      <w:snapToGrid/>
                      <w:color w:val="1F497D" w:themeColor="text2"/>
                      <w:spacing w:val="4"/>
                      <w:kern w:val="18"/>
                      <w:sz w:val="21"/>
                      <w:szCs w:val="21"/>
                      <w:lang w:val="en-US" w:eastAsia="zh-CN" w:bidi="ar-SA"/>
                      <w14:textFill>
                        <w14:solidFill>
                          <w14:schemeClr w14:val="tx2"/>
                        </w14:solidFill>
                      </w14:textFill>
                    </w:rPr>
                    <w:t>/</w:t>
                  </w:r>
                </w:p>
              </w:tc>
              <w:tc>
                <w:tcPr>
                  <w:tcW w:w="678" w:type="pct"/>
                  <w:tcBorders>
                    <w:tl2br w:val="nil"/>
                    <w:tr2bl w:val="nil"/>
                  </w:tcBorders>
                  <w:noWrap w:val="0"/>
                  <w:vAlign w:val="center"/>
                </w:tcPr>
                <w:p w14:paraId="5901D029">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eastAsia="宋体" w:cs="Times New Roman"/>
                      <w:b w:val="0"/>
                      <w:bCs w:val="0"/>
                      <w:color w:val="1F497D" w:themeColor="text2"/>
                      <w:sz w:val="21"/>
                      <w:szCs w:val="21"/>
                      <w:highlight w:val="none"/>
                      <w:lang w:val="en-US" w:eastAsia="zh-CN"/>
                      <w14:textFill>
                        <w14:solidFill>
                          <w14:schemeClr w14:val="tx2"/>
                        </w14:solidFill>
                      </w14:textFill>
                    </w:rPr>
                  </w:pPr>
                  <w:r>
                    <w:rPr>
                      <w:rFonts w:hint="eastAsia" w:ascii="Times New Roman" w:eastAsia="宋体" w:cs="Times New Roman"/>
                      <w:b w:val="0"/>
                      <w:bCs w:val="0"/>
                      <w:color w:val="1F497D" w:themeColor="text2"/>
                      <w:sz w:val="21"/>
                      <w:szCs w:val="21"/>
                      <w:highlight w:val="none"/>
                      <w:lang w:val="en-US" w:eastAsia="zh-CN"/>
                      <w14:textFill>
                        <w14:solidFill>
                          <w14:schemeClr w14:val="tx2"/>
                        </w14:solidFill>
                      </w14:textFill>
                    </w:rPr>
                    <w:t>0.002</w:t>
                  </w:r>
                </w:p>
              </w:tc>
              <w:tc>
                <w:tcPr>
                  <w:tcW w:w="678" w:type="pct"/>
                  <w:tcBorders>
                    <w:tl2br w:val="nil"/>
                    <w:tr2bl w:val="nil"/>
                  </w:tcBorders>
                  <w:noWrap w:val="0"/>
                  <w:vAlign w:val="center"/>
                </w:tcPr>
                <w:p w14:paraId="3462D797">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cs="Times New Roman"/>
                      <w:b w:val="0"/>
                      <w:bCs w:val="0"/>
                      <w:color w:val="1F497D" w:themeColor="text2"/>
                      <w:sz w:val="21"/>
                      <w:szCs w:val="21"/>
                      <w:highlight w:val="none"/>
                      <w:lang w:val="en-US" w:eastAsia="zh-CN"/>
                      <w14:textFill>
                        <w14:solidFill>
                          <w14:schemeClr w14:val="tx2"/>
                        </w14:solidFill>
                      </w14:textFill>
                    </w:rPr>
                  </w:pPr>
                  <w:r>
                    <w:rPr>
                      <w:rFonts w:hint="eastAsia" w:ascii="Times New Roman" w:cs="Times New Roman"/>
                      <w:b w:val="0"/>
                      <w:bCs w:val="0"/>
                      <w:color w:val="1F497D" w:themeColor="text2"/>
                      <w:sz w:val="21"/>
                      <w:szCs w:val="21"/>
                      <w:highlight w:val="none"/>
                      <w:lang w:val="en-US" w:eastAsia="zh-CN"/>
                      <w14:textFill>
                        <w14:solidFill>
                          <w14:schemeClr w14:val="tx2"/>
                        </w14:solidFill>
                      </w14:textFill>
                    </w:rPr>
                    <w:t>0.0004</w:t>
                  </w:r>
                </w:p>
              </w:tc>
              <w:tc>
                <w:tcPr>
                  <w:tcW w:w="680" w:type="pct"/>
                  <w:tcBorders>
                    <w:tl2br w:val="nil"/>
                    <w:tr2bl w:val="nil"/>
                  </w:tcBorders>
                  <w:noWrap w:val="0"/>
                  <w:vAlign w:val="center"/>
                </w:tcPr>
                <w:p w14:paraId="529575CE">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eastAsia" w:ascii="Times New Roman" w:cs="Times New Roman"/>
                      <w:b w:val="0"/>
                      <w:snapToGrid/>
                      <w:color w:val="1F497D" w:themeColor="text2"/>
                      <w:spacing w:val="4"/>
                      <w:kern w:val="18"/>
                      <w:sz w:val="21"/>
                      <w:szCs w:val="21"/>
                      <w:highlight w:val="none"/>
                      <w:lang w:val="en-US" w:eastAsia="zh-CN" w:bidi="ar-SA"/>
                      <w14:textFill>
                        <w14:solidFill>
                          <w14:schemeClr w14:val="tx2"/>
                        </w14:solidFill>
                      </w14:textFill>
                    </w:rPr>
                  </w:pPr>
                  <w:r>
                    <w:rPr>
                      <w:rFonts w:hint="eastAsia" w:ascii="Times New Roman" w:cs="Times New Roman"/>
                      <w:b w:val="0"/>
                      <w:snapToGrid/>
                      <w:color w:val="1F497D" w:themeColor="text2"/>
                      <w:spacing w:val="4"/>
                      <w:kern w:val="18"/>
                      <w:sz w:val="21"/>
                      <w:szCs w:val="21"/>
                      <w:lang w:val="en-US" w:eastAsia="zh-CN" w:bidi="ar-SA"/>
                      <w14:textFill>
                        <w14:solidFill>
                          <w14:schemeClr w14:val="tx2"/>
                        </w14:solidFill>
                      </w14:textFill>
                    </w:rPr>
                    <w:t>/</w:t>
                  </w:r>
                </w:p>
              </w:tc>
            </w:tr>
            <w:tr w14:paraId="774508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3" w:type="pct"/>
                  <w:vMerge w:val="restart"/>
                  <w:tcBorders>
                    <w:tl2br w:val="nil"/>
                    <w:tr2bl w:val="nil"/>
                  </w:tcBorders>
                  <w:noWrap w:val="0"/>
                  <w:vAlign w:val="center"/>
                </w:tcPr>
                <w:p w14:paraId="34520996">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1F497D" w:themeColor="text2"/>
                      <w:spacing w:val="4"/>
                      <w:kern w:val="2"/>
                      <w:sz w:val="21"/>
                      <w:szCs w:val="21"/>
                      <w:highlight w:val="none"/>
                      <w:lang w:val="en-US" w:eastAsia="zh-CN" w:bidi="ar-SA"/>
                      <w14:textFill>
                        <w14:solidFill>
                          <w14:schemeClr w14:val="tx2"/>
                        </w14:solidFill>
                      </w14:textFill>
                    </w:rPr>
                  </w:pPr>
                  <w:r>
                    <w:rPr>
                      <w:rFonts w:hint="eastAsia" w:ascii="Times New Roman" w:hAnsi="Times New Roman" w:eastAsia="宋体" w:cs="Times New Roman"/>
                      <w:b w:val="0"/>
                      <w:bCs w:val="0"/>
                      <w:color w:val="1F497D" w:themeColor="text2"/>
                      <w:spacing w:val="4"/>
                      <w:kern w:val="2"/>
                      <w:sz w:val="21"/>
                      <w:szCs w:val="21"/>
                      <w:highlight w:val="none"/>
                      <w:lang w:val="en-US" w:eastAsia="zh-CN" w:bidi="ar-SA"/>
                      <w14:textFill>
                        <w14:solidFill>
                          <w14:schemeClr w14:val="tx2"/>
                        </w14:solidFill>
                      </w14:textFill>
                    </w:rPr>
                    <w:t>洗车废水</w:t>
                  </w:r>
                </w:p>
              </w:tc>
              <w:tc>
                <w:tcPr>
                  <w:tcW w:w="638" w:type="pct"/>
                  <w:tcBorders>
                    <w:tl2br w:val="nil"/>
                    <w:tr2bl w:val="nil"/>
                  </w:tcBorders>
                  <w:noWrap w:val="0"/>
                  <w:vAlign w:val="center"/>
                </w:tcPr>
                <w:p w14:paraId="4FD47E7C">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1F497D" w:themeColor="text2"/>
                      <w:sz w:val="21"/>
                      <w:szCs w:val="21"/>
                      <w:highlight w:val="none"/>
                      <w:lang w:val="en-US" w:eastAsia="zh-CN"/>
                      <w14:textFill>
                        <w14:solidFill>
                          <w14:schemeClr w14:val="tx2"/>
                        </w14:solidFill>
                      </w14:textFill>
                    </w:rPr>
                  </w:pPr>
                  <w:r>
                    <w:rPr>
                      <w:rFonts w:hint="eastAsia" w:ascii="Times New Roman" w:cs="Times New Roman"/>
                      <w:b w:val="0"/>
                      <w:bCs w:val="0"/>
                      <w:color w:val="1F497D" w:themeColor="text2"/>
                      <w:sz w:val="21"/>
                      <w:szCs w:val="21"/>
                      <w:highlight w:val="none"/>
                      <w:lang w:val="en-US" w:eastAsia="zh-CN"/>
                      <w14:textFill>
                        <w14:solidFill>
                          <w14:schemeClr w14:val="tx2"/>
                        </w14:solidFill>
                      </w14:textFill>
                    </w:rPr>
                    <w:t>产生</w:t>
                  </w:r>
                  <w:r>
                    <w:rPr>
                      <w:rFonts w:hint="default" w:ascii="Times New Roman" w:hAnsi="Times New Roman" w:eastAsia="宋体" w:cs="Times New Roman"/>
                      <w:b w:val="0"/>
                      <w:bCs w:val="0"/>
                      <w:color w:val="1F497D" w:themeColor="text2"/>
                      <w:sz w:val="21"/>
                      <w:szCs w:val="21"/>
                      <w:highlight w:val="none"/>
                      <w:lang w:val="en-US" w:eastAsia="zh-CN"/>
                      <w14:textFill>
                        <w14:solidFill>
                          <w14:schemeClr w14:val="tx2"/>
                        </w14:solidFill>
                      </w14:textFill>
                    </w:rPr>
                    <w:t>浓度</w:t>
                  </w:r>
                  <w:r>
                    <w:rPr>
                      <w:rFonts w:hint="default" w:ascii="Times New Roman" w:hAnsi="Times New Roman" w:eastAsia="宋体" w:cs="Times New Roman"/>
                      <w:b w:val="0"/>
                      <w:bCs w:val="0"/>
                      <w:color w:val="1F497D" w:themeColor="text2"/>
                      <w:sz w:val="21"/>
                      <w:szCs w:val="21"/>
                      <w:highlight w:val="none"/>
                      <w:lang w:eastAsia="zh-CN"/>
                      <w14:textFill>
                        <w14:solidFill>
                          <w14:schemeClr w14:val="tx2"/>
                        </w14:solidFill>
                      </w14:textFill>
                    </w:rPr>
                    <w:t>（</w:t>
                  </w:r>
                  <w:r>
                    <w:rPr>
                      <w:rFonts w:hint="default" w:ascii="Times New Roman" w:hAnsi="Times New Roman" w:eastAsia="宋体" w:cs="Times New Roman"/>
                      <w:b w:val="0"/>
                      <w:bCs w:val="0"/>
                      <w:color w:val="1F497D" w:themeColor="text2"/>
                      <w:sz w:val="21"/>
                      <w:szCs w:val="21"/>
                      <w:highlight w:val="none"/>
                      <w14:textFill>
                        <w14:solidFill>
                          <w14:schemeClr w14:val="tx2"/>
                        </w14:solidFill>
                      </w14:textFill>
                    </w:rPr>
                    <w:t>mg/L</w:t>
                  </w:r>
                  <w:r>
                    <w:rPr>
                      <w:rFonts w:hint="default" w:ascii="Times New Roman" w:hAnsi="Times New Roman" w:eastAsia="宋体" w:cs="Times New Roman"/>
                      <w:b w:val="0"/>
                      <w:bCs w:val="0"/>
                      <w:color w:val="1F497D" w:themeColor="text2"/>
                      <w:sz w:val="21"/>
                      <w:szCs w:val="21"/>
                      <w:highlight w:val="none"/>
                      <w:lang w:eastAsia="zh-CN"/>
                      <w14:textFill>
                        <w14:solidFill>
                          <w14:schemeClr w14:val="tx2"/>
                        </w14:solidFill>
                      </w14:textFill>
                    </w:rPr>
                    <w:t>）</w:t>
                  </w:r>
                </w:p>
              </w:tc>
              <w:tc>
                <w:tcPr>
                  <w:tcW w:w="575" w:type="pct"/>
                  <w:vMerge w:val="restart"/>
                  <w:tcBorders>
                    <w:tl2br w:val="nil"/>
                    <w:tr2bl w:val="nil"/>
                  </w:tcBorders>
                  <w:noWrap w:val="0"/>
                  <w:vAlign w:val="center"/>
                </w:tcPr>
                <w:p w14:paraId="2013866C">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cs="Times New Roman"/>
                      <w:b w:val="0"/>
                      <w:bCs w:val="0"/>
                      <w:color w:val="1F497D" w:themeColor="text2"/>
                      <w:sz w:val="21"/>
                      <w:szCs w:val="21"/>
                      <w:highlight w:val="none"/>
                      <w:lang w:val="en-US" w:eastAsia="zh-CN"/>
                      <w14:textFill>
                        <w14:solidFill>
                          <w14:schemeClr w14:val="tx2"/>
                        </w14:solidFill>
                      </w14:textFill>
                    </w:rPr>
                  </w:pPr>
                  <w:r>
                    <w:rPr>
                      <w:rFonts w:hint="default" w:ascii="Times New Roman" w:cs="Times New Roman"/>
                      <w:b w:val="0"/>
                      <w:bCs w:val="0"/>
                      <w:color w:val="1F497D" w:themeColor="text2"/>
                      <w:sz w:val="21"/>
                      <w:szCs w:val="21"/>
                      <w:highlight w:val="none"/>
                      <w:lang w:val="en-US" w:eastAsia="zh-CN"/>
                      <w14:textFill>
                        <w14:solidFill>
                          <w14:schemeClr w14:val="tx2"/>
                        </w14:solidFill>
                      </w14:textFill>
                    </w:rPr>
                    <w:t>204.4</w:t>
                  </w:r>
                </w:p>
              </w:tc>
              <w:tc>
                <w:tcPr>
                  <w:tcW w:w="678" w:type="pct"/>
                  <w:tcBorders>
                    <w:tl2br w:val="nil"/>
                    <w:tr2bl w:val="nil"/>
                  </w:tcBorders>
                  <w:noWrap w:val="0"/>
                  <w:vAlign w:val="center"/>
                </w:tcPr>
                <w:p w14:paraId="0CEF47DE">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cs="Times New Roman"/>
                      <w:b w:val="0"/>
                      <w:bCs w:val="0"/>
                      <w:color w:val="1F497D" w:themeColor="text2"/>
                      <w:sz w:val="21"/>
                      <w:szCs w:val="21"/>
                      <w:highlight w:val="none"/>
                      <w:lang w:val="en-US" w:eastAsia="zh-CN"/>
                      <w14:textFill>
                        <w14:solidFill>
                          <w14:schemeClr w14:val="tx2"/>
                        </w14:solidFill>
                      </w14:textFill>
                    </w:rPr>
                  </w:pPr>
                  <w:r>
                    <w:rPr>
                      <w:rFonts w:hint="eastAsia" w:ascii="Times New Roman" w:cs="Times New Roman"/>
                      <w:b w:val="0"/>
                      <w:bCs w:val="0"/>
                      <w:color w:val="1F497D" w:themeColor="text2"/>
                      <w:sz w:val="21"/>
                      <w:szCs w:val="21"/>
                      <w:highlight w:val="none"/>
                      <w:lang w:val="en-US" w:eastAsia="zh-CN"/>
                      <w14:textFill>
                        <w14:solidFill>
                          <w14:schemeClr w14:val="tx2"/>
                        </w14:solidFill>
                      </w14:textFill>
                    </w:rPr>
                    <w:t>250</w:t>
                  </w:r>
                </w:p>
              </w:tc>
              <w:tc>
                <w:tcPr>
                  <w:tcW w:w="678" w:type="pct"/>
                  <w:tcBorders>
                    <w:tl2br w:val="nil"/>
                    <w:tr2bl w:val="nil"/>
                  </w:tcBorders>
                  <w:noWrap w:val="0"/>
                  <w:vAlign w:val="center"/>
                </w:tcPr>
                <w:p w14:paraId="717D6F9A">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cs="Times New Roman"/>
                      <w:b w:val="0"/>
                      <w:bCs w:val="0"/>
                      <w:color w:val="1F497D" w:themeColor="text2"/>
                      <w:sz w:val="21"/>
                      <w:szCs w:val="21"/>
                      <w:highlight w:val="none"/>
                      <w:lang w:val="en-US" w:eastAsia="zh-CN"/>
                      <w14:textFill>
                        <w14:solidFill>
                          <w14:schemeClr w14:val="tx2"/>
                        </w14:solidFill>
                      </w14:textFill>
                    </w:rPr>
                  </w:pPr>
                  <w:r>
                    <w:rPr>
                      <w:rFonts w:hint="eastAsia" w:ascii="Times New Roman" w:cs="Times New Roman"/>
                      <w:b w:val="0"/>
                      <w:bCs w:val="0"/>
                      <w:color w:val="1F497D" w:themeColor="text2"/>
                      <w:sz w:val="21"/>
                      <w:szCs w:val="21"/>
                      <w:highlight w:val="none"/>
                      <w:lang w:val="en-US" w:eastAsia="zh-CN"/>
                      <w14:textFill>
                        <w14:solidFill>
                          <w14:schemeClr w14:val="tx2"/>
                        </w14:solidFill>
                      </w14:textFill>
                    </w:rPr>
                    <w:t>100</w:t>
                  </w:r>
                </w:p>
              </w:tc>
              <w:tc>
                <w:tcPr>
                  <w:tcW w:w="678" w:type="pct"/>
                  <w:tcBorders>
                    <w:tl2br w:val="nil"/>
                    <w:tr2bl w:val="nil"/>
                  </w:tcBorders>
                  <w:noWrap w:val="0"/>
                  <w:vAlign w:val="center"/>
                </w:tcPr>
                <w:p w14:paraId="1222191C">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cs="Times New Roman"/>
                      <w:b w:val="0"/>
                      <w:bCs w:val="0"/>
                      <w:color w:val="1F497D" w:themeColor="text2"/>
                      <w:sz w:val="21"/>
                      <w:szCs w:val="21"/>
                      <w:highlight w:val="none"/>
                      <w:lang w:val="en-US" w:eastAsia="zh-CN"/>
                      <w14:textFill>
                        <w14:solidFill>
                          <w14:schemeClr w14:val="tx2"/>
                        </w14:solidFill>
                      </w14:textFill>
                    </w:rPr>
                  </w:pPr>
                  <w:r>
                    <w:rPr>
                      <w:rFonts w:hint="eastAsia" w:ascii="Times New Roman" w:cs="Times New Roman"/>
                      <w:b w:val="0"/>
                      <w:bCs w:val="0"/>
                      <w:color w:val="1F497D" w:themeColor="text2"/>
                      <w:sz w:val="21"/>
                      <w:szCs w:val="21"/>
                      <w:highlight w:val="none"/>
                      <w:lang w:val="en-US" w:eastAsia="zh-CN"/>
                      <w14:textFill>
                        <w14:solidFill>
                          <w14:schemeClr w14:val="tx2"/>
                        </w14:solidFill>
                      </w14:textFill>
                    </w:rPr>
                    <w:t>200</w:t>
                  </w:r>
                </w:p>
              </w:tc>
              <w:tc>
                <w:tcPr>
                  <w:tcW w:w="678" w:type="pct"/>
                  <w:tcBorders>
                    <w:tl2br w:val="nil"/>
                    <w:tr2bl w:val="nil"/>
                  </w:tcBorders>
                  <w:noWrap w:val="0"/>
                  <w:vAlign w:val="center"/>
                </w:tcPr>
                <w:p w14:paraId="718458AD">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cs="Times New Roman"/>
                      <w:b w:val="0"/>
                      <w:bCs w:val="0"/>
                      <w:color w:val="1F497D" w:themeColor="text2"/>
                      <w:sz w:val="21"/>
                      <w:szCs w:val="21"/>
                      <w:highlight w:val="none"/>
                      <w:lang w:val="en-US" w:eastAsia="zh-CN"/>
                      <w14:textFill>
                        <w14:solidFill>
                          <w14:schemeClr w14:val="tx2"/>
                        </w14:solidFill>
                      </w14:textFill>
                    </w:rPr>
                  </w:pPr>
                  <w:r>
                    <w:rPr>
                      <w:rFonts w:hint="eastAsia" w:ascii="Times New Roman" w:cs="Times New Roman"/>
                      <w:b w:val="0"/>
                      <w:bCs w:val="0"/>
                      <w:color w:val="1F497D" w:themeColor="text2"/>
                      <w:sz w:val="21"/>
                      <w:szCs w:val="21"/>
                      <w:highlight w:val="none"/>
                      <w:lang w:val="en-US" w:eastAsia="zh-CN"/>
                      <w14:textFill>
                        <w14:solidFill>
                          <w14:schemeClr w14:val="tx2"/>
                        </w14:solidFill>
                      </w14:textFill>
                    </w:rPr>
                    <w:t>50</w:t>
                  </w:r>
                </w:p>
              </w:tc>
              <w:tc>
                <w:tcPr>
                  <w:tcW w:w="680" w:type="pct"/>
                  <w:tcBorders>
                    <w:tl2br w:val="nil"/>
                    <w:tr2bl w:val="nil"/>
                  </w:tcBorders>
                  <w:noWrap w:val="0"/>
                  <w:vAlign w:val="center"/>
                </w:tcPr>
                <w:p w14:paraId="65A830A6">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cs="Times New Roman"/>
                      <w:b w:val="0"/>
                      <w:snapToGrid/>
                      <w:color w:val="1F497D" w:themeColor="text2"/>
                      <w:spacing w:val="4"/>
                      <w:kern w:val="18"/>
                      <w:sz w:val="21"/>
                      <w:szCs w:val="21"/>
                      <w:highlight w:val="none"/>
                      <w:lang w:val="en-US" w:eastAsia="zh-CN" w:bidi="ar-SA"/>
                      <w14:textFill>
                        <w14:solidFill>
                          <w14:schemeClr w14:val="tx2"/>
                        </w14:solidFill>
                      </w14:textFill>
                    </w:rPr>
                  </w:pPr>
                  <w:r>
                    <w:rPr>
                      <w:rFonts w:hint="eastAsia" w:ascii="Times New Roman" w:cs="Times New Roman"/>
                      <w:b w:val="0"/>
                      <w:snapToGrid/>
                      <w:color w:val="1F497D" w:themeColor="text2"/>
                      <w:spacing w:val="4"/>
                      <w:kern w:val="18"/>
                      <w:sz w:val="21"/>
                      <w:szCs w:val="21"/>
                      <w:highlight w:val="none"/>
                      <w:lang w:val="en-US" w:eastAsia="zh-CN" w:bidi="ar-SA"/>
                      <w14:textFill>
                        <w14:solidFill>
                          <w14:schemeClr w14:val="tx2"/>
                        </w14:solidFill>
                      </w14:textFill>
                    </w:rPr>
                    <w:t>2.5</w:t>
                  </w:r>
                </w:p>
              </w:tc>
            </w:tr>
            <w:tr w14:paraId="4EC016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3" w:type="pct"/>
                  <w:vMerge w:val="continue"/>
                  <w:tcBorders>
                    <w:tl2br w:val="nil"/>
                    <w:tr2bl w:val="nil"/>
                  </w:tcBorders>
                  <w:noWrap w:val="0"/>
                  <w:vAlign w:val="center"/>
                </w:tcPr>
                <w:p w14:paraId="0E1322DC">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1F497D" w:themeColor="text2"/>
                      <w:spacing w:val="4"/>
                      <w:kern w:val="18"/>
                      <w:sz w:val="21"/>
                      <w:szCs w:val="21"/>
                      <w:highlight w:val="none"/>
                      <w:lang w:val="en-US" w:eastAsia="zh-CN" w:bidi="ar-SA"/>
                      <w14:textFill>
                        <w14:solidFill>
                          <w14:schemeClr w14:val="tx2"/>
                        </w14:solidFill>
                      </w14:textFill>
                    </w:rPr>
                  </w:pPr>
                </w:p>
              </w:tc>
              <w:tc>
                <w:tcPr>
                  <w:tcW w:w="638" w:type="pct"/>
                  <w:tcBorders>
                    <w:tl2br w:val="nil"/>
                    <w:tr2bl w:val="nil"/>
                  </w:tcBorders>
                  <w:noWrap w:val="0"/>
                  <w:vAlign w:val="center"/>
                </w:tcPr>
                <w:p w14:paraId="0C643E67">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eastAsia" w:ascii="Times New Roman" w:cs="Times New Roman"/>
                      <w:b w:val="0"/>
                      <w:bCs w:val="0"/>
                      <w:color w:val="1F497D" w:themeColor="text2"/>
                      <w:sz w:val="21"/>
                      <w:szCs w:val="21"/>
                      <w:highlight w:val="none"/>
                      <w:lang w:val="en-US" w:eastAsia="zh-CN"/>
                      <w14:textFill>
                        <w14:solidFill>
                          <w14:schemeClr w14:val="tx2"/>
                        </w14:solidFill>
                      </w14:textFill>
                    </w:rPr>
                  </w:pPr>
                  <w:r>
                    <w:rPr>
                      <w:rFonts w:hint="eastAsia" w:ascii="Times New Roman" w:cs="Times New Roman"/>
                      <w:b w:val="0"/>
                      <w:bCs w:val="0"/>
                      <w:color w:val="1F497D" w:themeColor="text2"/>
                      <w:sz w:val="21"/>
                      <w:szCs w:val="21"/>
                      <w:highlight w:val="none"/>
                      <w:lang w:val="en-US" w:eastAsia="zh-CN"/>
                      <w14:textFill>
                        <w14:solidFill>
                          <w14:schemeClr w14:val="tx2"/>
                        </w14:solidFill>
                      </w14:textFill>
                    </w:rPr>
                    <w:t>产生量（t/a）</w:t>
                  </w:r>
                </w:p>
              </w:tc>
              <w:tc>
                <w:tcPr>
                  <w:tcW w:w="575" w:type="pct"/>
                  <w:vMerge w:val="continue"/>
                  <w:tcBorders>
                    <w:tl2br w:val="nil"/>
                    <w:tr2bl w:val="nil"/>
                  </w:tcBorders>
                  <w:noWrap w:val="0"/>
                  <w:vAlign w:val="center"/>
                </w:tcPr>
                <w:p w14:paraId="15BDCEDB">
                  <w:pPr>
                    <w:keepNext w:val="0"/>
                    <w:keepLines w:val="0"/>
                    <w:pageBreakBefore w:val="0"/>
                    <w:widowControl w:val="0"/>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b w:val="0"/>
                      <w:bCs w:val="0"/>
                      <w:color w:val="1F497D" w:themeColor="text2"/>
                      <w:sz w:val="21"/>
                      <w:szCs w:val="21"/>
                      <w:highlight w:val="none"/>
                      <w:lang w:val="en-US" w:eastAsia="zh-CN"/>
                      <w14:textFill>
                        <w14:solidFill>
                          <w14:schemeClr w14:val="tx2"/>
                        </w14:solidFill>
                      </w14:textFill>
                    </w:rPr>
                  </w:pPr>
                </w:p>
              </w:tc>
              <w:tc>
                <w:tcPr>
                  <w:tcW w:w="678" w:type="pct"/>
                  <w:tcBorders>
                    <w:tl2br w:val="nil"/>
                    <w:tr2bl w:val="nil"/>
                  </w:tcBorders>
                  <w:noWrap w:val="0"/>
                  <w:vAlign w:val="center"/>
                </w:tcPr>
                <w:p w14:paraId="55982187">
                  <w:pPr>
                    <w:keepNext w:val="0"/>
                    <w:keepLines w:val="0"/>
                    <w:pageBreakBefore w:val="0"/>
                    <w:widowControl w:val="0"/>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b w:val="0"/>
                      <w:bCs w:val="0"/>
                      <w:color w:val="1F497D" w:themeColor="text2"/>
                      <w:sz w:val="21"/>
                      <w:szCs w:val="21"/>
                      <w:highlight w:val="none"/>
                      <w:lang w:val="en-US" w:eastAsia="zh-CN"/>
                      <w14:textFill>
                        <w14:solidFill>
                          <w14:schemeClr w14:val="tx2"/>
                        </w14:solidFill>
                      </w14:textFill>
                    </w:rPr>
                  </w:pPr>
                  <w:r>
                    <w:rPr>
                      <w:rFonts w:hint="eastAsia" w:ascii="Times New Roman" w:hAnsi="Times New Roman" w:cs="Times New Roman"/>
                      <w:b w:val="0"/>
                      <w:bCs w:val="0"/>
                      <w:color w:val="1F497D" w:themeColor="text2"/>
                      <w:sz w:val="21"/>
                      <w:szCs w:val="21"/>
                      <w:highlight w:val="none"/>
                      <w:lang w:val="en-US" w:eastAsia="zh-CN"/>
                      <w14:textFill>
                        <w14:solidFill>
                          <w14:schemeClr w14:val="tx2"/>
                        </w14:solidFill>
                      </w14:textFill>
                    </w:rPr>
                    <w:t>0.051</w:t>
                  </w:r>
                </w:p>
              </w:tc>
              <w:tc>
                <w:tcPr>
                  <w:tcW w:w="678" w:type="pct"/>
                  <w:tcBorders>
                    <w:tl2br w:val="nil"/>
                    <w:tr2bl w:val="nil"/>
                  </w:tcBorders>
                  <w:noWrap w:val="0"/>
                  <w:vAlign w:val="center"/>
                </w:tcPr>
                <w:p w14:paraId="45553C94">
                  <w:pPr>
                    <w:keepNext w:val="0"/>
                    <w:keepLines w:val="0"/>
                    <w:pageBreakBefore w:val="0"/>
                    <w:widowControl w:val="0"/>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b w:val="0"/>
                      <w:bCs w:val="0"/>
                      <w:color w:val="1F497D" w:themeColor="text2"/>
                      <w:sz w:val="21"/>
                      <w:szCs w:val="21"/>
                      <w:highlight w:val="none"/>
                      <w:lang w:val="en-US" w:eastAsia="zh-CN"/>
                      <w14:textFill>
                        <w14:solidFill>
                          <w14:schemeClr w14:val="tx2"/>
                        </w14:solidFill>
                      </w14:textFill>
                    </w:rPr>
                  </w:pPr>
                  <w:r>
                    <w:rPr>
                      <w:rFonts w:hint="eastAsia" w:ascii="Times New Roman" w:hAnsi="Times New Roman" w:cs="Times New Roman"/>
                      <w:b w:val="0"/>
                      <w:bCs w:val="0"/>
                      <w:color w:val="1F497D" w:themeColor="text2"/>
                      <w:sz w:val="21"/>
                      <w:szCs w:val="21"/>
                      <w:highlight w:val="none"/>
                      <w:lang w:val="en-US" w:eastAsia="zh-CN"/>
                      <w14:textFill>
                        <w14:solidFill>
                          <w14:schemeClr w14:val="tx2"/>
                        </w14:solidFill>
                      </w14:textFill>
                    </w:rPr>
                    <w:t>0.020</w:t>
                  </w:r>
                </w:p>
              </w:tc>
              <w:tc>
                <w:tcPr>
                  <w:tcW w:w="678" w:type="pct"/>
                  <w:tcBorders>
                    <w:tl2br w:val="nil"/>
                    <w:tr2bl w:val="nil"/>
                  </w:tcBorders>
                  <w:noWrap w:val="0"/>
                  <w:vAlign w:val="center"/>
                </w:tcPr>
                <w:p w14:paraId="45921558">
                  <w:pPr>
                    <w:keepNext w:val="0"/>
                    <w:keepLines w:val="0"/>
                    <w:pageBreakBefore w:val="0"/>
                    <w:widowControl w:val="0"/>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1F497D" w:themeColor="text2"/>
                      <w:spacing w:val="4"/>
                      <w:kern w:val="0"/>
                      <w:sz w:val="21"/>
                      <w:szCs w:val="21"/>
                      <w:u w:val="none"/>
                      <w:lang w:val="en-US" w:eastAsia="zh-CN" w:bidi="ar"/>
                      <w14:textFill>
                        <w14:solidFill>
                          <w14:schemeClr w14:val="tx2"/>
                        </w14:solidFill>
                      </w14:textFill>
                    </w:rPr>
                  </w:pPr>
                  <w:r>
                    <w:rPr>
                      <w:rFonts w:hint="eastAsia" w:ascii="Times New Roman" w:hAnsi="Times New Roman" w:eastAsia="宋体" w:cs="Times New Roman"/>
                      <w:i w:val="0"/>
                      <w:iCs w:val="0"/>
                      <w:color w:val="1F497D" w:themeColor="text2"/>
                      <w:spacing w:val="4"/>
                      <w:kern w:val="0"/>
                      <w:sz w:val="21"/>
                      <w:szCs w:val="21"/>
                      <w:u w:val="none"/>
                      <w:lang w:val="en-US" w:eastAsia="zh-CN" w:bidi="ar"/>
                      <w14:textFill>
                        <w14:solidFill>
                          <w14:schemeClr w14:val="tx2"/>
                        </w14:solidFill>
                      </w14:textFill>
                    </w:rPr>
                    <w:t>0.041</w:t>
                  </w:r>
                </w:p>
              </w:tc>
              <w:tc>
                <w:tcPr>
                  <w:tcW w:w="678" w:type="pct"/>
                  <w:tcBorders>
                    <w:tl2br w:val="nil"/>
                    <w:tr2bl w:val="nil"/>
                  </w:tcBorders>
                  <w:noWrap w:val="0"/>
                  <w:vAlign w:val="center"/>
                </w:tcPr>
                <w:p w14:paraId="630FEBB5">
                  <w:pPr>
                    <w:keepNext w:val="0"/>
                    <w:keepLines w:val="0"/>
                    <w:pageBreakBefore w:val="0"/>
                    <w:widowControl w:val="0"/>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color w:val="1F497D" w:themeColor="text2"/>
                      <w:spacing w:val="4"/>
                      <w:kern w:val="18"/>
                      <w:sz w:val="21"/>
                      <w:szCs w:val="21"/>
                      <w:highlight w:val="none"/>
                      <w:lang w:val="en-US" w:eastAsia="zh-CN" w:bidi="ar-SA"/>
                      <w14:textFill>
                        <w14:solidFill>
                          <w14:schemeClr w14:val="tx2"/>
                        </w14:solidFill>
                      </w14:textFill>
                    </w:rPr>
                  </w:pPr>
                  <w:r>
                    <w:rPr>
                      <w:rFonts w:hint="eastAsia" w:ascii="Times New Roman" w:hAnsi="Times New Roman" w:eastAsia="宋体" w:cs="Times New Roman"/>
                      <w:b w:val="0"/>
                      <w:bCs w:val="0"/>
                      <w:color w:val="1F497D" w:themeColor="text2"/>
                      <w:spacing w:val="4"/>
                      <w:kern w:val="18"/>
                      <w:sz w:val="21"/>
                      <w:szCs w:val="21"/>
                      <w:highlight w:val="none"/>
                      <w:lang w:val="en-US" w:eastAsia="zh-CN" w:bidi="ar-SA"/>
                      <w14:textFill>
                        <w14:solidFill>
                          <w14:schemeClr w14:val="tx2"/>
                        </w14:solidFill>
                      </w14:textFill>
                    </w:rPr>
                    <w:t>0.010</w:t>
                  </w:r>
                </w:p>
              </w:tc>
              <w:tc>
                <w:tcPr>
                  <w:tcW w:w="680" w:type="pct"/>
                  <w:tcBorders>
                    <w:tl2br w:val="nil"/>
                    <w:tr2bl w:val="nil"/>
                  </w:tcBorders>
                  <w:noWrap w:val="0"/>
                  <w:vAlign w:val="center"/>
                </w:tcPr>
                <w:p w14:paraId="23CB781B">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1F497D" w:themeColor="text2"/>
                      <w:spacing w:val="4"/>
                      <w:kern w:val="18"/>
                      <w:sz w:val="21"/>
                      <w:szCs w:val="21"/>
                      <w:highlight w:val="none"/>
                      <w:vertAlign w:val="baseline"/>
                      <w:lang w:val="en-US" w:eastAsia="zh-CN" w:bidi="ar-SA"/>
                      <w14:textFill>
                        <w14:solidFill>
                          <w14:schemeClr w14:val="tx2"/>
                        </w14:solidFill>
                      </w14:textFill>
                    </w:rPr>
                  </w:pPr>
                  <w:r>
                    <w:rPr>
                      <w:rFonts w:hint="eastAsia" w:ascii="Times New Roman" w:hAnsi="Times New Roman" w:eastAsia="宋体" w:cs="Times New Roman"/>
                      <w:b w:val="0"/>
                      <w:bCs w:val="0"/>
                      <w:color w:val="1F497D" w:themeColor="text2"/>
                      <w:spacing w:val="4"/>
                      <w:kern w:val="18"/>
                      <w:sz w:val="21"/>
                      <w:szCs w:val="21"/>
                      <w:highlight w:val="none"/>
                      <w:vertAlign w:val="baseline"/>
                      <w:lang w:val="en-US" w:eastAsia="zh-CN" w:bidi="ar-SA"/>
                      <w14:textFill>
                        <w14:solidFill>
                          <w14:schemeClr w14:val="tx2"/>
                        </w14:solidFill>
                      </w14:textFill>
                    </w:rPr>
                    <w:t>0.0005</w:t>
                  </w:r>
                </w:p>
              </w:tc>
            </w:tr>
            <w:tr w14:paraId="7ACE28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3" w:type="pct"/>
                  <w:vMerge w:val="restart"/>
                  <w:tcBorders>
                    <w:tl2br w:val="nil"/>
                    <w:tr2bl w:val="nil"/>
                  </w:tcBorders>
                  <w:noWrap w:val="0"/>
                  <w:vAlign w:val="center"/>
                </w:tcPr>
                <w:p w14:paraId="25632BF2">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eastAsia="宋体"/>
                      <w:color w:val="1F497D" w:themeColor="text2"/>
                      <w:sz w:val="21"/>
                      <w:szCs w:val="21"/>
                      <w:lang w:val="en-US" w:eastAsia="zh-CN"/>
                      <w14:textFill>
                        <w14:solidFill>
                          <w14:schemeClr w14:val="tx2"/>
                        </w14:solidFill>
                      </w14:textFill>
                    </w:rPr>
                  </w:pPr>
                  <w:r>
                    <w:rPr>
                      <w:rFonts w:hint="eastAsia"/>
                      <w:color w:val="1F497D" w:themeColor="text2"/>
                      <w:sz w:val="21"/>
                      <w:szCs w:val="21"/>
                      <w:lang w:val="en-US" w:eastAsia="zh-CN"/>
                      <w14:textFill>
                        <w14:solidFill>
                          <w14:schemeClr w14:val="tx2"/>
                        </w14:solidFill>
                      </w14:textFill>
                    </w:rPr>
                    <w:t>综合废水</w:t>
                  </w:r>
                </w:p>
              </w:tc>
              <w:tc>
                <w:tcPr>
                  <w:tcW w:w="638" w:type="pct"/>
                  <w:tcBorders>
                    <w:tl2br w:val="nil"/>
                    <w:tr2bl w:val="nil"/>
                  </w:tcBorders>
                  <w:noWrap w:val="0"/>
                  <w:vAlign w:val="center"/>
                </w:tcPr>
                <w:p w14:paraId="2A608F3A">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eastAsia" w:ascii="Times New Roman" w:cs="Times New Roman"/>
                      <w:b w:val="0"/>
                      <w:bCs w:val="0"/>
                      <w:color w:val="1F497D" w:themeColor="text2"/>
                      <w:sz w:val="21"/>
                      <w:szCs w:val="21"/>
                      <w:highlight w:val="none"/>
                      <w:lang w:val="en-US" w:eastAsia="zh-CN"/>
                      <w14:textFill>
                        <w14:solidFill>
                          <w14:schemeClr w14:val="tx2"/>
                        </w14:solidFill>
                      </w14:textFill>
                    </w:rPr>
                  </w:pPr>
                  <w:r>
                    <w:rPr>
                      <w:rFonts w:hint="eastAsia" w:ascii="Times New Roman" w:cs="Times New Roman"/>
                      <w:b w:val="0"/>
                      <w:bCs w:val="0"/>
                      <w:color w:val="1F497D" w:themeColor="text2"/>
                      <w:sz w:val="21"/>
                      <w:szCs w:val="21"/>
                      <w:highlight w:val="none"/>
                      <w:lang w:val="en-US" w:eastAsia="zh-CN"/>
                      <w14:textFill>
                        <w14:solidFill>
                          <w14:schemeClr w14:val="tx2"/>
                        </w14:solidFill>
                      </w14:textFill>
                    </w:rPr>
                    <w:t>产生</w:t>
                  </w:r>
                  <w:r>
                    <w:rPr>
                      <w:rFonts w:hint="default" w:ascii="Times New Roman" w:hAnsi="Times New Roman" w:eastAsia="宋体" w:cs="Times New Roman"/>
                      <w:b w:val="0"/>
                      <w:bCs w:val="0"/>
                      <w:color w:val="1F497D" w:themeColor="text2"/>
                      <w:sz w:val="21"/>
                      <w:szCs w:val="21"/>
                      <w:highlight w:val="none"/>
                      <w:lang w:val="en-US" w:eastAsia="zh-CN"/>
                      <w14:textFill>
                        <w14:solidFill>
                          <w14:schemeClr w14:val="tx2"/>
                        </w14:solidFill>
                      </w14:textFill>
                    </w:rPr>
                    <w:t>浓度</w:t>
                  </w:r>
                  <w:r>
                    <w:rPr>
                      <w:rFonts w:hint="default" w:ascii="Times New Roman" w:hAnsi="Times New Roman" w:eastAsia="宋体" w:cs="Times New Roman"/>
                      <w:b w:val="0"/>
                      <w:bCs w:val="0"/>
                      <w:color w:val="1F497D" w:themeColor="text2"/>
                      <w:sz w:val="21"/>
                      <w:szCs w:val="21"/>
                      <w:highlight w:val="none"/>
                      <w:lang w:eastAsia="zh-CN"/>
                      <w14:textFill>
                        <w14:solidFill>
                          <w14:schemeClr w14:val="tx2"/>
                        </w14:solidFill>
                      </w14:textFill>
                    </w:rPr>
                    <w:t>（</w:t>
                  </w:r>
                  <w:r>
                    <w:rPr>
                      <w:rFonts w:hint="default" w:ascii="Times New Roman" w:hAnsi="Times New Roman" w:eastAsia="宋体" w:cs="Times New Roman"/>
                      <w:b w:val="0"/>
                      <w:bCs w:val="0"/>
                      <w:color w:val="1F497D" w:themeColor="text2"/>
                      <w:sz w:val="21"/>
                      <w:szCs w:val="21"/>
                      <w:highlight w:val="none"/>
                      <w14:textFill>
                        <w14:solidFill>
                          <w14:schemeClr w14:val="tx2"/>
                        </w14:solidFill>
                      </w14:textFill>
                    </w:rPr>
                    <w:t>mg/L</w:t>
                  </w:r>
                  <w:r>
                    <w:rPr>
                      <w:rFonts w:hint="default" w:ascii="Times New Roman" w:hAnsi="Times New Roman" w:eastAsia="宋体" w:cs="Times New Roman"/>
                      <w:b w:val="0"/>
                      <w:bCs w:val="0"/>
                      <w:color w:val="1F497D" w:themeColor="text2"/>
                      <w:sz w:val="21"/>
                      <w:szCs w:val="21"/>
                      <w:highlight w:val="none"/>
                      <w:lang w:eastAsia="zh-CN"/>
                      <w14:textFill>
                        <w14:solidFill>
                          <w14:schemeClr w14:val="tx2"/>
                        </w14:solidFill>
                      </w14:textFill>
                    </w:rPr>
                    <w:t>）</w:t>
                  </w:r>
                </w:p>
              </w:tc>
              <w:tc>
                <w:tcPr>
                  <w:tcW w:w="575" w:type="pct"/>
                  <w:vMerge w:val="restart"/>
                  <w:tcBorders>
                    <w:tl2br w:val="nil"/>
                    <w:tr2bl w:val="nil"/>
                  </w:tcBorders>
                  <w:noWrap w:val="0"/>
                  <w:vAlign w:val="center"/>
                </w:tcPr>
                <w:p w14:paraId="209E858F">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cs="Times New Roman"/>
                      <w:b w:val="0"/>
                      <w:bCs w:val="0"/>
                      <w:color w:val="1F497D" w:themeColor="text2"/>
                      <w:sz w:val="21"/>
                      <w:szCs w:val="21"/>
                      <w:highlight w:val="none"/>
                      <w:lang w:val="en-US" w:eastAsia="zh-CN"/>
                      <w14:textFill>
                        <w14:solidFill>
                          <w14:schemeClr w14:val="tx2"/>
                        </w14:solidFill>
                      </w14:textFill>
                    </w:rPr>
                  </w:pPr>
                  <w:r>
                    <w:rPr>
                      <w:rFonts w:hint="eastAsia" w:ascii="Times New Roman" w:cs="Times New Roman"/>
                      <w:b w:val="0"/>
                      <w:bCs w:val="0"/>
                      <w:color w:val="1F497D" w:themeColor="text2"/>
                      <w:sz w:val="21"/>
                      <w:szCs w:val="21"/>
                      <w:highlight w:val="none"/>
                      <w:lang w:val="en-US" w:eastAsia="zh-CN"/>
                      <w14:textFill>
                        <w14:solidFill>
                          <w14:schemeClr w14:val="tx2"/>
                        </w14:solidFill>
                      </w14:textFill>
                    </w:rPr>
                    <w:t>242.224</w:t>
                  </w:r>
                </w:p>
              </w:tc>
              <w:tc>
                <w:tcPr>
                  <w:tcW w:w="678" w:type="pct"/>
                  <w:tcBorders>
                    <w:tl2br w:val="nil"/>
                    <w:tr2bl w:val="nil"/>
                  </w:tcBorders>
                  <w:noWrap w:val="0"/>
                  <w:vAlign w:val="center"/>
                </w:tcPr>
                <w:p w14:paraId="129EE12D">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cs="Times New Roman"/>
                      <w:b w:val="0"/>
                      <w:bCs w:val="0"/>
                      <w:color w:val="1F497D" w:themeColor="text2"/>
                      <w:sz w:val="21"/>
                      <w:szCs w:val="21"/>
                      <w:highlight w:val="none"/>
                      <w:lang w:val="en-US" w:eastAsia="zh-CN"/>
                      <w14:textFill>
                        <w14:solidFill>
                          <w14:schemeClr w14:val="tx2"/>
                        </w14:solidFill>
                      </w14:textFill>
                    </w:rPr>
                  </w:pPr>
                  <w:r>
                    <w:rPr>
                      <w:rFonts w:hint="eastAsia" w:ascii="Times New Roman" w:cs="Times New Roman"/>
                      <w:b w:val="0"/>
                      <w:bCs w:val="0"/>
                      <w:color w:val="1F497D" w:themeColor="text2"/>
                      <w:sz w:val="21"/>
                      <w:szCs w:val="21"/>
                      <w:highlight w:val="none"/>
                      <w:lang w:val="en-US" w:eastAsia="zh-CN"/>
                      <w14:textFill>
                        <w14:solidFill>
                          <w14:schemeClr w14:val="tx2"/>
                        </w14:solidFill>
                      </w14:textFill>
                    </w:rPr>
                    <w:t>210.55</w:t>
                  </w:r>
                </w:p>
              </w:tc>
              <w:tc>
                <w:tcPr>
                  <w:tcW w:w="678" w:type="pct"/>
                  <w:tcBorders>
                    <w:tl2br w:val="nil"/>
                    <w:tr2bl w:val="nil"/>
                  </w:tcBorders>
                  <w:noWrap w:val="0"/>
                  <w:vAlign w:val="center"/>
                </w:tcPr>
                <w:p w14:paraId="462ACA5C">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cs="Times New Roman"/>
                      <w:b w:val="0"/>
                      <w:bCs w:val="0"/>
                      <w:color w:val="1F497D" w:themeColor="text2"/>
                      <w:sz w:val="21"/>
                      <w:szCs w:val="21"/>
                      <w:highlight w:val="none"/>
                      <w:lang w:val="en-US" w:eastAsia="zh-CN"/>
                      <w14:textFill>
                        <w14:solidFill>
                          <w14:schemeClr w14:val="tx2"/>
                        </w14:solidFill>
                      </w14:textFill>
                    </w:rPr>
                  </w:pPr>
                  <w:r>
                    <w:rPr>
                      <w:rFonts w:hint="eastAsia" w:ascii="Times New Roman" w:cs="Times New Roman"/>
                      <w:b w:val="0"/>
                      <w:bCs w:val="0"/>
                      <w:color w:val="1F497D" w:themeColor="text2"/>
                      <w:sz w:val="21"/>
                      <w:szCs w:val="21"/>
                      <w:highlight w:val="none"/>
                      <w:lang w:val="en-US" w:eastAsia="zh-CN"/>
                      <w14:textFill>
                        <w14:solidFill>
                          <w14:schemeClr w14:val="tx2"/>
                        </w14:solidFill>
                      </w14:textFill>
                    </w:rPr>
                    <w:t>82.57</w:t>
                  </w:r>
                </w:p>
              </w:tc>
              <w:tc>
                <w:tcPr>
                  <w:tcW w:w="678" w:type="pct"/>
                  <w:tcBorders>
                    <w:tl2br w:val="nil"/>
                    <w:tr2bl w:val="nil"/>
                  </w:tcBorders>
                  <w:noWrap w:val="0"/>
                  <w:vAlign w:val="center"/>
                </w:tcPr>
                <w:p w14:paraId="3DA6F92D">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cs="Times New Roman"/>
                      <w:b w:val="0"/>
                      <w:bCs w:val="0"/>
                      <w:color w:val="1F497D" w:themeColor="text2"/>
                      <w:sz w:val="21"/>
                      <w:szCs w:val="21"/>
                      <w:highlight w:val="none"/>
                      <w:lang w:val="en-US" w:eastAsia="zh-CN"/>
                      <w14:textFill>
                        <w14:solidFill>
                          <w14:schemeClr w14:val="tx2"/>
                        </w14:solidFill>
                      </w14:textFill>
                    </w:rPr>
                  </w:pPr>
                  <w:r>
                    <w:rPr>
                      <w:rFonts w:hint="eastAsia" w:ascii="Times New Roman" w:cs="Times New Roman"/>
                      <w:b w:val="0"/>
                      <w:bCs w:val="0"/>
                      <w:color w:val="1F497D" w:themeColor="text2"/>
                      <w:sz w:val="21"/>
                      <w:szCs w:val="21"/>
                      <w:highlight w:val="none"/>
                      <w:lang w:val="en-US" w:eastAsia="zh-CN"/>
                      <w14:textFill>
                        <w14:solidFill>
                          <w14:schemeClr w14:val="tx2"/>
                        </w14:solidFill>
                      </w14:textFill>
                    </w:rPr>
                    <w:t>177.52</w:t>
                  </w:r>
                </w:p>
              </w:tc>
              <w:tc>
                <w:tcPr>
                  <w:tcW w:w="678" w:type="pct"/>
                  <w:tcBorders>
                    <w:tl2br w:val="nil"/>
                    <w:tr2bl w:val="nil"/>
                  </w:tcBorders>
                  <w:noWrap w:val="0"/>
                  <w:vAlign w:val="center"/>
                </w:tcPr>
                <w:p w14:paraId="62C162C4">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cs="Times New Roman"/>
                      <w:b w:val="0"/>
                      <w:bCs w:val="0"/>
                      <w:color w:val="1F497D" w:themeColor="text2"/>
                      <w:sz w:val="21"/>
                      <w:szCs w:val="21"/>
                      <w:highlight w:val="none"/>
                      <w:lang w:val="en-US" w:eastAsia="zh-CN"/>
                      <w14:textFill>
                        <w14:solidFill>
                          <w14:schemeClr w14:val="tx2"/>
                        </w14:solidFill>
                      </w14:textFill>
                    </w:rPr>
                  </w:pPr>
                  <w:r>
                    <w:rPr>
                      <w:rFonts w:hint="eastAsia" w:ascii="Times New Roman" w:cs="Times New Roman"/>
                      <w:b w:val="0"/>
                      <w:bCs w:val="0"/>
                      <w:color w:val="1F497D" w:themeColor="text2"/>
                      <w:sz w:val="21"/>
                      <w:szCs w:val="21"/>
                      <w:highlight w:val="none"/>
                      <w:lang w:val="en-US" w:eastAsia="zh-CN"/>
                      <w14:textFill>
                        <w14:solidFill>
                          <w14:schemeClr w14:val="tx2"/>
                        </w14:solidFill>
                      </w14:textFill>
                    </w:rPr>
                    <w:t>42.94</w:t>
                  </w:r>
                </w:p>
              </w:tc>
              <w:tc>
                <w:tcPr>
                  <w:tcW w:w="680" w:type="pct"/>
                  <w:tcBorders>
                    <w:tl2br w:val="nil"/>
                    <w:tr2bl w:val="nil"/>
                  </w:tcBorders>
                  <w:noWrap w:val="0"/>
                  <w:vAlign w:val="center"/>
                </w:tcPr>
                <w:p w14:paraId="0CDCCABE">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cs="Times New Roman"/>
                      <w:b w:val="0"/>
                      <w:bCs w:val="0"/>
                      <w:color w:val="1F497D" w:themeColor="text2"/>
                      <w:sz w:val="21"/>
                      <w:szCs w:val="21"/>
                      <w:highlight w:val="none"/>
                      <w:lang w:val="en-US" w:eastAsia="zh-CN"/>
                      <w14:textFill>
                        <w14:solidFill>
                          <w14:schemeClr w14:val="tx2"/>
                        </w14:solidFill>
                      </w14:textFill>
                    </w:rPr>
                  </w:pPr>
                  <w:r>
                    <w:rPr>
                      <w:rFonts w:hint="eastAsia" w:ascii="Times New Roman" w:cs="Times New Roman"/>
                      <w:b w:val="0"/>
                      <w:bCs w:val="0"/>
                      <w:color w:val="1F497D" w:themeColor="text2"/>
                      <w:sz w:val="21"/>
                      <w:szCs w:val="21"/>
                      <w:highlight w:val="none"/>
                      <w:lang w:val="en-US" w:eastAsia="zh-CN"/>
                      <w14:textFill>
                        <w14:solidFill>
                          <w14:schemeClr w14:val="tx2"/>
                        </w14:solidFill>
                      </w14:textFill>
                    </w:rPr>
                    <w:t>2.06</w:t>
                  </w:r>
                </w:p>
              </w:tc>
            </w:tr>
            <w:tr w14:paraId="0AD591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3" w:type="pct"/>
                  <w:vMerge w:val="continue"/>
                  <w:tcBorders>
                    <w:tl2br w:val="nil"/>
                    <w:tr2bl w:val="nil"/>
                  </w:tcBorders>
                  <w:noWrap w:val="0"/>
                  <w:vAlign w:val="center"/>
                </w:tcPr>
                <w:p w14:paraId="41A09A85">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color w:val="1F497D" w:themeColor="text2"/>
                      <w:sz w:val="21"/>
                      <w:szCs w:val="21"/>
                      <w14:textFill>
                        <w14:solidFill>
                          <w14:schemeClr w14:val="tx2"/>
                        </w14:solidFill>
                      </w14:textFill>
                    </w:rPr>
                  </w:pPr>
                </w:p>
              </w:tc>
              <w:tc>
                <w:tcPr>
                  <w:tcW w:w="638" w:type="pct"/>
                  <w:tcBorders>
                    <w:tl2br w:val="nil"/>
                    <w:tr2bl w:val="nil"/>
                  </w:tcBorders>
                  <w:noWrap w:val="0"/>
                  <w:vAlign w:val="center"/>
                </w:tcPr>
                <w:p w14:paraId="3A69C268">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eastAsia" w:ascii="Times New Roman" w:cs="Times New Roman"/>
                      <w:b w:val="0"/>
                      <w:bCs w:val="0"/>
                      <w:color w:val="1F497D" w:themeColor="text2"/>
                      <w:sz w:val="21"/>
                      <w:szCs w:val="21"/>
                      <w:highlight w:val="none"/>
                      <w:lang w:val="en-US" w:eastAsia="zh-CN"/>
                      <w14:textFill>
                        <w14:solidFill>
                          <w14:schemeClr w14:val="tx2"/>
                        </w14:solidFill>
                      </w14:textFill>
                    </w:rPr>
                  </w:pPr>
                  <w:r>
                    <w:rPr>
                      <w:rFonts w:hint="eastAsia" w:ascii="Times New Roman" w:cs="Times New Roman"/>
                      <w:b w:val="0"/>
                      <w:bCs w:val="0"/>
                      <w:color w:val="1F497D" w:themeColor="text2"/>
                      <w:sz w:val="21"/>
                      <w:szCs w:val="21"/>
                      <w:highlight w:val="none"/>
                      <w:lang w:val="en-US" w:eastAsia="zh-CN"/>
                      <w14:textFill>
                        <w14:solidFill>
                          <w14:schemeClr w14:val="tx2"/>
                        </w14:solidFill>
                      </w14:textFill>
                    </w:rPr>
                    <w:t>产生量（t/a）</w:t>
                  </w:r>
                </w:p>
              </w:tc>
              <w:tc>
                <w:tcPr>
                  <w:tcW w:w="575" w:type="pct"/>
                  <w:vMerge w:val="continue"/>
                  <w:tcBorders>
                    <w:tl2br w:val="nil"/>
                    <w:tr2bl w:val="nil"/>
                  </w:tcBorders>
                  <w:noWrap w:val="0"/>
                  <w:vAlign w:val="center"/>
                </w:tcPr>
                <w:p w14:paraId="6C2461F7">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eastAsia" w:ascii="Times New Roman" w:cs="Times New Roman"/>
                      <w:b w:val="0"/>
                      <w:bCs w:val="0"/>
                      <w:color w:val="1F497D" w:themeColor="text2"/>
                      <w:sz w:val="21"/>
                      <w:szCs w:val="21"/>
                      <w:highlight w:val="none"/>
                      <w:lang w:val="en-US" w:eastAsia="zh-CN"/>
                      <w14:textFill>
                        <w14:solidFill>
                          <w14:schemeClr w14:val="tx2"/>
                        </w14:solidFill>
                      </w14:textFill>
                    </w:rPr>
                  </w:pPr>
                </w:p>
              </w:tc>
              <w:tc>
                <w:tcPr>
                  <w:tcW w:w="678" w:type="pct"/>
                  <w:tcBorders>
                    <w:tl2br w:val="nil"/>
                    <w:tr2bl w:val="nil"/>
                  </w:tcBorders>
                  <w:noWrap w:val="0"/>
                  <w:vAlign w:val="center"/>
                </w:tcPr>
                <w:p w14:paraId="29BFDA6A">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cs="Times New Roman"/>
                      <w:b w:val="0"/>
                      <w:bCs w:val="0"/>
                      <w:color w:val="1F497D" w:themeColor="text2"/>
                      <w:sz w:val="21"/>
                      <w:szCs w:val="21"/>
                      <w:highlight w:val="none"/>
                      <w:lang w:val="en-US" w:eastAsia="zh-CN"/>
                      <w14:textFill>
                        <w14:solidFill>
                          <w14:schemeClr w14:val="tx2"/>
                        </w14:solidFill>
                      </w14:textFill>
                    </w:rPr>
                  </w:pPr>
                  <w:r>
                    <w:rPr>
                      <w:rFonts w:hint="eastAsia" w:ascii="Times New Roman" w:cs="Times New Roman"/>
                      <w:b w:val="0"/>
                      <w:bCs w:val="0"/>
                      <w:color w:val="1F497D" w:themeColor="text2"/>
                      <w:sz w:val="21"/>
                      <w:szCs w:val="21"/>
                      <w:highlight w:val="none"/>
                      <w:lang w:val="en-US" w:eastAsia="zh-CN"/>
                      <w14:textFill>
                        <w14:solidFill>
                          <w14:schemeClr w14:val="tx2"/>
                        </w14:solidFill>
                      </w14:textFill>
                    </w:rPr>
                    <w:t>0.051</w:t>
                  </w:r>
                </w:p>
              </w:tc>
              <w:tc>
                <w:tcPr>
                  <w:tcW w:w="678" w:type="pct"/>
                  <w:tcBorders>
                    <w:tl2br w:val="nil"/>
                    <w:tr2bl w:val="nil"/>
                  </w:tcBorders>
                  <w:noWrap w:val="0"/>
                  <w:vAlign w:val="center"/>
                </w:tcPr>
                <w:p w14:paraId="3D4298D3">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cs="Times New Roman"/>
                      <w:b w:val="0"/>
                      <w:bCs w:val="0"/>
                      <w:color w:val="1F497D" w:themeColor="text2"/>
                      <w:sz w:val="21"/>
                      <w:szCs w:val="21"/>
                      <w:highlight w:val="none"/>
                      <w:lang w:val="en-US" w:eastAsia="zh-CN"/>
                      <w14:textFill>
                        <w14:solidFill>
                          <w14:schemeClr w14:val="tx2"/>
                        </w14:solidFill>
                      </w14:textFill>
                    </w:rPr>
                  </w:pPr>
                  <w:r>
                    <w:rPr>
                      <w:rFonts w:hint="eastAsia" w:ascii="Times New Roman" w:cs="Times New Roman"/>
                      <w:b w:val="0"/>
                      <w:bCs w:val="0"/>
                      <w:color w:val="1F497D" w:themeColor="text2"/>
                      <w:sz w:val="21"/>
                      <w:szCs w:val="21"/>
                      <w:highlight w:val="none"/>
                      <w:lang w:val="en-US" w:eastAsia="zh-CN"/>
                      <w14:textFill>
                        <w14:solidFill>
                          <w14:schemeClr w14:val="tx2"/>
                        </w14:solidFill>
                      </w14:textFill>
                    </w:rPr>
                    <w:t>0.020</w:t>
                  </w:r>
                </w:p>
              </w:tc>
              <w:tc>
                <w:tcPr>
                  <w:tcW w:w="678" w:type="pct"/>
                  <w:tcBorders>
                    <w:tl2br w:val="nil"/>
                    <w:tr2bl w:val="nil"/>
                  </w:tcBorders>
                  <w:noWrap w:val="0"/>
                  <w:vAlign w:val="center"/>
                </w:tcPr>
                <w:p w14:paraId="6885D14A">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cs="Times New Roman"/>
                      <w:b w:val="0"/>
                      <w:bCs w:val="0"/>
                      <w:color w:val="1F497D" w:themeColor="text2"/>
                      <w:sz w:val="21"/>
                      <w:szCs w:val="21"/>
                      <w:highlight w:val="none"/>
                      <w:lang w:val="en-US" w:eastAsia="zh-CN"/>
                      <w14:textFill>
                        <w14:solidFill>
                          <w14:schemeClr w14:val="tx2"/>
                        </w14:solidFill>
                      </w14:textFill>
                    </w:rPr>
                  </w:pPr>
                  <w:r>
                    <w:rPr>
                      <w:rFonts w:hint="eastAsia" w:ascii="Times New Roman" w:cs="Times New Roman"/>
                      <w:b w:val="0"/>
                      <w:bCs w:val="0"/>
                      <w:color w:val="1F497D" w:themeColor="text2"/>
                      <w:sz w:val="21"/>
                      <w:szCs w:val="21"/>
                      <w:highlight w:val="none"/>
                      <w:lang w:val="en-US" w:eastAsia="zh-CN"/>
                      <w14:textFill>
                        <w14:solidFill>
                          <w14:schemeClr w14:val="tx2"/>
                        </w14:solidFill>
                      </w14:textFill>
                    </w:rPr>
                    <w:t>0.043</w:t>
                  </w:r>
                </w:p>
              </w:tc>
              <w:tc>
                <w:tcPr>
                  <w:tcW w:w="678" w:type="pct"/>
                  <w:tcBorders>
                    <w:tl2br w:val="nil"/>
                    <w:tr2bl w:val="nil"/>
                  </w:tcBorders>
                  <w:noWrap w:val="0"/>
                  <w:vAlign w:val="center"/>
                </w:tcPr>
                <w:p w14:paraId="4D4B097F">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cs="Times New Roman"/>
                      <w:b w:val="0"/>
                      <w:bCs w:val="0"/>
                      <w:color w:val="1F497D" w:themeColor="text2"/>
                      <w:sz w:val="21"/>
                      <w:szCs w:val="21"/>
                      <w:highlight w:val="none"/>
                      <w:lang w:val="en-US" w:eastAsia="zh-CN"/>
                      <w14:textFill>
                        <w14:solidFill>
                          <w14:schemeClr w14:val="tx2"/>
                        </w14:solidFill>
                      </w14:textFill>
                    </w:rPr>
                  </w:pPr>
                  <w:r>
                    <w:rPr>
                      <w:rFonts w:hint="eastAsia" w:ascii="Times New Roman" w:cs="Times New Roman"/>
                      <w:b w:val="0"/>
                      <w:bCs w:val="0"/>
                      <w:color w:val="1F497D" w:themeColor="text2"/>
                      <w:sz w:val="21"/>
                      <w:szCs w:val="21"/>
                      <w:highlight w:val="none"/>
                      <w:lang w:val="en-US" w:eastAsia="zh-CN"/>
                      <w14:textFill>
                        <w14:solidFill>
                          <w14:schemeClr w14:val="tx2"/>
                        </w14:solidFill>
                      </w14:textFill>
                    </w:rPr>
                    <w:t>0.0104</w:t>
                  </w:r>
                </w:p>
              </w:tc>
              <w:tc>
                <w:tcPr>
                  <w:tcW w:w="680" w:type="pct"/>
                  <w:tcBorders>
                    <w:tl2br w:val="nil"/>
                    <w:tr2bl w:val="nil"/>
                  </w:tcBorders>
                  <w:noWrap w:val="0"/>
                  <w:vAlign w:val="center"/>
                </w:tcPr>
                <w:p w14:paraId="08E4DCC2">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cs="Times New Roman"/>
                      <w:b w:val="0"/>
                      <w:bCs w:val="0"/>
                      <w:color w:val="1F497D" w:themeColor="text2"/>
                      <w:sz w:val="21"/>
                      <w:szCs w:val="21"/>
                      <w:highlight w:val="none"/>
                      <w:lang w:val="en-US" w:eastAsia="zh-CN"/>
                      <w14:textFill>
                        <w14:solidFill>
                          <w14:schemeClr w14:val="tx2"/>
                        </w14:solidFill>
                      </w14:textFill>
                    </w:rPr>
                  </w:pPr>
                  <w:r>
                    <w:rPr>
                      <w:rFonts w:hint="eastAsia" w:ascii="Times New Roman" w:cs="Times New Roman"/>
                      <w:b w:val="0"/>
                      <w:bCs w:val="0"/>
                      <w:color w:val="1F497D" w:themeColor="text2"/>
                      <w:sz w:val="21"/>
                      <w:szCs w:val="21"/>
                      <w:highlight w:val="none"/>
                      <w:lang w:val="en-US" w:eastAsia="zh-CN"/>
                      <w14:textFill>
                        <w14:solidFill>
                          <w14:schemeClr w14:val="tx2"/>
                        </w14:solidFill>
                      </w14:textFill>
                    </w:rPr>
                    <w:t>0.0005</w:t>
                  </w:r>
                </w:p>
              </w:tc>
            </w:tr>
            <w:tr w14:paraId="6E1D4F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8"/>
                  <w:tcBorders>
                    <w:tl2br w:val="nil"/>
                    <w:tr2bl w:val="nil"/>
                  </w:tcBorders>
                  <w:noWrap w:val="0"/>
                  <w:vAlign w:val="center"/>
                </w:tcPr>
                <w:p w14:paraId="374CCC4D">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eastAsia" w:ascii="Times New Roman" w:cs="Times New Roman"/>
                      <w:b/>
                      <w:bCs/>
                      <w:color w:val="1F497D" w:themeColor="text2"/>
                      <w:sz w:val="21"/>
                      <w:szCs w:val="21"/>
                      <w:highlight w:val="none"/>
                      <w:lang w:val="en-US" w:eastAsia="zh-CN"/>
                      <w14:textFill>
                        <w14:solidFill>
                          <w14:schemeClr w14:val="tx2"/>
                        </w14:solidFill>
                      </w14:textFill>
                    </w:rPr>
                  </w:pPr>
                  <w:r>
                    <w:rPr>
                      <w:rFonts w:hint="eastAsia" w:ascii="Times New Roman" w:cs="Times New Roman"/>
                      <w:b/>
                      <w:bCs/>
                      <w:color w:val="1F497D" w:themeColor="text2"/>
                      <w:sz w:val="21"/>
                      <w:szCs w:val="21"/>
                      <w:highlight w:val="none"/>
                      <w:lang w:val="en-US" w:eastAsia="zh-CN"/>
                      <w14:textFill>
                        <w14:solidFill>
                          <w14:schemeClr w14:val="tx2"/>
                        </w14:solidFill>
                      </w14:textFill>
                    </w:rPr>
                    <w:t>一体化（MBR）洗车废水处理设施（格栅—沉淀调节池—MBR反应器）</w:t>
                  </w:r>
                </w:p>
              </w:tc>
            </w:tr>
            <w:tr w14:paraId="298009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3" w:type="pct"/>
                  <w:vMerge w:val="restart"/>
                  <w:tcBorders>
                    <w:tl2br w:val="nil"/>
                    <w:tr2bl w:val="nil"/>
                  </w:tcBorders>
                  <w:noWrap w:val="0"/>
                  <w:vAlign w:val="center"/>
                </w:tcPr>
                <w:p w14:paraId="6D40FF4C">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1F497D" w:themeColor="text2"/>
                      <w:sz w:val="21"/>
                      <w:szCs w:val="21"/>
                      <w:highlight w:val="none"/>
                      <w:lang w:val="en-US" w:eastAsia="zh-CN"/>
                      <w14:textFill>
                        <w14:solidFill>
                          <w14:schemeClr w14:val="tx2"/>
                        </w14:solidFill>
                      </w14:textFill>
                    </w:rPr>
                  </w:pPr>
                  <w:r>
                    <w:rPr>
                      <w:rFonts w:hint="default" w:ascii="Times New Roman" w:hAnsi="Times New Roman" w:eastAsia="宋体" w:cs="Times New Roman"/>
                      <w:b w:val="0"/>
                      <w:bCs w:val="0"/>
                      <w:color w:val="1F497D" w:themeColor="text2"/>
                      <w:sz w:val="21"/>
                      <w:szCs w:val="21"/>
                      <w:highlight w:val="none"/>
                      <w:lang w:val="en-US" w:eastAsia="zh-CN"/>
                      <w14:textFill>
                        <w14:solidFill>
                          <w14:schemeClr w14:val="tx2"/>
                        </w14:solidFill>
                      </w14:textFill>
                    </w:rPr>
                    <w:t>格栅</w:t>
                  </w:r>
                </w:p>
              </w:tc>
              <w:tc>
                <w:tcPr>
                  <w:tcW w:w="638" w:type="pct"/>
                  <w:tcBorders>
                    <w:tl2br w:val="nil"/>
                    <w:tr2bl w:val="nil"/>
                  </w:tcBorders>
                  <w:noWrap w:val="0"/>
                  <w:vAlign w:val="center"/>
                </w:tcPr>
                <w:p w14:paraId="0EBD0075">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1F497D" w:themeColor="text2"/>
                      <w:sz w:val="21"/>
                      <w:szCs w:val="21"/>
                      <w:highlight w:val="none"/>
                      <w:lang w:val="en-US" w:eastAsia="zh-CN"/>
                      <w14:textFill>
                        <w14:solidFill>
                          <w14:schemeClr w14:val="tx2"/>
                        </w14:solidFill>
                      </w14:textFill>
                    </w:rPr>
                  </w:pPr>
                  <w:r>
                    <w:rPr>
                      <w:rFonts w:hint="eastAsia"/>
                      <w:color w:val="1F497D" w:themeColor="text2"/>
                      <w:sz w:val="21"/>
                      <w:szCs w:val="21"/>
                      <w:vertAlign w:val="baseline"/>
                      <w14:textFill>
                        <w14:solidFill>
                          <w14:schemeClr w14:val="tx2"/>
                        </w14:solidFill>
                      </w14:textFill>
                    </w:rPr>
                    <w:t>治理效率（%）</w:t>
                  </w:r>
                </w:p>
              </w:tc>
              <w:tc>
                <w:tcPr>
                  <w:tcW w:w="575" w:type="pct"/>
                  <w:tcBorders>
                    <w:tl2br w:val="nil"/>
                    <w:tr2bl w:val="nil"/>
                  </w:tcBorders>
                  <w:noWrap w:val="0"/>
                  <w:vAlign w:val="center"/>
                </w:tcPr>
                <w:p w14:paraId="1E258862">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cs="Times New Roman"/>
                      <w:b w:val="0"/>
                      <w:bCs w:val="0"/>
                      <w:color w:val="1F497D" w:themeColor="text2"/>
                      <w:kern w:val="2"/>
                      <w:sz w:val="21"/>
                      <w:szCs w:val="21"/>
                      <w:highlight w:val="none"/>
                      <w:lang w:val="en-US" w:eastAsia="zh-CN" w:bidi="ar-SA"/>
                      <w14:textFill>
                        <w14:solidFill>
                          <w14:schemeClr w14:val="tx2"/>
                        </w14:solidFill>
                      </w14:textFill>
                    </w:rPr>
                  </w:pPr>
                  <w:r>
                    <w:rPr>
                      <w:rFonts w:hint="eastAsia" w:ascii="Times New Roman" w:cs="Times New Roman"/>
                      <w:b w:val="0"/>
                      <w:snapToGrid/>
                      <w:color w:val="1F497D" w:themeColor="text2"/>
                      <w:spacing w:val="4"/>
                      <w:kern w:val="18"/>
                      <w:sz w:val="21"/>
                      <w:szCs w:val="21"/>
                      <w:lang w:val="en-US" w:eastAsia="zh-CN" w:bidi="ar-SA"/>
                      <w14:textFill>
                        <w14:solidFill>
                          <w14:schemeClr w14:val="tx2"/>
                        </w14:solidFill>
                      </w14:textFill>
                    </w:rPr>
                    <w:t>/</w:t>
                  </w:r>
                </w:p>
              </w:tc>
              <w:tc>
                <w:tcPr>
                  <w:tcW w:w="678" w:type="pct"/>
                  <w:tcBorders>
                    <w:tl2br w:val="nil"/>
                    <w:tr2bl w:val="nil"/>
                  </w:tcBorders>
                  <w:noWrap w:val="0"/>
                  <w:vAlign w:val="center"/>
                </w:tcPr>
                <w:p w14:paraId="53A8AF4E">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cs="Times New Roman"/>
                      <w:b w:val="0"/>
                      <w:bCs w:val="0"/>
                      <w:color w:val="1F497D" w:themeColor="text2"/>
                      <w:kern w:val="2"/>
                      <w:sz w:val="21"/>
                      <w:szCs w:val="21"/>
                      <w:highlight w:val="none"/>
                      <w:lang w:val="en-US" w:eastAsia="zh-CN" w:bidi="ar-SA"/>
                      <w14:textFill>
                        <w14:solidFill>
                          <w14:schemeClr w14:val="tx2"/>
                        </w14:solidFill>
                      </w14:textFill>
                    </w:rPr>
                  </w:pPr>
                  <w:r>
                    <w:rPr>
                      <w:rFonts w:hint="eastAsia" w:ascii="Times New Roman" w:cs="Times New Roman"/>
                      <w:b w:val="0"/>
                      <w:snapToGrid/>
                      <w:color w:val="1F497D" w:themeColor="text2"/>
                      <w:spacing w:val="4"/>
                      <w:kern w:val="18"/>
                      <w:sz w:val="21"/>
                      <w:szCs w:val="21"/>
                      <w:lang w:val="en-US" w:eastAsia="zh-CN" w:bidi="ar-SA"/>
                      <w14:textFill>
                        <w14:solidFill>
                          <w14:schemeClr w14:val="tx2"/>
                        </w14:solidFill>
                      </w14:textFill>
                    </w:rPr>
                    <w:t>/</w:t>
                  </w:r>
                </w:p>
              </w:tc>
              <w:tc>
                <w:tcPr>
                  <w:tcW w:w="678" w:type="pct"/>
                  <w:tcBorders>
                    <w:tl2br w:val="nil"/>
                    <w:tr2bl w:val="nil"/>
                  </w:tcBorders>
                  <w:noWrap w:val="0"/>
                  <w:vAlign w:val="center"/>
                </w:tcPr>
                <w:p w14:paraId="0BFD20D5">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cs="Times New Roman"/>
                      <w:b w:val="0"/>
                      <w:bCs w:val="0"/>
                      <w:color w:val="1F497D" w:themeColor="text2"/>
                      <w:kern w:val="2"/>
                      <w:sz w:val="21"/>
                      <w:szCs w:val="21"/>
                      <w:highlight w:val="none"/>
                      <w:lang w:val="en-US" w:eastAsia="zh-CN" w:bidi="ar-SA"/>
                      <w14:textFill>
                        <w14:solidFill>
                          <w14:schemeClr w14:val="tx2"/>
                        </w14:solidFill>
                      </w14:textFill>
                    </w:rPr>
                  </w:pPr>
                  <w:r>
                    <w:rPr>
                      <w:rFonts w:hint="eastAsia" w:ascii="Times New Roman" w:cs="Times New Roman"/>
                      <w:b w:val="0"/>
                      <w:bCs w:val="0"/>
                      <w:color w:val="1F497D" w:themeColor="text2"/>
                      <w:kern w:val="2"/>
                      <w:sz w:val="21"/>
                      <w:szCs w:val="21"/>
                      <w:highlight w:val="none"/>
                      <w:lang w:val="en-US" w:eastAsia="zh-CN" w:bidi="ar-SA"/>
                      <w14:textFill>
                        <w14:solidFill>
                          <w14:schemeClr w14:val="tx2"/>
                        </w14:solidFill>
                      </w14:textFill>
                    </w:rPr>
                    <w:t>/</w:t>
                  </w:r>
                </w:p>
              </w:tc>
              <w:tc>
                <w:tcPr>
                  <w:tcW w:w="678" w:type="pct"/>
                  <w:tcBorders>
                    <w:tl2br w:val="nil"/>
                    <w:tr2bl w:val="nil"/>
                  </w:tcBorders>
                  <w:noWrap w:val="0"/>
                  <w:vAlign w:val="center"/>
                </w:tcPr>
                <w:p w14:paraId="32B21DCC">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cs="Times New Roman"/>
                      <w:b w:val="0"/>
                      <w:bCs w:val="0"/>
                      <w:color w:val="1F497D" w:themeColor="text2"/>
                      <w:kern w:val="2"/>
                      <w:sz w:val="21"/>
                      <w:szCs w:val="21"/>
                      <w:highlight w:val="none"/>
                      <w:lang w:val="en-US" w:eastAsia="zh-CN" w:bidi="ar-SA"/>
                      <w14:textFill>
                        <w14:solidFill>
                          <w14:schemeClr w14:val="tx2"/>
                        </w14:solidFill>
                      </w14:textFill>
                    </w:rPr>
                  </w:pPr>
                  <w:r>
                    <w:rPr>
                      <w:rFonts w:hint="eastAsia" w:ascii="Times New Roman" w:cs="Times New Roman"/>
                      <w:b w:val="0"/>
                      <w:bCs w:val="0"/>
                      <w:color w:val="1F497D" w:themeColor="text2"/>
                      <w:kern w:val="2"/>
                      <w:sz w:val="21"/>
                      <w:szCs w:val="21"/>
                      <w:highlight w:val="none"/>
                      <w:lang w:val="en-US" w:eastAsia="zh-CN" w:bidi="ar-SA"/>
                      <w14:textFill>
                        <w14:solidFill>
                          <w14:schemeClr w14:val="tx2"/>
                        </w14:solidFill>
                      </w14:textFill>
                    </w:rPr>
                    <w:t>20</w:t>
                  </w:r>
                </w:p>
              </w:tc>
              <w:tc>
                <w:tcPr>
                  <w:tcW w:w="678" w:type="pct"/>
                  <w:tcBorders>
                    <w:tl2br w:val="nil"/>
                    <w:tr2bl w:val="nil"/>
                  </w:tcBorders>
                  <w:noWrap w:val="0"/>
                  <w:vAlign w:val="center"/>
                </w:tcPr>
                <w:p w14:paraId="4BBAEEA2">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cs="Times New Roman"/>
                      <w:b w:val="0"/>
                      <w:bCs w:val="0"/>
                      <w:color w:val="1F497D" w:themeColor="text2"/>
                      <w:sz w:val="21"/>
                      <w:szCs w:val="21"/>
                      <w:highlight w:val="none"/>
                      <w:lang w:val="en-US" w:eastAsia="zh-CN"/>
                      <w14:textFill>
                        <w14:solidFill>
                          <w14:schemeClr w14:val="tx2"/>
                        </w14:solidFill>
                      </w14:textFill>
                    </w:rPr>
                  </w:pPr>
                  <w:r>
                    <w:rPr>
                      <w:rFonts w:hint="eastAsia" w:ascii="Times New Roman" w:cs="Times New Roman"/>
                      <w:b w:val="0"/>
                      <w:bCs w:val="0"/>
                      <w:color w:val="1F497D" w:themeColor="text2"/>
                      <w:sz w:val="21"/>
                      <w:szCs w:val="21"/>
                      <w:highlight w:val="none"/>
                      <w:lang w:val="en-US" w:eastAsia="zh-CN"/>
                      <w14:textFill>
                        <w14:solidFill>
                          <w14:schemeClr w14:val="tx2"/>
                        </w14:solidFill>
                      </w14:textFill>
                    </w:rPr>
                    <w:t>/</w:t>
                  </w:r>
                </w:p>
              </w:tc>
              <w:tc>
                <w:tcPr>
                  <w:tcW w:w="680" w:type="pct"/>
                  <w:tcBorders>
                    <w:tl2br w:val="nil"/>
                    <w:tr2bl w:val="nil"/>
                  </w:tcBorders>
                  <w:noWrap w:val="0"/>
                  <w:vAlign w:val="center"/>
                </w:tcPr>
                <w:p w14:paraId="63B88740">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cs="Times New Roman"/>
                      <w:b w:val="0"/>
                      <w:bCs w:val="0"/>
                      <w:color w:val="1F497D" w:themeColor="text2"/>
                      <w:sz w:val="21"/>
                      <w:szCs w:val="21"/>
                      <w:highlight w:val="none"/>
                      <w:lang w:val="en-US" w:eastAsia="zh-CN"/>
                      <w14:textFill>
                        <w14:solidFill>
                          <w14:schemeClr w14:val="tx2"/>
                        </w14:solidFill>
                      </w14:textFill>
                    </w:rPr>
                  </w:pPr>
                  <w:r>
                    <w:rPr>
                      <w:rFonts w:hint="eastAsia" w:ascii="Times New Roman" w:cs="Times New Roman"/>
                      <w:b w:val="0"/>
                      <w:bCs w:val="0"/>
                      <w:color w:val="1F497D" w:themeColor="text2"/>
                      <w:kern w:val="2"/>
                      <w:sz w:val="21"/>
                      <w:szCs w:val="21"/>
                      <w:highlight w:val="none"/>
                      <w:lang w:val="en-US" w:eastAsia="zh-CN" w:bidi="ar-SA"/>
                      <w14:textFill>
                        <w14:solidFill>
                          <w14:schemeClr w14:val="tx2"/>
                        </w14:solidFill>
                      </w14:textFill>
                    </w:rPr>
                    <w:t>/</w:t>
                  </w:r>
                </w:p>
              </w:tc>
            </w:tr>
            <w:tr w14:paraId="5CD095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3" w:type="pct"/>
                  <w:vMerge w:val="continue"/>
                  <w:tcBorders>
                    <w:tl2br w:val="nil"/>
                    <w:tr2bl w:val="nil"/>
                  </w:tcBorders>
                  <w:noWrap w:val="0"/>
                  <w:vAlign w:val="center"/>
                </w:tcPr>
                <w:p w14:paraId="5574907C">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1F497D" w:themeColor="text2"/>
                      <w:sz w:val="21"/>
                      <w:szCs w:val="21"/>
                      <w:highlight w:val="none"/>
                      <w:lang w:val="en-US" w:eastAsia="zh-CN"/>
                      <w14:textFill>
                        <w14:solidFill>
                          <w14:schemeClr w14:val="tx2"/>
                        </w14:solidFill>
                      </w14:textFill>
                    </w:rPr>
                  </w:pPr>
                </w:p>
              </w:tc>
              <w:tc>
                <w:tcPr>
                  <w:tcW w:w="638" w:type="pct"/>
                  <w:tcBorders>
                    <w:tl2br w:val="nil"/>
                    <w:tr2bl w:val="nil"/>
                  </w:tcBorders>
                  <w:noWrap w:val="0"/>
                  <w:vAlign w:val="center"/>
                </w:tcPr>
                <w:p w14:paraId="4B1F8D20">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1F497D" w:themeColor="text2"/>
                      <w:sz w:val="21"/>
                      <w:szCs w:val="21"/>
                      <w:highlight w:val="none"/>
                      <w:lang w:val="en-US" w:eastAsia="zh-CN"/>
                      <w14:textFill>
                        <w14:solidFill>
                          <w14:schemeClr w14:val="tx2"/>
                        </w14:solidFill>
                      </w14:textFill>
                    </w:rPr>
                  </w:pPr>
                  <w:r>
                    <w:rPr>
                      <w:color w:val="1F497D" w:themeColor="text2"/>
                      <w:sz w:val="21"/>
                      <w:szCs w:val="21"/>
                      <w:vertAlign w:val="baseline"/>
                      <w14:textFill>
                        <w14:solidFill>
                          <w14:schemeClr w14:val="tx2"/>
                        </w14:solidFill>
                      </w14:textFill>
                    </w:rPr>
                    <w:t>排放浓度</w:t>
                  </w:r>
                  <w:r>
                    <w:rPr>
                      <w:rFonts w:hint="eastAsia"/>
                      <w:color w:val="1F497D" w:themeColor="text2"/>
                      <w:sz w:val="21"/>
                      <w:szCs w:val="21"/>
                      <w:vertAlign w:val="baseline"/>
                      <w:lang w:eastAsia="zh-CN"/>
                      <w14:textFill>
                        <w14:solidFill>
                          <w14:schemeClr w14:val="tx2"/>
                        </w14:solidFill>
                      </w14:textFill>
                    </w:rPr>
                    <w:t>（</w:t>
                  </w:r>
                  <w:r>
                    <w:rPr>
                      <w:color w:val="1F497D" w:themeColor="text2"/>
                      <w:sz w:val="21"/>
                      <w:szCs w:val="21"/>
                      <w:vertAlign w:val="baseline"/>
                      <w14:textFill>
                        <w14:solidFill>
                          <w14:schemeClr w14:val="tx2"/>
                        </w14:solidFill>
                      </w14:textFill>
                    </w:rPr>
                    <w:t>mg/L</w:t>
                  </w:r>
                  <w:r>
                    <w:rPr>
                      <w:rFonts w:hint="eastAsia"/>
                      <w:color w:val="1F497D" w:themeColor="text2"/>
                      <w:sz w:val="21"/>
                      <w:szCs w:val="21"/>
                      <w:vertAlign w:val="baseline"/>
                      <w:lang w:eastAsia="zh-CN"/>
                      <w14:textFill>
                        <w14:solidFill>
                          <w14:schemeClr w14:val="tx2"/>
                        </w14:solidFill>
                      </w14:textFill>
                    </w:rPr>
                    <w:t>）</w:t>
                  </w:r>
                </w:p>
              </w:tc>
              <w:tc>
                <w:tcPr>
                  <w:tcW w:w="575" w:type="pct"/>
                  <w:tcBorders>
                    <w:tl2br w:val="nil"/>
                    <w:tr2bl w:val="nil"/>
                  </w:tcBorders>
                  <w:noWrap w:val="0"/>
                  <w:vAlign w:val="center"/>
                </w:tcPr>
                <w:p w14:paraId="6367DAF5">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cs="Times New Roman"/>
                      <w:b w:val="0"/>
                      <w:bCs w:val="0"/>
                      <w:color w:val="1F497D" w:themeColor="text2"/>
                      <w:kern w:val="2"/>
                      <w:sz w:val="21"/>
                      <w:szCs w:val="21"/>
                      <w:highlight w:val="none"/>
                      <w:lang w:val="en-US" w:eastAsia="zh-CN" w:bidi="ar-SA"/>
                      <w14:textFill>
                        <w14:solidFill>
                          <w14:schemeClr w14:val="tx2"/>
                        </w14:solidFill>
                      </w14:textFill>
                    </w:rPr>
                  </w:pPr>
                  <w:r>
                    <w:rPr>
                      <w:rFonts w:hint="eastAsia" w:ascii="Times New Roman" w:cs="Times New Roman"/>
                      <w:b w:val="0"/>
                      <w:snapToGrid/>
                      <w:color w:val="1F497D" w:themeColor="text2"/>
                      <w:spacing w:val="4"/>
                      <w:kern w:val="18"/>
                      <w:sz w:val="21"/>
                      <w:szCs w:val="21"/>
                      <w:lang w:val="en-US" w:eastAsia="zh-CN" w:bidi="ar-SA"/>
                      <w14:textFill>
                        <w14:solidFill>
                          <w14:schemeClr w14:val="tx2"/>
                        </w14:solidFill>
                      </w14:textFill>
                    </w:rPr>
                    <w:t>/</w:t>
                  </w:r>
                </w:p>
              </w:tc>
              <w:tc>
                <w:tcPr>
                  <w:tcW w:w="678" w:type="pct"/>
                  <w:tcBorders>
                    <w:tl2br w:val="nil"/>
                    <w:tr2bl w:val="nil"/>
                  </w:tcBorders>
                  <w:noWrap w:val="0"/>
                  <w:vAlign w:val="center"/>
                </w:tcPr>
                <w:p w14:paraId="6750E1B7">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cs="Times New Roman"/>
                      <w:b w:val="0"/>
                      <w:bCs w:val="0"/>
                      <w:color w:val="1F497D" w:themeColor="text2"/>
                      <w:kern w:val="2"/>
                      <w:sz w:val="21"/>
                      <w:szCs w:val="21"/>
                      <w:highlight w:val="none"/>
                      <w:lang w:val="en-US" w:eastAsia="zh-CN" w:bidi="ar-SA"/>
                      <w14:textFill>
                        <w14:solidFill>
                          <w14:schemeClr w14:val="tx2"/>
                        </w14:solidFill>
                      </w14:textFill>
                    </w:rPr>
                  </w:pPr>
                  <w:r>
                    <w:rPr>
                      <w:rFonts w:hint="eastAsia" w:ascii="Times New Roman" w:cs="Times New Roman"/>
                      <w:b w:val="0"/>
                      <w:bCs w:val="0"/>
                      <w:color w:val="1F497D" w:themeColor="text2"/>
                      <w:sz w:val="21"/>
                      <w:szCs w:val="21"/>
                      <w:highlight w:val="none"/>
                      <w:lang w:val="en-US" w:eastAsia="zh-CN"/>
                      <w14:textFill>
                        <w14:solidFill>
                          <w14:schemeClr w14:val="tx2"/>
                        </w14:solidFill>
                      </w14:textFill>
                    </w:rPr>
                    <w:t>210.55</w:t>
                  </w:r>
                </w:p>
              </w:tc>
              <w:tc>
                <w:tcPr>
                  <w:tcW w:w="678" w:type="pct"/>
                  <w:tcBorders>
                    <w:tl2br w:val="nil"/>
                    <w:tr2bl w:val="nil"/>
                  </w:tcBorders>
                  <w:noWrap w:val="0"/>
                  <w:vAlign w:val="center"/>
                </w:tcPr>
                <w:p w14:paraId="4B284665">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cs="Times New Roman"/>
                      <w:b w:val="0"/>
                      <w:bCs w:val="0"/>
                      <w:color w:val="1F497D" w:themeColor="text2"/>
                      <w:kern w:val="2"/>
                      <w:sz w:val="21"/>
                      <w:szCs w:val="21"/>
                      <w:highlight w:val="none"/>
                      <w:lang w:val="en-US" w:eastAsia="zh-CN" w:bidi="ar-SA"/>
                      <w14:textFill>
                        <w14:solidFill>
                          <w14:schemeClr w14:val="tx2"/>
                        </w14:solidFill>
                      </w14:textFill>
                    </w:rPr>
                  </w:pPr>
                  <w:r>
                    <w:rPr>
                      <w:rFonts w:hint="eastAsia" w:ascii="Times New Roman" w:cs="Times New Roman"/>
                      <w:b w:val="0"/>
                      <w:bCs w:val="0"/>
                      <w:color w:val="1F497D" w:themeColor="text2"/>
                      <w:kern w:val="2"/>
                      <w:sz w:val="21"/>
                      <w:szCs w:val="21"/>
                      <w:highlight w:val="none"/>
                      <w:lang w:val="en-US" w:eastAsia="zh-CN" w:bidi="ar-SA"/>
                      <w14:textFill>
                        <w14:solidFill>
                          <w14:schemeClr w14:val="tx2"/>
                        </w14:solidFill>
                      </w14:textFill>
                    </w:rPr>
                    <w:t>82.57</w:t>
                  </w:r>
                </w:p>
              </w:tc>
              <w:tc>
                <w:tcPr>
                  <w:tcW w:w="678" w:type="pct"/>
                  <w:tcBorders>
                    <w:tl2br w:val="nil"/>
                    <w:tr2bl w:val="nil"/>
                  </w:tcBorders>
                  <w:noWrap w:val="0"/>
                  <w:vAlign w:val="center"/>
                </w:tcPr>
                <w:p w14:paraId="7196B20E">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cs="Times New Roman"/>
                      <w:b w:val="0"/>
                      <w:bCs w:val="0"/>
                      <w:color w:val="1F497D" w:themeColor="text2"/>
                      <w:kern w:val="2"/>
                      <w:sz w:val="21"/>
                      <w:szCs w:val="21"/>
                      <w:highlight w:val="none"/>
                      <w:lang w:val="en-US" w:eastAsia="zh-CN" w:bidi="ar-SA"/>
                      <w14:textFill>
                        <w14:solidFill>
                          <w14:schemeClr w14:val="tx2"/>
                        </w14:solidFill>
                      </w14:textFill>
                    </w:rPr>
                  </w:pPr>
                  <w:r>
                    <w:rPr>
                      <w:rFonts w:hint="eastAsia" w:ascii="Times New Roman" w:cs="Times New Roman"/>
                      <w:b w:val="0"/>
                      <w:bCs w:val="0"/>
                      <w:color w:val="1F497D" w:themeColor="text2"/>
                      <w:kern w:val="2"/>
                      <w:sz w:val="21"/>
                      <w:szCs w:val="21"/>
                      <w:highlight w:val="none"/>
                      <w:lang w:val="en-US" w:eastAsia="zh-CN" w:bidi="ar-SA"/>
                      <w14:textFill>
                        <w14:solidFill>
                          <w14:schemeClr w14:val="tx2"/>
                        </w14:solidFill>
                      </w14:textFill>
                    </w:rPr>
                    <w:t>142.02</w:t>
                  </w:r>
                </w:p>
              </w:tc>
              <w:tc>
                <w:tcPr>
                  <w:tcW w:w="678" w:type="pct"/>
                  <w:tcBorders>
                    <w:tl2br w:val="nil"/>
                    <w:tr2bl w:val="nil"/>
                  </w:tcBorders>
                  <w:noWrap w:val="0"/>
                  <w:vAlign w:val="center"/>
                </w:tcPr>
                <w:p w14:paraId="5661F885">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eastAsia" w:ascii="Times New Roman" w:cs="Times New Roman"/>
                      <w:b w:val="0"/>
                      <w:bCs w:val="0"/>
                      <w:color w:val="1F497D" w:themeColor="text2"/>
                      <w:sz w:val="21"/>
                      <w:szCs w:val="21"/>
                      <w:highlight w:val="none"/>
                      <w:lang w:val="en-US" w:eastAsia="zh-CN"/>
                      <w14:textFill>
                        <w14:solidFill>
                          <w14:schemeClr w14:val="tx2"/>
                        </w14:solidFill>
                      </w14:textFill>
                    </w:rPr>
                  </w:pPr>
                  <w:r>
                    <w:rPr>
                      <w:rFonts w:hint="eastAsia" w:ascii="Times New Roman" w:cs="Times New Roman"/>
                      <w:b w:val="0"/>
                      <w:bCs w:val="0"/>
                      <w:color w:val="1F497D" w:themeColor="text2"/>
                      <w:sz w:val="21"/>
                      <w:szCs w:val="21"/>
                      <w:highlight w:val="none"/>
                      <w:lang w:val="en-US" w:eastAsia="zh-CN"/>
                      <w14:textFill>
                        <w14:solidFill>
                          <w14:schemeClr w14:val="tx2"/>
                        </w14:solidFill>
                      </w14:textFill>
                    </w:rPr>
                    <w:t>42.94</w:t>
                  </w:r>
                </w:p>
              </w:tc>
              <w:tc>
                <w:tcPr>
                  <w:tcW w:w="680" w:type="pct"/>
                  <w:tcBorders>
                    <w:tl2br w:val="nil"/>
                    <w:tr2bl w:val="nil"/>
                  </w:tcBorders>
                  <w:noWrap w:val="0"/>
                  <w:vAlign w:val="center"/>
                </w:tcPr>
                <w:p w14:paraId="1929A9CF">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cs="Times New Roman"/>
                      <w:b w:val="0"/>
                      <w:bCs w:val="0"/>
                      <w:color w:val="1F497D" w:themeColor="text2"/>
                      <w:sz w:val="21"/>
                      <w:szCs w:val="21"/>
                      <w:highlight w:val="none"/>
                      <w:lang w:val="en-US" w:eastAsia="zh-CN"/>
                      <w14:textFill>
                        <w14:solidFill>
                          <w14:schemeClr w14:val="tx2"/>
                        </w14:solidFill>
                      </w14:textFill>
                    </w:rPr>
                  </w:pPr>
                  <w:r>
                    <w:rPr>
                      <w:rFonts w:hint="eastAsia" w:ascii="Times New Roman" w:cs="Times New Roman"/>
                      <w:b w:val="0"/>
                      <w:bCs w:val="0"/>
                      <w:color w:val="1F497D" w:themeColor="text2"/>
                      <w:sz w:val="21"/>
                      <w:szCs w:val="21"/>
                      <w:highlight w:val="none"/>
                      <w:lang w:val="en-US" w:eastAsia="zh-CN"/>
                      <w14:textFill>
                        <w14:solidFill>
                          <w14:schemeClr w14:val="tx2"/>
                        </w14:solidFill>
                      </w14:textFill>
                    </w:rPr>
                    <w:t>2.06</w:t>
                  </w:r>
                </w:p>
              </w:tc>
            </w:tr>
            <w:tr w14:paraId="7FACE0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3" w:type="pct"/>
                  <w:vMerge w:val="restart"/>
                  <w:tcBorders>
                    <w:tl2br w:val="nil"/>
                    <w:tr2bl w:val="nil"/>
                  </w:tcBorders>
                  <w:noWrap w:val="0"/>
                  <w:vAlign w:val="center"/>
                </w:tcPr>
                <w:p w14:paraId="5D1715A5">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1F497D" w:themeColor="text2"/>
                      <w:sz w:val="21"/>
                      <w:szCs w:val="21"/>
                      <w:highlight w:val="none"/>
                      <w:lang w:val="en-US" w:eastAsia="zh-CN"/>
                      <w14:textFill>
                        <w14:solidFill>
                          <w14:schemeClr w14:val="tx2"/>
                        </w14:solidFill>
                      </w14:textFill>
                    </w:rPr>
                  </w:pPr>
                  <w:r>
                    <w:rPr>
                      <w:rFonts w:hint="default" w:ascii="Times New Roman" w:hAnsi="Times New Roman" w:eastAsia="宋体" w:cs="Times New Roman"/>
                      <w:b w:val="0"/>
                      <w:bCs w:val="0"/>
                      <w:color w:val="1F497D" w:themeColor="text2"/>
                      <w:sz w:val="21"/>
                      <w:szCs w:val="21"/>
                      <w:highlight w:val="none"/>
                      <w:lang w:val="en-US" w:eastAsia="zh-CN"/>
                      <w14:textFill>
                        <w14:solidFill>
                          <w14:schemeClr w14:val="tx2"/>
                        </w14:solidFill>
                      </w14:textFill>
                    </w:rPr>
                    <w:t>沉淀调节池</w:t>
                  </w:r>
                </w:p>
              </w:tc>
              <w:tc>
                <w:tcPr>
                  <w:tcW w:w="638" w:type="pct"/>
                  <w:tcBorders>
                    <w:tl2br w:val="nil"/>
                    <w:tr2bl w:val="nil"/>
                  </w:tcBorders>
                  <w:noWrap w:val="0"/>
                  <w:vAlign w:val="center"/>
                </w:tcPr>
                <w:p w14:paraId="508BDF23">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1F497D" w:themeColor="text2"/>
                      <w:sz w:val="21"/>
                      <w:szCs w:val="21"/>
                      <w:highlight w:val="none"/>
                      <w:lang w:val="en-US" w:eastAsia="zh-CN"/>
                      <w14:textFill>
                        <w14:solidFill>
                          <w14:schemeClr w14:val="tx2"/>
                        </w14:solidFill>
                      </w14:textFill>
                    </w:rPr>
                  </w:pPr>
                  <w:r>
                    <w:rPr>
                      <w:rFonts w:hint="eastAsia"/>
                      <w:color w:val="1F497D" w:themeColor="text2"/>
                      <w:sz w:val="21"/>
                      <w:szCs w:val="21"/>
                      <w:vertAlign w:val="baseline"/>
                      <w14:textFill>
                        <w14:solidFill>
                          <w14:schemeClr w14:val="tx2"/>
                        </w14:solidFill>
                      </w14:textFill>
                    </w:rPr>
                    <w:t>治理效率（%）</w:t>
                  </w:r>
                </w:p>
              </w:tc>
              <w:tc>
                <w:tcPr>
                  <w:tcW w:w="575" w:type="pct"/>
                  <w:tcBorders>
                    <w:tl2br w:val="nil"/>
                    <w:tr2bl w:val="nil"/>
                  </w:tcBorders>
                  <w:noWrap w:val="0"/>
                  <w:vAlign w:val="center"/>
                </w:tcPr>
                <w:p w14:paraId="625218F5">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cs="Times New Roman"/>
                      <w:b w:val="0"/>
                      <w:bCs w:val="0"/>
                      <w:color w:val="1F497D" w:themeColor="text2"/>
                      <w:kern w:val="2"/>
                      <w:sz w:val="21"/>
                      <w:szCs w:val="21"/>
                      <w:highlight w:val="none"/>
                      <w:lang w:val="en-US" w:eastAsia="zh-CN" w:bidi="ar-SA"/>
                      <w14:textFill>
                        <w14:solidFill>
                          <w14:schemeClr w14:val="tx2"/>
                        </w14:solidFill>
                      </w14:textFill>
                    </w:rPr>
                  </w:pPr>
                  <w:r>
                    <w:rPr>
                      <w:rFonts w:hint="eastAsia" w:ascii="Times New Roman" w:cs="Times New Roman"/>
                      <w:b w:val="0"/>
                      <w:snapToGrid/>
                      <w:color w:val="1F497D" w:themeColor="text2"/>
                      <w:spacing w:val="4"/>
                      <w:kern w:val="18"/>
                      <w:sz w:val="21"/>
                      <w:szCs w:val="21"/>
                      <w:lang w:val="en-US" w:eastAsia="zh-CN" w:bidi="ar-SA"/>
                      <w14:textFill>
                        <w14:solidFill>
                          <w14:schemeClr w14:val="tx2"/>
                        </w14:solidFill>
                      </w14:textFill>
                    </w:rPr>
                    <w:t>/</w:t>
                  </w:r>
                </w:p>
              </w:tc>
              <w:tc>
                <w:tcPr>
                  <w:tcW w:w="678" w:type="pct"/>
                  <w:tcBorders>
                    <w:tl2br w:val="nil"/>
                    <w:tr2bl w:val="nil"/>
                  </w:tcBorders>
                  <w:noWrap w:val="0"/>
                  <w:vAlign w:val="center"/>
                </w:tcPr>
                <w:p w14:paraId="194C5D99">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cs="Times New Roman"/>
                      <w:b w:val="0"/>
                      <w:bCs w:val="0"/>
                      <w:color w:val="1F497D" w:themeColor="text2"/>
                      <w:kern w:val="2"/>
                      <w:sz w:val="21"/>
                      <w:szCs w:val="21"/>
                      <w:highlight w:val="none"/>
                      <w:lang w:val="en-US" w:eastAsia="zh-CN" w:bidi="ar-SA"/>
                      <w14:textFill>
                        <w14:solidFill>
                          <w14:schemeClr w14:val="tx2"/>
                        </w14:solidFill>
                      </w14:textFill>
                    </w:rPr>
                  </w:pPr>
                  <w:r>
                    <w:rPr>
                      <w:rFonts w:hint="eastAsia" w:ascii="Times New Roman" w:cs="Times New Roman"/>
                      <w:b w:val="0"/>
                      <w:snapToGrid/>
                      <w:color w:val="1F497D" w:themeColor="text2"/>
                      <w:spacing w:val="4"/>
                      <w:kern w:val="18"/>
                      <w:sz w:val="21"/>
                      <w:szCs w:val="21"/>
                      <w:lang w:val="en-US" w:eastAsia="zh-CN" w:bidi="ar-SA"/>
                      <w14:textFill>
                        <w14:solidFill>
                          <w14:schemeClr w14:val="tx2"/>
                        </w14:solidFill>
                      </w14:textFill>
                    </w:rPr>
                    <w:t>/</w:t>
                  </w:r>
                </w:p>
              </w:tc>
              <w:tc>
                <w:tcPr>
                  <w:tcW w:w="678" w:type="pct"/>
                  <w:tcBorders>
                    <w:tl2br w:val="nil"/>
                    <w:tr2bl w:val="nil"/>
                  </w:tcBorders>
                  <w:noWrap w:val="0"/>
                  <w:vAlign w:val="center"/>
                </w:tcPr>
                <w:p w14:paraId="3974AFB0">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cs="Times New Roman"/>
                      <w:b w:val="0"/>
                      <w:bCs w:val="0"/>
                      <w:color w:val="1F497D" w:themeColor="text2"/>
                      <w:kern w:val="2"/>
                      <w:sz w:val="21"/>
                      <w:szCs w:val="21"/>
                      <w:highlight w:val="none"/>
                      <w:lang w:val="en-US" w:eastAsia="zh-CN" w:bidi="ar-SA"/>
                      <w14:textFill>
                        <w14:solidFill>
                          <w14:schemeClr w14:val="tx2"/>
                        </w14:solidFill>
                      </w14:textFill>
                    </w:rPr>
                  </w:pPr>
                  <w:r>
                    <w:rPr>
                      <w:rFonts w:hint="eastAsia" w:ascii="Times New Roman" w:cs="Times New Roman"/>
                      <w:b w:val="0"/>
                      <w:bCs w:val="0"/>
                      <w:color w:val="1F497D" w:themeColor="text2"/>
                      <w:kern w:val="2"/>
                      <w:sz w:val="21"/>
                      <w:szCs w:val="21"/>
                      <w:highlight w:val="none"/>
                      <w:lang w:val="en-US" w:eastAsia="zh-CN" w:bidi="ar-SA"/>
                      <w14:textFill>
                        <w14:solidFill>
                          <w14:schemeClr w14:val="tx2"/>
                        </w14:solidFill>
                      </w14:textFill>
                    </w:rPr>
                    <w:t>/</w:t>
                  </w:r>
                </w:p>
              </w:tc>
              <w:tc>
                <w:tcPr>
                  <w:tcW w:w="678" w:type="pct"/>
                  <w:tcBorders>
                    <w:tl2br w:val="nil"/>
                    <w:tr2bl w:val="nil"/>
                  </w:tcBorders>
                  <w:noWrap w:val="0"/>
                  <w:vAlign w:val="center"/>
                </w:tcPr>
                <w:p w14:paraId="305D300C">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cs="Times New Roman"/>
                      <w:b w:val="0"/>
                      <w:bCs w:val="0"/>
                      <w:color w:val="1F497D" w:themeColor="text2"/>
                      <w:kern w:val="2"/>
                      <w:sz w:val="21"/>
                      <w:szCs w:val="21"/>
                      <w:highlight w:val="none"/>
                      <w:lang w:val="en-US" w:eastAsia="zh-CN" w:bidi="ar-SA"/>
                      <w14:textFill>
                        <w14:solidFill>
                          <w14:schemeClr w14:val="tx2"/>
                        </w14:solidFill>
                      </w14:textFill>
                    </w:rPr>
                  </w:pPr>
                  <w:r>
                    <w:rPr>
                      <w:rFonts w:hint="eastAsia" w:ascii="Times New Roman" w:cs="Times New Roman"/>
                      <w:b w:val="0"/>
                      <w:bCs w:val="0"/>
                      <w:color w:val="1F497D" w:themeColor="text2"/>
                      <w:kern w:val="2"/>
                      <w:sz w:val="21"/>
                      <w:szCs w:val="21"/>
                      <w:highlight w:val="none"/>
                      <w:lang w:val="en-US" w:eastAsia="zh-CN" w:bidi="ar-SA"/>
                      <w14:textFill>
                        <w14:solidFill>
                          <w14:schemeClr w14:val="tx2"/>
                        </w14:solidFill>
                      </w14:textFill>
                    </w:rPr>
                    <w:t>95</w:t>
                  </w:r>
                </w:p>
              </w:tc>
              <w:tc>
                <w:tcPr>
                  <w:tcW w:w="678" w:type="pct"/>
                  <w:tcBorders>
                    <w:tl2br w:val="nil"/>
                    <w:tr2bl w:val="nil"/>
                  </w:tcBorders>
                  <w:noWrap w:val="0"/>
                  <w:vAlign w:val="center"/>
                </w:tcPr>
                <w:p w14:paraId="3FEC534E">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cs="Times New Roman"/>
                      <w:b w:val="0"/>
                      <w:bCs w:val="0"/>
                      <w:color w:val="1F497D" w:themeColor="text2"/>
                      <w:sz w:val="21"/>
                      <w:szCs w:val="21"/>
                      <w:highlight w:val="none"/>
                      <w:lang w:val="en-US" w:eastAsia="zh-CN"/>
                      <w14:textFill>
                        <w14:solidFill>
                          <w14:schemeClr w14:val="tx2"/>
                        </w14:solidFill>
                      </w14:textFill>
                    </w:rPr>
                  </w:pPr>
                  <w:r>
                    <w:rPr>
                      <w:rFonts w:hint="eastAsia" w:ascii="Times New Roman" w:cs="Times New Roman"/>
                      <w:b w:val="0"/>
                      <w:bCs w:val="0"/>
                      <w:color w:val="1F497D" w:themeColor="text2"/>
                      <w:sz w:val="21"/>
                      <w:szCs w:val="21"/>
                      <w:highlight w:val="none"/>
                      <w:lang w:val="en-US" w:eastAsia="zh-CN"/>
                      <w14:textFill>
                        <w14:solidFill>
                          <w14:schemeClr w14:val="tx2"/>
                        </w14:solidFill>
                      </w14:textFill>
                    </w:rPr>
                    <w:t>95</w:t>
                  </w:r>
                </w:p>
              </w:tc>
              <w:tc>
                <w:tcPr>
                  <w:tcW w:w="680" w:type="pct"/>
                  <w:tcBorders>
                    <w:tl2br w:val="nil"/>
                    <w:tr2bl w:val="nil"/>
                  </w:tcBorders>
                  <w:noWrap w:val="0"/>
                  <w:vAlign w:val="center"/>
                </w:tcPr>
                <w:p w14:paraId="3A7BBE32">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cs="Times New Roman"/>
                      <w:b w:val="0"/>
                      <w:bCs w:val="0"/>
                      <w:color w:val="1F497D" w:themeColor="text2"/>
                      <w:sz w:val="21"/>
                      <w:szCs w:val="21"/>
                      <w:highlight w:val="none"/>
                      <w:lang w:val="en-US" w:eastAsia="zh-CN"/>
                      <w14:textFill>
                        <w14:solidFill>
                          <w14:schemeClr w14:val="tx2"/>
                        </w14:solidFill>
                      </w14:textFill>
                    </w:rPr>
                  </w:pPr>
                  <w:r>
                    <w:rPr>
                      <w:rFonts w:hint="eastAsia" w:ascii="Times New Roman" w:cs="Times New Roman"/>
                      <w:b w:val="0"/>
                      <w:bCs w:val="0"/>
                      <w:color w:val="1F497D" w:themeColor="text2"/>
                      <w:sz w:val="21"/>
                      <w:szCs w:val="21"/>
                      <w:highlight w:val="none"/>
                      <w:lang w:val="en-US" w:eastAsia="zh-CN"/>
                      <w14:textFill>
                        <w14:solidFill>
                          <w14:schemeClr w14:val="tx2"/>
                        </w14:solidFill>
                      </w14:textFill>
                    </w:rPr>
                    <w:t>/</w:t>
                  </w:r>
                </w:p>
              </w:tc>
            </w:tr>
            <w:tr w14:paraId="7C1922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3" w:type="pct"/>
                  <w:vMerge w:val="continue"/>
                  <w:tcBorders>
                    <w:tl2br w:val="nil"/>
                    <w:tr2bl w:val="nil"/>
                  </w:tcBorders>
                  <w:noWrap w:val="0"/>
                  <w:vAlign w:val="center"/>
                </w:tcPr>
                <w:p w14:paraId="4B1A3953">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1F497D" w:themeColor="text2"/>
                      <w:sz w:val="21"/>
                      <w:szCs w:val="21"/>
                      <w:highlight w:val="none"/>
                      <w:lang w:val="en-US" w:eastAsia="zh-CN"/>
                      <w14:textFill>
                        <w14:solidFill>
                          <w14:schemeClr w14:val="tx2"/>
                        </w14:solidFill>
                      </w14:textFill>
                    </w:rPr>
                  </w:pPr>
                </w:p>
              </w:tc>
              <w:tc>
                <w:tcPr>
                  <w:tcW w:w="638" w:type="pct"/>
                  <w:tcBorders>
                    <w:tl2br w:val="nil"/>
                    <w:tr2bl w:val="nil"/>
                  </w:tcBorders>
                  <w:noWrap w:val="0"/>
                  <w:vAlign w:val="center"/>
                </w:tcPr>
                <w:p w14:paraId="042F47E8">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1F497D" w:themeColor="text2"/>
                      <w:sz w:val="21"/>
                      <w:szCs w:val="21"/>
                      <w:highlight w:val="none"/>
                      <w:lang w:val="en-US" w:eastAsia="zh-CN"/>
                      <w14:textFill>
                        <w14:solidFill>
                          <w14:schemeClr w14:val="tx2"/>
                        </w14:solidFill>
                      </w14:textFill>
                    </w:rPr>
                  </w:pPr>
                  <w:r>
                    <w:rPr>
                      <w:color w:val="1F497D" w:themeColor="text2"/>
                      <w:sz w:val="21"/>
                      <w:szCs w:val="21"/>
                      <w:vertAlign w:val="baseline"/>
                      <w14:textFill>
                        <w14:solidFill>
                          <w14:schemeClr w14:val="tx2"/>
                        </w14:solidFill>
                      </w14:textFill>
                    </w:rPr>
                    <w:t>排放浓度</w:t>
                  </w:r>
                  <w:r>
                    <w:rPr>
                      <w:rFonts w:hint="eastAsia"/>
                      <w:color w:val="1F497D" w:themeColor="text2"/>
                      <w:sz w:val="21"/>
                      <w:szCs w:val="21"/>
                      <w:vertAlign w:val="baseline"/>
                      <w:lang w:eastAsia="zh-CN"/>
                      <w14:textFill>
                        <w14:solidFill>
                          <w14:schemeClr w14:val="tx2"/>
                        </w14:solidFill>
                      </w14:textFill>
                    </w:rPr>
                    <w:t>（</w:t>
                  </w:r>
                  <w:r>
                    <w:rPr>
                      <w:color w:val="1F497D" w:themeColor="text2"/>
                      <w:sz w:val="21"/>
                      <w:szCs w:val="21"/>
                      <w:vertAlign w:val="baseline"/>
                      <w14:textFill>
                        <w14:solidFill>
                          <w14:schemeClr w14:val="tx2"/>
                        </w14:solidFill>
                      </w14:textFill>
                    </w:rPr>
                    <w:t>mg/L</w:t>
                  </w:r>
                  <w:r>
                    <w:rPr>
                      <w:rFonts w:hint="eastAsia"/>
                      <w:color w:val="1F497D" w:themeColor="text2"/>
                      <w:sz w:val="21"/>
                      <w:szCs w:val="21"/>
                      <w:vertAlign w:val="baseline"/>
                      <w:lang w:eastAsia="zh-CN"/>
                      <w14:textFill>
                        <w14:solidFill>
                          <w14:schemeClr w14:val="tx2"/>
                        </w14:solidFill>
                      </w14:textFill>
                    </w:rPr>
                    <w:t>）</w:t>
                  </w:r>
                </w:p>
              </w:tc>
              <w:tc>
                <w:tcPr>
                  <w:tcW w:w="575" w:type="pct"/>
                  <w:tcBorders>
                    <w:tl2br w:val="nil"/>
                    <w:tr2bl w:val="nil"/>
                  </w:tcBorders>
                  <w:noWrap w:val="0"/>
                  <w:vAlign w:val="center"/>
                </w:tcPr>
                <w:p w14:paraId="7BF09FBD">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cs="Times New Roman"/>
                      <w:b w:val="0"/>
                      <w:bCs w:val="0"/>
                      <w:color w:val="1F497D" w:themeColor="text2"/>
                      <w:kern w:val="2"/>
                      <w:sz w:val="21"/>
                      <w:szCs w:val="21"/>
                      <w:highlight w:val="none"/>
                      <w:lang w:val="en-US" w:eastAsia="zh-CN" w:bidi="ar-SA"/>
                      <w14:textFill>
                        <w14:solidFill>
                          <w14:schemeClr w14:val="tx2"/>
                        </w14:solidFill>
                      </w14:textFill>
                    </w:rPr>
                  </w:pPr>
                  <w:r>
                    <w:rPr>
                      <w:rFonts w:hint="eastAsia" w:ascii="Times New Roman" w:cs="Times New Roman"/>
                      <w:b w:val="0"/>
                      <w:snapToGrid/>
                      <w:color w:val="1F497D" w:themeColor="text2"/>
                      <w:spacing w:val="4"/>
                      <w:kern w:val="18"/>
                      <w:sz w:val="21"/>
                      <w:szCs w:val="21"/>
                      <w:lang w:val="en-US" w:eastAsia="zh-CN" w:bidi="ar-SA"/>
                      <w14:textFill>
                        <w14:solidFill>
                          <w14:schemeClr w14:val="tx2"/>
                        </w14:solidFill>
                      </w14:textFill>
                    </w:rPr>
                    <w:t>/</w:t>
                  </w:r>
                </w:p>
              </w:tc>
              <w:tc>
                <w:tcPr>
                  <w:tcW w:w="678" w:type="pct"/>
                  <w:tcBorders>
                    <w:tl2br w:val="nil"/>
                    <w:tr2bl w:val="nil"/>
                  </w:tcBorders>
                  <w:noWrap w:val="0"/>
                  <w:vAlign w:val="center"/>
                </w:tcPr>
                <w:p w14:paraId="27E73EBD">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cs="Times New Roman"/>
                      <w:b w:val="0"/>
                      <w:bCs w:val="0"/>
                      <w:color w:val="1F497D" w:themeColor="text2"/>
                      <w:kern w:val="2"/>
                      <w:sz w:val="21"/>
                      <w:szCs w:val="21"/>
                      <w:highlight w:val="none"/>
                      <w:lang w:val="en-US" w:eastAsia="zh-CN" w:bidi="ar-SA"/>
                      <w14:textFill>
                        <w14:solidFill>
                          <w14:schemeClr w14:val="tx2"/>
                        </w14:solidFill>
                      </w14:textFill>
                    </w:rPr>
                  </w:pPr>
                  <w:r>
                    <w:rPr>
                      <w:rFonts w:hint="eastAsia" w:ascii="Times New Roman" w:cs="Times New Roman"/>
                      <w:b w:val="0"/>
                      <w:bCs w:val="0"/>
                      <w:color w:val="1F497D" w:themeColor="text2"/>
                      <w:sz w:val="21"/>
                      <w:szCs w:val="21"/>
                      <w:highlight w:val="none"/>
                      <w:lang w:val="en-US" w:eastAsia="zh-CN"/>
                      <w14:textFill>
                        <w14:solidFill>
                          <w14:schemeClr w14:val="tx2"/>
                        </w14:solidFill>
                      </w14:textFill>
                    </w:rPr>
                    <w:t>210.55</w:t>
                  </w:r>
                </w:p>
              </w:tc>
              <w:tc>
                <w:tcPr>
                  <w:tcW w:w="678" w:type="pct"/>
                  <w:tcBorders>
                    <w:tl2br w:val="nil"/>
                    <w:tr2bl w:val="nil"/>
                  </w:tcBorders>
                  <w:noWrap w:val="0"/>
                  <w:vAlign w:val="center"/>
                </w:tcPr>
                <w:p w14:paraId="6A2A0F88">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cs="Times New Roman"/>
                      <w:b w:val="0"/>
                      <w:bCs w:val="0"/>
                      <w:color w:val="1F497D" w:themeColor="text2"/>
                      <w:kern w:val="2"/>
                      <w:sz w:val="21"/>
                      <w:szCs w:val="21"/>
                      <w:highlight w:val="none"/>
                      <w:lang w:val="en-US" w:eastAsia="zh-CN" w:bidi="ar-SA"/>
                      <w14:textFill>
                        <w14:solidFill>
                          <w14:schemeClr w14:val="tx2"/>
                        </w14:solidFill>
                      </w14:textFill>
                    </w:rPr>
                  </w:pPr>
                  <w:r>
                    <w:rPr>
                      <w:rFonts w:hint="eastAsia" w:ascii="Times New Roman" w:cs="Times New Roman"/>
                      <w:b w:val="0"/>
                      <w:bCs w:val="0"/>
                      <w:color w:val="1F497D" w:themeColor="text2"/>
                      <w:kern w:val="2"/>
                      <w:sz w:val="21"/>
                      <w:szCs w:val="21"/>
                      <w:highlight w:val="none"/>
                      <w:lang w:val="en-US" w:eastAsia="zh-CN" w:bidi="ar-SA"/>
                      <w14:textFill>
                        <w14:solidFill>
                          <w14:schemeClr w14:val="tx2"/>
                        </w14:solidFill>
                      </w14:textFill>
                    </w:rPr>
                    <w:t>82.57</w:t>
                  </w:r>
                </w:p>
              </w:tc>
              <w:tc>
                <w:tcPr>
                  <w:tcW w:w="678" w:type="pct"/>
                  <w:tcBorders>
                    <w:tl2br w:val="nil"/>
                    <w:tr2bl w:val="nil"/>
                  </w:tcBorders>
                  <w:noWrap w:val="0"/>
                  <w:vAlign w:val="center"/>
                </w:tcPr>
                <w:p w14:paraId="25E7B6DE">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cs="Times New Roman"/>
                      <w:b w:val="0"/>
                      <w:bCs w:val="0"/>
                      <w:color w:val="1F497D" w:themeColor="text2"/>
                      <w:kern w:val="2"/>
                      <w:sz w:val="21"/>
                      <w:szCs w:val="21"/>
                      <w:highlight w:val="none"/>
                      <w:lang w:val="en-US" w:eastAsia="zh-CN" w:bidi="ar-SA"/>
                      <w14:textFill>
                        <w14:solidFill>
                          <w14:schemeClr w14:val="tx2"/>
                        </w14:solidFill>
                      </w14:textFill>
                    </w:rPr>
                  </w:pPr>
                  <w:r>
                    <w:rPr>
                      <w:rFonts w:hint="eastAsia" w:ascii="Times New Roman" w:cs="Times New Roman"/>
                      <w:b w:val="0"/>
                      <w:bCs w:val="0"/>
                      <w:color w:val="1F497D" w:themeColor="text2"/>
                      <w:kern w:val="2"/>
                      <w:sz w:val="21"/>
                      <w:szCs w:val="21"/>
                      <w:highlight w:val="none"/>
                      <w:lang w:val="en-US" w:eastAsia="zh-CN" w:bidi="ar-SA"/>
                      <w14:textFill>
                        <w14:solidFill>
                          <w14:schemeClr w14:val="tx2"/>
                        </w14:solidFill>
                      </w14:textFill>
                    </w:rPr>
                    <w:t>7.10</w:t>
                  </w:r>
                </w:p>
              </w:tc>
              <w:tc>
                <w:tcPr>
                  <w:tcW w:w="678" w:type="pct"/>
                  <w:tcBorders>
                    <w:tl2br w:val="nil"/>
                    <w:tr2bl w:val="nil"/>
                  </w:tcBorders>
                  <w:noWrap w:val="0"/>
                  <w:vAlign w:val="center"/>
                </w:tcPr>
                <w:p w14:paraId="7867B885">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cs="Times New Roman"/>
                      <w:b w:val="0"/>
                      <w:bCs w:val="0"/>
                      <w:color w:val="1F497D" w:themeColor="text2"/>
                      <w:sz w:val="21"/>
                      <w:szCs w:val="21"/>
                      <w:highlight w:val="none"/>
                      <w:lang w:val="en-US" w:eastAsia="zh-CN"/>
                      <w14:textFill>
                        <w14:solidFill>
                          <w14:schemeClr w14:val="tx2"/>
                        </w14:solidFill>
                      </w14:textFill>
                    </w:rPr>
                  </w:pPr>
                  <w:r>
                    <w:rPr>
                      <w:rFonts w:hint="eastAsia" w:ascii="Times New Roman" w:cs="Times New Roman"/>
                      <w:b w:val="0"/>
                      <w:bCs w:val="0"/>
                      <w:color w:val="1F497D" w:themeColor="text2"/>
                      <w:sz w:val="21"/>
                      <w:szCs w:val="21"/>
                      <w:highlight w:val="none"/>
                      <w:lang w:val="en-US" w:eastAsia="zh-CN"/>
                      <w14:textFill>
                        <w14:solidFill>
                          <w14:schemeClr w14:val="tx2"/>
                        </w14:solidFill>
                      </w14:textFill>
                    </w:rPr>
                    <w:t>2.15</w:t>
                  </w:r>
                </w:p>
              </w:tc>
              <w:tc>
                <w:tcPr>
                  <w:tcW w:w="680" w:type="pct"/>
                  <w:tcBorders>
                    <w:tl2br w:val="nil"/>
                    <w:tr2bl w:val="nil"/>
                  </w:tcBorders>
                  <w:noWrap w:val="0"/>
                  <w:vAlign w:val="center"/>
                </w:tcPr>
                <w:p w14:paraId="57E0906C">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cs="Times New Roman"/>
                      <w:b w:val="0"/>
                      <w:bCs w:val="0"/>
                      <w:color w:val="1F497D" w:themeColor="text2"/>
                      <w:sz w:val="21"/>
                      <w:szCs w:val="21"/>
                      <w:highlight w:val="none"/>
                      <w:lang w:val="en-US" w:eastAsia="zh-CN"/>
                      <w14:textFill>
                        <w14:solidFill>
                          <w14:schemeClr w14:val="tx2"/>
                        </w14:solidFill>
                      </w14:textFill>
                    </w:rPr>
                  </w:pPr>
                  <w:r>
                    <w:rPr>
                      <w:rFonts w:hint="eastAsia" w:ascii="Times New Roman" w:cs="Times New Roman"/>
                      <w:b w:val="0"/>
                      <w:bCs w:val="0"/>
                      <w:color w:val="1F497D" w:themeColor="text2"/>
                      <w:sz w:val="21"/>
                      <w:szCs w:val="21"/>
                      <w:highlight w:val="none"/>
                      <w:lang w:val="en-US" w:eastAsia="zh-CN"/>
                      <w14:textFill>
                        <w14:solidFill>
                          <w14:schemeClr w14:val="tx2"/>
                        </w14:solidFill>
                      </w14:textFill>
                    </w:rPr>
                    <w:t>2.06</w:t>
                  </w:r>
                </w:p>
              </w:tc>
            </w:tr>
            <w:tr w14:paraId="6992BE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3" w:type="pct"/>
                  <w:vMerge w:val="restart"/>
                  <w:tcBorders>
                    <w:tl2br w:val="nil"/>
                    <w:tr2bl w:val="nil"/>
                  </w:tcBorders>
                  <w:noWrap w:val="0"/>
                  <w:vAlign w:val="center"/>
                </w:tcPr>
                <w:p w14:paraId="638B21BD">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1F497D" w:themeColor="text2"/>
                      <w:sz w:val="21"/>
                      <w:szCs w:val="21"/>
                      <w:highlight w:val="none"/>
                      <w:lang w:val="en-US" w:eastAsia="zh-CN"/>
                      <w14:textFill>
                        <w14:solidFill>
                          <w14:schemeClr w14:val="tx2"/>
                        </w14:solidFill>
                      </w14:textFill>
                    </w:rPr>
                  </w:pPr>
                  <w:r>
                    <w:rPr>
                      <w:rFonts w:hint="default" w:ascii="Times New Roman" w:hAnsi="Times New Roman" w:eastAsia="宋体" w:cs="Times New Roman"/>
                      <w:b w:val="0"/>
                      <w:bCs w:val="0"/>
                      <w:color w:val="1F497D" w:themeColor="text2"/>
                      <w:sz w:val="21"/>
                      <w:szCs w:val="21"/>
                      <w:highlight w:val="none"/>
                      <w:lang w:val="en-US" w:eastAsia="zh-CN"/>
                      <w14:textFill>
                        <w14:solidFill>
                          <w14:schemeClr w14:val="tx2"/>
                        </w14:solidFill>
                      </w14:textFill>
                    </w:rPr>
                    <w:t>MBR反应器</w:t>
                  </w:r>
                </w:p>
              </w:tc>
              <w:tc>
                <w:tcPr>
                  <w:tcW w:w="638" w:type="pct"/>
                  <w:tcBorders>
                    <w:tl2br w:val="nil"/>
                    <w:tr2bl w:val="nil"/>
                  </w:tcBorders>
                  <w:noWrap w:val="0"/>
                  <w:vAlign w:val="center"/>
                </w:tcPr>
                <w:p w14:paraId="0C8C5A9A">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1F497D" w:themeColor="text2"/>
                      <w:sz w:val="21"/>
                      <w:szCs w:val="21"/>
                      <w:highlight w:val="none"/>
                      <w:lang w:val="en-US" w:eastAsia="zh-CN"/>
                      <w14:textFill>
                        <w14:solidFill>
                          <w14:schemeClr w14:val="tx2"/>
                        </w14:solidFill>
                      </w14:textFill>
                    </w:rPr>
                  </w:pPr>
                  <w:r>
                    <w:rPr>
                      <w:rFonts w:hint="eastAsia"/>
                      <w:color w:val="1F497D" w:themeColor="text2"/>
                      <w:sz w:val="21"/>
                      <w:szCs w:val="21"/>
                      <w:vertAlign w:val="baseline"/>
                      <w14:textFill>
                        <w14:solidFill>
                          <w14:schemeClr w14:val="tx2"/>
                        </w14:solidFill>
                      </w14:textFill>
                    </w:rPr>
                    <w:t>治理效率（%）</w:t>
                  </w:r>
                </w:p>
              </w:tc>
              <w:tc>
                <w:tcPr>
                  <w:tcW w:w="575" w:type="pct"/>
                  <w:tcBorders>
                    <w:tl2br w:val="nil"/>
                    <w:tr2bl w:val="nil"/>
                  </w:tcBorders>
                  <w:noWrap w:val="0"/>
                  <w:vAlign w:val="center"/>
                </w:tcPr>
                <w:p w14:paraId="66AD6E65">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cs="Times New Roman"/>
                      <w:b w:val="0"/>
                      <w:bCs w:val="0"/>
                      <w:color w:val="1F497D" w:themeColor="text2"/>
                      <w:kern w:val="2"/>
                      <w:sz w:val="21"/>
                      <w:szCs w:val="21"/>
                      <w:highlight w:val="none"/>
                      <w:lang w:val="en-US" w:eastAsia="zh-CN" w:bidi="ar-SA"/>
                      <w14:textFill>
                        <w14:solidFill>
                          <w14:schemeClr w14:val="tx2"/>
                        </w14:solidFill>
                      </w14:textFill>
                    </w:rPr>
                  </w:pPr>
                  <w:r>
                    <w:rPr>
                      <w:rFonts w:hint="eastAsia" w:ascii="Times New Roman" w:cs="Times New Roman"/>
                      <w:b w:val="0"/>
                      <w:snapToGrid/>
                      <w:color w:val="1F497D" w:themeColor="text2"/>
                      <w:spacing w:val="4"/>
                      <w:kern w:val="18"/>
                      <w:sz w:val="21"/>
                      <w:szCs w:val="21"/>
                      <w:lang w:val="en-US" w:eastAsia="zh-CN" w:bidi="ar-SA"/>
                      <w14:textFill>
                        <w14:solidFill>
                          <w14:schemeClr w14:val="tx2"/>
                        </w14:solidFill>
                      </w14:textFill>
                    </w:rPr>
                    <w:t>/</w:t>
                  </w:r>
                </w:p>
              </w:tc>
              <w:tc>
                <w:tcPr>
                  <w:tcW w:w="678" w:type="pct"/>
                  <w:tcBorders>
                    <w:tl2br w:val="nil"/>
                    <w:tr2bl w:val="nil"/>
                  </w:tcBorders>
                  <w:noWrap w:val="0"/>
                  <w:vAlign w:val="center"/>
                </w:tcPr>
                <w:p w14:paraId="67497011">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cs="Times New Roman"/>
                      <w:b w:val="0"/>
                      <w:bCs w:val="0"/>
                      <w:color w:val="1F497D" w:themeColor="text2"/>
                      <w:kern w:val="2"/>
                      <w:sz w:val="21"/>
                      <w:szCs w:val="21"/>
                      <w:highlight w:val="none"/>
                      <w:lang w:val="en-US" w:eastAsia="zh-CN" w:bidi="ar-SA"/>
                      <w14:textFill>
                        <w14:solidFill>
                          <w14:schemeClr w14:val="tx2"/>
                        </w14:solidFill>
                      </w14:textFill>
                    </w:rPr>
                  </w:pPr>
                  <w:r>
                    <w:rPr>
                      <w:rFonts w:hint="eastAsia" w:ascii="Times New Roman" w:cs="Times New Roman"/>
                      <w:b w:val="0"/>
                      <w:bCs w:val="0"/>
                      <w:color w:val="1F497D" w:themeColor="text2"/>
                      <w:kern w:val="2"/>
                      <w:sz w:val="21"/>
                      <w:szCs w:val="21"/>
                      <w:highlight w:val="none"/>
                      <w:lang w:val="en-US" w:eastAsia="zh-CN" w:bidi="ar-SA"/>
                      <w14:textFill>
                        <w14:solidFill>
                          <w14:schemeClr w14:val="tx2"/>
                        </w14:solidFill>
                      </w14:textFill>
                    </w:rPr>
                    <w:t>95</w:t>
                  </w:r>
                </w:p>
              </w:tc>
              <w:tc>
                <w:tcPr>
                  <w:tcW w:w="678" w:type="pct"/>
                  <w:tcBorders>
                    <w:tl2br w:val="nil"/>
                    <w:tr2bl w:val="nil"/>
                  </w:tcBorders>
                  <w:noWrap w:val="0"/>
                  <w:vAlign w:val="center"/>
                </w:tcPr>
                <w:p w14:paraId="64E676F7">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cs="Times New Roman"/>
                      <w:b w:val="0"/>
                      <w:bCs w:val="0"/>
                      <w:color w:val="1F497D" w:themeColor="text2"/>
                      <w:kern w:val="2"/>
                      <w:sz w:val="21"/>
                      <w:szCs w:val="21"/>
                      <w:highlight w:val="none"/>
                      <w:lang w:val="en-US" w:eastAsia="zh-CN" w:bidi="ar-SA"/>
                      <w14:textFill>
                        <w14:solidFill>
                          <w14:schemeClr w14:val="tx2"/>
                        </w14:solidFill>
                      </w14:textFill>
                    </w:rPr>
                  </w:pPr>
                  <w:r>
                    <w:rPr>
                      <w:rFonts w:hint="eastAsia" w:ascii="Times New Roman" w:cs="Times New Roman"/>
                      <w:b w:val="0"/>
                      <w:bCs w:val="0"/>
                      <w:color w:val="1F497D" w:themeColor="text2"/>
                      <w:kern w:val="2"/>
                      <w:sz w:val="21"/>
                      <w:szCs w:val="21"/>
                      <w:highlight w:val="none"/>
                      <w:lang w:val="en-US" w:eastAsia="zh-CN" w:bidi="ar-SA"/>
                      <w14:textFill>
                        <w14:solidFill>
                          <w14:schemeClr w14:val="tx2"/>
                        </w14:solidFill>
                      </w14:textFill>
                    </w:rPr>
                    <w:t>90</w:t>
                  </w:r>
                </w:p>
              </w:tc>
              <w:tc>
                <w:tcPr>
                  <w:tcW w:w="678" w:type="pct"/>
                  <w:tcBorders>
                    <w:tl2br w:val="nil"/>
                    <w:tr2bl w:val="nil"/>
                  </w:tcBorders>
                  <w:noWrap w:val="0"/>
                  <w:vAlign w:val="center"/>
                </w:tcPr>
                <w:p w14:paraId="4A296A42">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cs="Times New Roman"/>
                      <w:b w:val="0"/>
                      <w:bCs w:val="0"/>
                      <w:color w:val="1F497D" w:themeColor="text2"/>
                      <w:kern w:val="2"/>
                      <w:sz w:val="21"/>
                      <w:szCs w:val="21"/>
                      <w:highlight w:val="none"/>
                      <w:lang w:val="en-US" w:eastAsia="zh-CN" w:bidi="ar-SA"/>
                      <w14:textFill>
                        <w14:solidFill>
                          <w14:schemeClr w14:val="tx2"/>
                        </w14:solidFill>
                      </w14:textFill>
                    </w:rPr>
                  </w:pPr>
                  <w:r>
                    <w:rPr>
                      <w:rFonts w:hint="eastAsia" w:ascii="Times New Roman" w:cs="Times New Roman"/>
                      <w:b w:val="0"/>
                      <w:bCs w:val="0"/>
                      <w:color w:val="1F497D" w:themeColor="text2"/>
                      <w:kern w:val="2"/>
                      <w:sz w:val="21"/>
                      <w:szCs w:val="21"/>
                      <w:highlight w:val="none"/>
                      <w:lang w:val="en-US" w:eastAsia="zh-CN" w:bidi="ar-SA"/>
                      <w14:textFill>
                        <w14:solidFill>
                          <w14:schemeClr w14:val="tx2"/>
                        </w14:solidFill>
                      </w14:textFill>
                    </w:rPr>
                    <w:t>/</w:t>
                  </w:r>
                </w:p>
              </w:tc>
              <w:tc>
                <w:tcPr>
                  <w:tcW w:w="678" w:type="pct"/>
                  <w:tcBorders>
                    <w:tl2br w:val="nil"/>
                    <w:tr2bl w:val="nil"/>
                  </w:tcBorders>
                  <w:noWrap w:val="0"/>
                  <w:vAlign w:val="center"/>
                </w:tcPr>
                <w:p w14:paraId="193F4329">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cs="Times New Roman"/>
                      <w:b w:val="0"/>
                      <w:bCs w:val="0"/>
                      <w:color w:val="1F497D" w:themeColor="text2"/>
                      <w:sz w:val="21"/>
                      <w:szCs w:val="21"/>
                      <w:highlight w:val="none"/>
                      <w:lang w:val="en-US" w:eastAsia="zh-CN"/>
                      <w14:textFill>
                        <w14:solidFill>
                          <w14:schemeClr w14:val="tx2"/>
                        </w14:solidFill>
                      </w14:textFill>
                    </w:rPr>
                  </w:pPr>
                  <w:r>
                    <w:rPr>
                      <w:rFonts w:hint="eastAsia" w:ascii="Times New Roman" w:cs="Times New Roman"/>
                      <w:b w:val="0"/>
                      <w:bCs w:val="0"/>
                      <w:color w:val="1F497D" w:themeColor="text2"/>
                      <w:kern w:val="2"/>
                      <w:sz w:val="21"/>
                      <w:szCs w:val="21"/>
                      <w:highlight w:val="none"/>
                      <w:lang w:val="en-US" w:eastAsia="zh-CN" w:bidi="ar-SA"/>
                      <w14:textFill>
                        <w14:solidFill>
                          <w14:schemeClr w14:val="tx2"/>
                        </w14:solidFill>
                      </w14:textFill>
                    </w:rPr>
                    <w:t>/</w:t>
                  </w:r>
                </w:p>
              </w:tc>
              <w:tc>
                <w:tcPr>
                  <w:tcW w:w="680" w:type="pct"/>
                  <w:tcBorders>
                    <w:tl2br w:val="nil"/>
                    <w:tr2bl w:val="nil"/>
                  </w:tcBorders>
                  <w:noWrap w:val="0"/>
                  <w:vAlign w:val="center"/>
                </w:tcPr>
                <w:p w14:paraId="55C67BB9">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cs="Times New Roman"/>
                      <w:b w:val="0"/>
                      <w:bCs w:val="0"/>
                      <w:color w:val="1F497D" w:themeColor="text2"/>
                      <w:sz w:val="21"/>
                      <w:szCs w:val="21"/>
                      <w:highlight w:val="none"/>
                      <w:lang w:val="en-US" w:eastAsia="zh-CN"/>
                      <w14:textFill>
                        <w14:solidFill>
                          <w14:schemeClr w14:val="tx2"/>
                        </w14:solidFill>
                      </w14:textFill>
                    </w:rPr>
                  </w:pPr>
                  <w:r>
                    <w:rPr>
                      <w:rFonts w:hint="eastAsia" w:ascii="Times New Roman" w:cs="Times New Roman"/>
                      <w:b w:val="0"/>
                      <w:bCs w:val="0"/>
                      <w:color w:val="1F497D" w:themeColor="text2"/>
                      <w:sz w:val="21"/>
                      <w:szCs w:val="21"/>
                      <w:highlight w:val="none"/>
                      <w:lang w:val="en-US" w:eastAsia="zh-CN"/>
                      <w14:textFill>
                        <w14:solidFill>
                          <w14:schemeClr w14:val="tx2"/>
                        </w14:solidFill>
                      </w14:textFill>
                    </w:rPr>
                    <w:t>90</w:t>
                  </w:r>
                </w:p>
              </w:tc>
            </w:tr>
            <w:tr w14:paraId="0A1265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393" w:type="pct"/>
                  <w:vMerge w:val="continue"/>
                  <w:tcBorders>
                    <w:tl2br w:val="nil"/>
                    <w:tr2bl w:val="nil"/>
                  </w:tcBorders>
                  <w:noWrap w:val="0"/>
                  <w:vAlign w:val="center"/>
                </w:tcPr>
                <w:p w14:paraId="665B96AB">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1F497D" w:themeColor="text2"/>
                      <w:sz w:val="21"/>
                      <w:szCs w:val="21"/>
                      <w:highlight w:val="none"/>
                      <w:lang w:val="en-US" w:eastAsia="zh-CN"/>
                      <w14:textFill>
                        <w14:solidFill>
                          <w14:schemeClr w14:val="tx2"/>
                        </w14:solidFill>
                      </w14:textFill>
                    </w:rPr>
                  </w:pPr>
                </w:p>
              </w:tc>
              <w:tc>
                <w:tcPr>
                  <w:tcW w:w="638" w:type="pct"/>
                  <w:tcBorders>
                    <w:tl2br w:val="nil"/>
                    <w:tr2bl w:val="nil"/>
                  </w:tcBorders>
                  <w:noWrap w:val="0"/>
                  <w:vAlign w:val="center"/>
                </w:tcPr>
                <w:p w14:paraId="0B88702D">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1F497D" w:themeColor="text2"/>
                      <w:sz w:val="21"/>
                      <w:szCs w:val="21"/>
                      <w:highlight w:val="none"/>
                      <w:lang w:val="en-US" w:eastAsia="zh-CN"/>
                      <w14:textFill>
                        <w14:solidFill>
                          <w14:schemeClr w14:val="tx2"/>
                        </w14:solidFill>
                      </w14:textFill>
                    </w:rPr>
                  </w:pPr>
                  <w:r>
                    <w:rPr>
                      <w:color w:val="1F497D" w:themeColor="text2"/>
                      <w:sz w:val="21"/>
                      <w:szCs w:val="21"/>
                      <w:vertAlign w:val="baseline"/>
                      <w14:textFill>
                        <w14:solidFill>
                          <w14:schemeClr w14:val="tx2"/>
                        </w14:solidFill>
                      </w14:textFill>
                    </w:rPr>
                    <w:t>排放浓度</w:t>
                  </w:r>
                  <w:r>
                    <w:rPr>
                      <w:rFonts w:hint="eastAsia"/>
                      <w:color w:val="1F497D" w:themeColor="text2"/>
                      <w:sz w:val="21"/>
                      <w:szCs w:val="21"/>
                      <w:vertAlign w:val="baseline"/>
                      <w:lang w:eastAsia="zh-CN"/>
                      <w14:textFill>
                        <w14:solidFill>
                          <w14:schemeClr w14:val="tx2"/>
                        </w14:solidFill>
                      </w14:textFill>
                    </w:rPr>
                    <w:t>（</w:t>
                  </w:r>
                  <w:r>
                    <w:rPr>
                      <w:color w:val="1F497D" w:themeColor="text2"/>
                      <w:sz w:val="21"/>
                      <w:szCs w:val="21"/>
                      <w:vertAlign w:val="baseline"/>
                      <w14:textFill>
                        <w14:solidFill>
                          <w14:schemeClr w14:val="tx2"/>
                        </w14:solidFill>
                      </w14:textFill>
                    </w:rPr>
                    <w:t>mg/L</w:t>
                  </w:r>
                  <w:r>
                    <w:rPr>
                      <w:rFonts w:hint="eastAsia"/>
                      <w:color w:val="1F497D" w:themeColor="text2"/>
                      <w:sz w:val="21"/>
                      <w:szCs w:val="21"/>
                      <w:vertAlign w:val="baseline"/>
                      <w:lang w:eastAsia="zh-CN"/>
                      <w14:textFill>
                        <w14:solidFill>
                          <w14:schemeClr w14:val="tx2"/>
                        </w14:solidFill>
                      </w14:textFill>
                    </w:rPr>
                    <w:t>）</w:t>
                  </w:r>
                </w:p>
              </w:tc>
              <w:tc>
                <w:tcPr>
                  <w:tcW w:w="575" w:type="pct"/>
                  <w:tcBorders>
                    <w:tl2br w:val="nil"/>
                    <w:tr2bl w:val="nil"/>
                  </w:tcBorders>
                  <w:noWrap w:val="0"/>
                  <w:vAlign w:val="center"/>
                </w:tcPr>
                <w:p w14:paraId="2890BD8D">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cs="Times New Roman"/>
                      <w:b w:val="0"/>
                      <w:bCs w:val="0"/>
                      <w:color w:val="1F497D" w:themeColor="text2"/>
                      <w:kern w:val="2"/>
                      <w:sz w:val="21"/>
                      <w:szCs w:val="21"/>
                      <w:highlight w:val="none"/>
                      <w:lang w:val="en-US" w:eastAsia="zh-CN" w:bidi="ar-SA"/>
                      <w14:textFill>
                        <w14:solidFill>
                          <w14:schemeClr w14:val="tx2"/>
                        </w14:solidFill>
                      </w14:textFill>
                    </w:rPr>
                  </w:pPr>
                  <w:r>
                    <w:rPr>
                      <w:rFonts w:hint="eastAsia" w:ascii="Times New Roman" w:cs="Times New Roman"/>
                      <w:b w:val="0"/>
                      <w:snapToGrid/>
                      <w:color w:val="1F497D" w:themeColor="text2"/>
                      <w:spacing w:val="4"/>
                      <w:kern w:val="18"/>
                      <w:sz w:val="21"/>
                      <w:szCs w:val="21"/>
                      <w:lang w:val="en-US" w:eastAsia="zh-CN" w:bidi="ar-SA"/>
                      <w14:textFill>
                        <w14:solidFill>
                          <w14:schemeClr w14:val="tx2"/>
                        </w14:solidFill>
                      </w14:textFill>
                    </w:rPr>
                    <w:t>/</w:t>
                  </w:r>
                </w:p>
              </w:tc>
              <w:tc>
                <w:tcPr>
                  <w:tcW w:w="678" w:type="pct"/>
                  <w:tcBorders>
                    <w:tl2br w:val="nil"/>
                    <w:tr2bl w:val="nil"/>
                  </w:tcBorders>
                  <w:noWrap w:val="0"/>
                  <w:vAlign w:val="center"/>
                </w:tcPr>
                <w:p w14:paraId="4B5C74B7">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cs="Times New Roman"/>
                      <w:b w:val="0"/>
                      <w:bCs w:val="0"/>
                      <w:color w:val="1F497D" w:themeColor="text2"/>
                      <w:kern w:val="2"/>
                      <w:sz w:val="21"/>
                      <w:szCs w:val="21"/>
                      <w:highlight w:val="none"/>
                      <w:lang w:val="en-US" w:eastAsia="zh-CN" w:bidi="ar-SA"/>
                      <w14:textFill>
                        <w14:solidFill>
                          <w14:schemeClr w14:val="tx2"/>
                        </w14:solidFill>
                      </w14:textFill>
                    </w:rPr>
                  </w:pPr>
                  <w:r>
                    <w:rPr>
                      <w:rFonts w:hint="eastAsia" w:ascii="Times New Roman" w:cs="Times New Roman"/>
                      <w:b w:val="0"/>
                      <w:bCs w:val="0"/>
                      <w:color w:val="1F497D" w:themeColor="text2"/>
                      <w:kern w:val="2"/>
                      <w:sz w:val="21"/>
                      <w:szCs w:val="21"/>
                      <w:highlight w:val="none"/>
                      <w:lang w:val="en-US" w:eastAsia="zh-CN" w:bidi="ar-SA"/>
                      <w14:textFill>
                        <w14:solidFill>
                          <w14:schemeClr w14:val="tx2"/>
                        </w14:solidFill>
                      </w14:textFill>
                    </w:rPr>
                    <w:t>10.53</w:t>
                  </w:r>
                </w:p>
              </w:tc>
              <w:tc>
                <w:tcPr>
                  <w:tcW w:w="678" w:type="pct"/>
                  <w:tcBorders>
                    <w:tl2br w:val="nil"/>
                    <w:tr2bl w:val="nil"/>
                  </w:tcBorders>
                  <w:noWrap w:val="0"/>
                  <w:vAlign w:val="center"/>
                </w:tcPr>
                <w:p w14:paraId="7242DF31">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cs="Times New Roman"/>
                      <w:b w:val="0"/>
                      <w:bCs w:val="0"/>
                      <w:color w:val="1F497D" w:themeColor="text2"/>
                      <w:kern w:val="2"/>
                      <w:sz w:val="21"/>
                      <w:szCs w:val="21"/>
                      <w:highlight w:val="none"/>
                      <w:lang w:val="en-US" w:eastAsia="zh-CN" w:bidi="ar-SA"/>
                      <w14:textFill>
                        <w14:solidFill>
                          <w14:schemeClr w14:val="tx2"/>
                        </w14:solidFill>
                      </w14:textFill>
                    </w:rPr>
                  </w:pPr>
                  <w:r>
                    <w:rPr>
                      <w:rFonts w:hint="eastAsia" w:ascii="Times New Roman" w:cs="Times New Roman"/>
                      <w:b w:val="0"/>
                      <w:bCs w:val="0"/>
                      <w:color w:val="1F497D" w:themeColor="text2"/>
                      <w:kern w:val="2"/>
                      <w:sz w:val="21"/>
                      <w:szCs w:val="21"/>
                      <w:highlight w:val="none"/>
                      <w:lang w:val="en-US" w:eastAsia="zh-CN" w:bidi="ar-SA"/>
                      <w14:textFill>
                        <w14:solidFill>
                          <w14:schemeClr w14:val="tx2"/>
                        </w14:solidFill>
                      </w14:textFill>
                    </w:rPr>
                    <w:t>8.26</w:t>
                  </w:r>
                </w:p>
              </w:tc>
              <w:tc>
                <w:tcPr>
                  <w:tcW w:w="678" w:type="pct"/>
                  <w:tcBorders>
                    <w:tl2br w:val="nil"/>
                    <w:tr2bl w:val="nil"/>
                  </w:tcBorders>
                  <w:noWrap w:val="0"/>
                  <w:vAlign w:val="center"/>
                </w:tcPr>
                <w:p w14:paraId="24AACD60">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eastAsia" w:ascii="Times New Roman" w:cs="Times New Roman"/>
                      <w:b w:val="0"/>
                      <w:bCs w:val="0"/>
                      <w:color w:val="1F497D" w:themeColor="text2"/>
                      <w:kern w:val="2"/>
                      <w:sz w:val="21"/>
                      <w:szCs w:val="21"/>
                      <w:highlight w:val="none"/>
                      <w:lang w:val="en-US" w:eastAsia="zh-CN" w:bidi="ar-SA"/>
                      <w14:textFill>
                        <w14:solidFill>
                          <w14:schemeClr w14:val="tx2"/>
                        </w14:solidFill>
                      </w14:textFill>
                    </w:rPr>
                  </w:pPr>
                  <w:r>
                    <w:rPr>
                      <w:rFonts w:hint="eastAsia" w:ascii="Times New Roman" w:cs="Times New Roman"/>
                      <w:b w:val="0"/>
                      <w:bCs w:val="0"/>
                      <w:color w:val="1F497D" w:themeColor="text2"/>
                      <w:kern w:val="2"/>
                      <w:sz w:val="21"/>
                      <w:szCs w:val="21"/>
                      <w:highlight w:val="none"/>
                      <w:lang w:val="en-US" w:eastAsia="zh-CN" w:bidi="ar-SA"/>
                      <w14:textFill>
                        <w14:solidFill>
                          <w14:schemeClr w14:val="tx2"/>
                        </w14:solidFill>
                      </w14:textFill>
                    </w:rPr>
                    <w:t>7.10</w:t>
                  </w:r>
                </w:p>
              </w:tc>
              <w:tc>
                <w:tcPr>
                  <w:tcW w:w="678" w:type="pct"/>
                  <w:tcBorders>
                    <w:tl2br w:val="nil"/>
                    <w:tr2bl w:val="nil"/>
                  </w:tcBorders>
                  <w:noWrap w:val="0"/>
                  <w:vAlign w:val="center"/>
                </w:tcPr>
                <w:p w14:paraId="6C766080">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cs="Times New Roman"/>
                      <w:b w:val="0"/>
                      <w:bCs w:val="0"/>
                      <w:color w:val="1F497D" w:themeColor="text2"/>
                      <w:sz w:val="21"/>
                      <w:szCs w:val="21"/>
                      <w:highlight w:val="none"/>
                      <w:lang w:val="en-US" w:eastAsia="zh-CN"/>
                      <w14:textFill>
                        <w14:solidFill>
                          <w14:schemeClr w14:val="tx2"/>
                        </w14:solidFill>
                      </w14:textFill>
                    </w:rPr>
                  </w:pPr>
                  <w:r>
                    <w:rPr>
                      <w:rFonts w:hint="eastAsia" w:ascii="Times New Roman" w:cs="Times New Roman"/>
                      <w:b w:val="0"/>
                      <w:bCs w:val="0"/>
                      <w:color w:val="1F497D" w:themeColor="text2"/>
                      <w:sz w:val="21"/>
                      <w:szCs w:val="21"/>
                      <w:highlight w:val="none"/>
                      <w:lang w:val="en-US" w:eastAsia="zh-CN"/>
                      <w14:textFill>
                        <w14:solidFill>
                          <w14:schemeClr w14:val="tx2"/>
                        </w14:solidFill>
                      </w14:textFill>
                    </w:rPr>
                    <w:t>2.15</w:t>
                  </w:r>
                </w:p>
              </w:tc>
              <w:tc>
                <w:tcPr>
                  <w:tcW w:w="680" w:type="pct"/>
                  <w:tcBorders>
                    <w:tl2br w:val="nil"/>
                    <w:tr2bl w:val="nil"/>
                  </w:tcBorders>
                  <w:noWrap w:val="0"/>
                  <w:vAlign w:val="center"/>
                </w:tcPr>
                <w:p w14:paraId="06970F36">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hAnsi="Calibri" w:eastAsia="宋体" w:cs="Times New Roman"/>
                      <w:b w:val="0"/>
                      <w:bCs w:val="0"/>
                      <w:color w:val="1F497D" w:themeColor="text2"/>
                      <w:kern w:val="2"/>
                      <w:sz w:val="21"/>
                      <w:szCs w:val="21"/>
                      <w:highlight w:val="none"/>
                      <w:lang w:val="en-US" w:eastAsia="zh-CN" w:bidi="ar-SA"/>
                      <w14:textFill>
                        <w14:solidFill>
                          <w14:schemeClr w14:val="tx2"/>
                        </w14:solidFill>
                      </w14:textFill>
                    </w:rPr>
                  </w:pPr>
                  <w:r>
                    <w:rPr>
                      <w:rFonts w:hint="eastAsia" w:ascii="Times New Roman" w:hAnsi="Calibri" w:eastAsia="宋体" w:cs="Times New Roman"/>
                      <w:b w:val="0"/>
                      <w:bCs w:val="0"/>
                      <w:color w:val="1F497D" w:themeColor="text2"/>
                      <w:kern w:val="2"/>
                      <w:sz w:val="21"/>
                      <w:szCs w:val="21"/>
                      <w:highlight w:val="none"/>
                      <w:lang w:val="en-US" w:eastAsia="zh-CN" w:bidi="ar-SA"/>
                      <w14:textFill>
                        <w14:solidFill>
                          <w14:schemeClr w14:val="tx2"/>
                        </w14:solidFill>
                      </w14:textFill>
                    </w:rPr>
                    <w:t>0.21</w:t>
                  </w:r>
                </w:p>
              </w:tc>
            </w:tr>
            <w:tr w14:paraId="737A51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3" w:type="pct"/>
                  <w:vMerge w:val="restart"/>
                  <w:tcBorders>
                    <w:tl2br w:val="nil"/>
                    <w:tr2bl w:val="nil"/>
                  </w:tcBorders>
                  <w:noWrap w:val="0"/>
                  <w:vAlign w:val="center"/>
                </w:tcPr>
                <w:p w14:paraId="5CEE4CA2">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1F497D" w:themeColor="text2"/>
                      <w:sz w:val="21"/>
                      <w:szCs w:val="21"/>
                      <w:highlight w:val="none"/>
                      <w:lang w:val="en-US" w:eastAsia="zh-CN"/>
                      <w14:textFill>
                        <w14:solidFill>
                          <w14:schemeClr w14:val="tx2"/>
                        </w14:solidFill>
                      </w14:textFill>
                    </w:rPr>
                  </w:pPr>
                  <w:r>
                    <w:rPr>
                      <w:rFonts w:hint="eastAsia"/>
                      <w:color w:val="1F497D" w:themeColor="text2"/>
                      <w:sz w:val="21"/>
                      <w:szCs w:val="21"/>
                      <w:lang w:val="en-US" w:eastAsia="zh-CN"/>
                      <w14:textFill>
                        <w14:solidFill>
                          <w14:schemeClr w14:val="tx2"/>
                        </w14:solidFill>
                      </w14:textFill>
                    </w:rPr>
                    <w:t>综合废水</w:t>
                  </w:r>
                </w:p>
              </w:tc>
              <w:tc>
                <w:tcPr>
                  <w:tcW w:w="638" w:type="pct"/>
                  <w:tcBorders>
                    <w:tl2br w:val="nil"/>
                    <w:tr2bl w:val="nil"/>
                  </w:tcBorders>
                  <w:noWrap w:val="0"/>
                  <w:vAlign w:val="center"/>
                </w:tcPr>
                <w:p w14:paraId="0E3414D2">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1F497D" w:themeColor="text2"/>
                      <w:sz w:val="21"/>
                      <w:szCs w:val="21"/>
                      <w:highlight w:val="none"/>
                      <w:lang w:val="en-US" w:eastAsia="zh-CN"/>
                      <w14:textFill>
                        <w14:solidFill>
                          <w14:schemeClr w14:val="tx2"/>
                        </w14:solidFill>
                      </w14:textFill>
                    </w:rPr>
                  </w:pPr>
                  <w:r>
                    <w:rPr>
                      <w:color w:val="1F497D" w:themeColor="text2"/>
                      <w:sz w:val="21"/>
                      <w:szCs w:val="21"/>
                      <w:vertAlign w:val="baseline"/>
                      <w14:textFill>
                        <w14:solidFill>
                          <w14:schemeClr w14:val="tx2"/>
                        </w14:solidFill>
                      </w14:textFill>
                    </w:rPr>
                    <w:t>排放浓度</w:t>
                  </w:r>
                  <w:r>
                    <w:rPr>
                      <w:rFonts w:hint="eastAsia"/>
                      <w:color w:val="1F497D" w:themeColor="text2"/>
                      <w:sz w:val="21"/>
                      <w:szCs w:val="21"/>
                      <w:vertAlign w:val="baseline"/>
                      <w:lang w:eastAsia="zh-CN"/>
                      <w14:textFill>
                        <w14:solidFill>
                          <w14:schemeClr w14:val="tx2"/>
                        </w14:solidFill>
                      </w14:textFill>
                    </w:rPr>
                    <w:t>（</w:t>
                  </w:r>
                  <w:r>
                    <w:rPr>
                      <w:color w:val="1F497D" w:themeColor="text2"/>
                      <w:sz w:val="21"/>
                      <w:szCs w:val="21"/>
                      <w:vertAlign w:val="baseline"/>
                      <w14:textFill>
                        <w14:solidFill>
                          <w14:schemeClr w14:val="tx2"/>
                        </w14:solidFill>
                      </w14:textFill>
                    </w:rPr>
                    <w:t>mg/L</w:t>
                  </w:r>
                  <w:r>
                    <w:rPr>
                      <w:rFonts w:hint="eastAsia"/>
                      <w:color w:val="1F497D" w:themeColor="text2"/>
                      <w:sz w:val="21"/>
                      <w:szCs w:val="21"/>
                      <w:vertAlign w:val="baseline"/>
                      <w:lang w:eastAsia="zh-CN"/>
                      <w14:textFill>
                        <w14:solidFill>
                          <w14:schemeClr w14:val="tx2"/>
                        </w14:solidFill>
                      </w14:textFill>
                    </w:rPr>
                    <w:t>）</w:t>
                  </w:r>
                </w:p>
              </w:tc>
              <w:tc>
                <w:tcPr>
                  <w:tcW w:w="575" w:type="pct"/>
                  <w:vMerge w:val="restart"/>
                  <w:tcBorders>
                    <w:tl2br w:val="nil"/>
                    <w:tr2bl w:val="nil"/>
                  </w:tcBorders>
                  <w:noWrap w:val="0"/>
                  <w:vAlign w:val="center"/>
                </w:tcPr>
                <w:p w14:paraId="67F10E93">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1F497D" w:themeColor="text2"/>
                      <w:kern w:val="2"/>
                      <w:sz w:val="21"/>
                      <w:szCs w:val="21"/>
                      <w:highlight w:val="none"/>
                      <w:lang w:val="en-US" w:eastAsia="zh-CN" w:bidi="ar-SA"/>
                      <w14:textFill>
                        <w14:solidFill>
                          <w14:schemeClr w14:val="tx2"/>
                        </w14:solidFill>
                      </w14:textFill>
                    </w:rPr>
                  </w:pPr>
                  <w:r>
                    <w:rPr>
                      <w:rFonts w:hint="eastAsia" w:ascii="Times New Roman" w:cs="Times New Roman"/>
                      <w:b w:val="0"/>
                      <w:bCs w:val="0"/>
                      <w:color w:val="1F497D" w:themeColor="text2"/>
                      <w:sz w:val="21"/>
                      <w:szCs w:val="21"/>
                      <w:highlight w:val="none"/>
                      <w:lang w:val="en-US" w:eastAsia="zh-CN"/>
                      <w14:textFill>
                        <w14:solidFill>
                          <w14:schemeClr w14:val="tx2"/>
                        </w14:solidFill>
                      </w14:textFill>
                    </w:rPr>
                    <w:t>242.224</w:t>
                  </w:r>
                </w:p>
              </w:tc>
              <w:tc>
                <w:tcPr>
                  <w:tcW w:w="678" w:type="pct"/>
                  <w:tcBorders>
                    <w:tl2br w:val="nil"/>
                    <w:tr2bl w:val="nil"/>
                  </w:tcBorders>
                  <w:noWrap w:val="0"/>
                  <w:vAlign w:val="center"/>
                </w:tcPr>
                <w:p w14:paraId="67DC0283">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1F497D" w:themeColor="text2"/>
                      <w:kern w:val="2"/>
                      <w:sz w:val="21"/>
                      <w:szCs w:val="21"/>
                      <w:highlight w:val="none"/>
                      <w:lang w:val="en-US" w:eastAsia="zh-CN" w:bidi="ar-SA"/>
                      <w14:textFill>
                        <w14:solidFill>
                          <w14:schemeClr w14:val="tx2"/>
                        </w14:solidFill>
                      </w14:textFill>
                    </w:rPr>
                  </w:pPr>
                  <w:r>
                    <w:rPr>
                      <w:rFonts w:hint="eastAsia" w:ascii="Times New Roman" w:cs="Times New Roman"/>
                      <w:b w:val="0"/>
                      <w:bCs w:val="0"/>
                      <w:color w:val="1F497D" w:themeColor="text2"/>
                      <w:kern w:val="2"/>
                      <w:sz w:val="21"/>
                      <w:szCs w:val="21"/>
                      <w:highlight w:val="none"/>
                      <w:lang w:val="en-US" w:eastAsia="zh-CN" w:bidi="ar-SA"/>
                      <w14:textFill>
                        <w14:solidFill>
                          <w14:schemeClr w14:val="tx2"/>
                        </w14:solidFill>
                      </w14:textFill>
                    </w:rPr>
                    <w:t>10.53</w:t>
                  </w:r>
                </w:p>
              </w:tc>
              <w:tc>
                <w:tcPr>
                  <w:tcW w:w="678" w:type="pct"/>
                  <w:tcBorders>
                    <w:tl2br w:val="nil"/>
                    <w:tr2bl w:val="nil"/>
                  </w:tcBorders>
                  <w:noWrap w:val="0"/>
                  <w:vAlign w:val="center"/>
                </w:tcPr>
                <w:p w14:paraId="3D0F613A">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1F497D" w:themeColor="text2"/>
                      <w:kern w:val="2"/>
                      <w:sz w:val="21"/>
                      <w:szCs w:val="21"/>
                      <w:highlight w:val="none"/>
                      <w:lang w:val="en-US" w:eastAsia="zh-CN" w:bidi="ar-SA"/>
                      <w14:textFill>
                        <w14:solidFill>
                          <w14:schemeClr w14:val="tx2"/>
                        </w14:solidFill>
                      </w14:textFill>
                    </w:rPr>
                  </w:pPr>
                  <w:r>
                    <w:rPr>
                      <w:rFonts w:hint="eastAsia" w:ascii="Times New Roman" w:cs="Times New Roman"/>
                      <w:b w:val="0"/>
                      <w:bCs w:val="0"/>
                      <w:color w:val="1F497D" w:themeColor="text2"/>
                      <w:kern w:val="2"/>
                      <w:sz w:val="21"/>
                      <w:szCs w:val="21"/>
                      <w:highlight w:val="none"/>
                      <w:lang w:val="en-US" w:eastAsia="zh-CN" w:bidi="ar-SA"/>
                      <w14:textFill>
                        <w14:solidFill>
                          <w14:schemeClr w14:val="tx2"/>
                        </w14:solidFill>
                      </w14:textFill>
                    </w:rPr>
                    <w:t>8.26</w:t>
                  </w:r>
                </w:p>
              </w:tc>
              <w:tc>
                <w:tcPr>
                  <w:tcW w:w="678" w:type="pct"/>
                  <w:tcBorders>
                    <w:tl2br w:val="nil"/>
                    <w:tr2bl w:val="nil"/>
                  </w:tcBorders>
                  <w:noWrap w:val="0"/>
                  <w:vAlign w:val="center"/>
                </w:tcPr>
                <w:p w14:paraId="055657C1">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eastAsia" w:ascii="Times New Roman" w:cs="Times New Roman"/>
                      <w:b w:val="0"/>
                      <w:bCs w:val="0"/>
                      <w:color w:val="1F497D" w:themeColor="text2"/>
                      <w:kern w:val="2"/>
                      <w:sz w:val="21"/>
                      <w:szCs w:val="21"/>
                      <w:highlight w:val="none"/>
                      <w:lang w:val="en-US" w:eastAsia="zh-CN" w:bidi="ar-SA"/>
                      <w14:textFill>
                        <w14:solidFill>
                          <w14:schemeClr w14:val="tx2"/>
                        </w14:solidFill>
                      </w14:textFill>
                    </w:rPr>
                  </w:pPr>
                  <w:r>
                    <w:rPr>
                      <w:rFonts w:hint="eastAsia" w:ascii="Times New Roman" w:cs="Times New Roman"/>
                      <w:b w:val="0"/>
                      <w:bCs w:val="0"/>
                      <w:color w:val="1F497D" w:themeColor="text2"/>
                      <w:kern w:val="2"/>
                      <w:sz w:val="21"/>
                      <w:szCs w:val="21"/>
                      <w:highlight w:val="none"/>
                      <w:lang w:val="en-US" w:eastAsia="zh-CN" w:bidi="ar-SA"/>
                      <w14:textFill>
                        <w14:solidFill>
                          <w14:schemeClr w14:val="tx2"/>
                        </w14:solidFill>
                      </w14:textFill>
                    </w:rPr>
                    <w:t>7.10</w:t>
                  </w:r>
                </w:p>
              </w:tc>
              <w:tc>
                <w:tcPr>
                  <w:tcW w:w="678" w:type="pct"/>
                  <w:tcBorders>
                    <w:tl2br w:val="nil"/>
                    <w:tr2bl w:val="nil"/>
                  </w:tcBorders>
                  <w:noWrap w:val="0"/>
                  <w:vAlign w:val="center"/>
                </w:tcPr>
                <w:p w14:paraId="6E2823BC">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1F497D" w:themeColor="text2"/>
                      <w:kern w:val="2"/>
                      <w:sz w:val="21"/>
                      <w:szCs w:val="21"/>
                      <w:highlight w:val="none"/>
                      <w:lang w:val="en-US" w:eastAsia="zh-CN" w:bidi="ar-SA"/>
                      <w14:textFill>
                        <w14:solidFill>
                          <w14:schemeClr w14:val="tx2"/>
                        </w14:solidFill>
                      </w14:textFill>
                    </w:rPr>
                  </w:pPr>
                  <w:r>
                    <w:rPr>
                      <w:rFonts w:hint="eastAsia" w:ascii="Times New Roman" w:cs="Times New Roman"/>
                      <w:b w:val="0"/>
                      <w:bCs w:val="0"/>
                      <w:color w:val="1F497D" w:themeColor="text2"/>
                      <w:sz w:val="21"/>
                      <w:szCs w:val="21"/>
                      <w:highlight w:val="none"/>
                      <w:lang w:val="en-US" w:eastAsia="zh-CN"/>
                      <w14:textFill>
                        <w14:solidFill>
                          <w14:schemeClr w14:val="tx2"/>
                        </w14:solidFill>
                      </w14:textFill>
                    </w:rPr>
                    <w:t>2.15</w:t>
                  </w:r>
                </w:p>
              </w:tc>
              <w:tc>
                <w:tcPr>
                  <w:tcW w:w="680" w:type="pct"/>
                  <w:tcBorders>
                    <w:tl2br w:val="nil"/>
                    <w:tr2bl w:val="nil"/>
                  </w:tcBorders>
                  <w:noWrap w:val="0"/>
                  <w:vAlign w:val="center"/>
                </w:tcPr>
                <w:p w14:paraId="5BCF9891">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1F497D" w:themeColor="text2"/>
                      <w:spacing w:val="4"/>
                      <w:kern w:val="2"/>
                      <w:sz w:val="21"/>
                      <w:szCs w:val="21"/>
                      <w:highlight w:val="none"/>
                      <w:lang w:val="en-US" w:eastAsia="zh-CN" w:bidi="ar-SA"/>
                      <w14:textFill>
                        <w14:solidFill>
                          <w14:schemeClr w14:val="tx2"/>
                        </w14:solidFill>
                      </w14:textFill>
                    </w:rPr>
                  </w:pPr>
                  <w:r>
                    <w:rPr>
                      <w:rFonts w:hint="eastAsia" w:ascii="Times New Roman" w:hAnsi="Calibri" w:eastAsia="宋体" w:cs="Times New Roman"/>
                      <w:b w:val="0"/>
                      <w:bCs w:val="0"/>
                      <w:color w:val="1F497D" w:themeColor="text2"/>
                      <w:kern w:val="2"/>
                      <w:sz w:val="21"/>
                      <w:szCs w:val="21"/>
                      <w:highlight w:val="none"/>
                      <w:lang w:val="en-US" w:eastAsia="zh-CN" w:bidi="ar-SA"/>
                      <w14:textFill>
                        <w14:solidFill>
                          <w14:schemeClr w14:val="tx2"/>
                        </w14:solidFill>
                      </w14:textFill>
                    </w:rPr>
                    <w:t>0.21</w:t>
                  </w:r>
                </w:p>
              </w:tc>
            </w:tr>
            <w:tr w14:paraId="590357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3" w:type="pct"/>
                  <w:vMerge w:val="continue"/>
                  <w:tcBorders>
                    <w:tl2br w:val="nil"/>
                    <w:tr2bl w:val="nil"/>
                  </w:tcBorders>
                  <w:noWrap w:val="0"/>
                  <w:vAlign w:val="center"/>
                </w:tcPr>
                <w:p w14:paraId="4AAE5688">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1F497D" w:themeColor="text2"/>
                      <w:sz w:val="21"/>
                      <w:szCs w:val="21"/>
                      <w:highlight w:val="none"/>
                      <w:lang w:val="en-US" w:eastAsia="zh-CN"/>
                      <w14:textFill>
                        <w14:solidFill>
                          <w14:schemeClr w14:val="tx2"/>
                        </w14:solidFill>
                      </w14:textFill>
                    </w:rPr>
                  </w:pPr>
                </w:p>
              </w:tc>
              <w:tc>
                <w:tcPr>
                  <w:tcW w:w="638" w:type="pct"/>
                  <w:tcBorders>
                    <w:tl2br w:val="nil"/>
                    <w:tr2bl w:val="nil"/>
                  </w:tcBorders>
                  <w:noWrap w:val="0"/>
                  <w:vAlign w:val="center"/>
                </w:tcPr>
                <w:p w14:paraId="54EE9525">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1F497D" w:themeColor="text2"/>
                      <w:sz w:val="21"/>
                      <w:szCs w:val="21"/>
                      <w:highlight w:val="none"/>
                      <w:lang w:val="en-US" w:eastAsia="zh-CN"/>
                      <w14:textFill>
                        <w14:solidFill>
                          <w14:schemeClr w14:val="tx2"/>
                        </w14:solidFill>
                      </w14:textFill>
                    </w:rPr>
                  </w:pPr>
                  <w:r>
                    <w:rPr>
                      <w:color w:val="1F497D" w:themeColor="text2"/>
                      <w:sz w:val="21"/>
                      <w:szCs w:val="21"/>
                      <w:vertAlign w:val="baseline"/>
                      <w14:textFill>
                        <w14:solidFill>
                          <w14:schemeClr w14:val="tx2"/>
                        </w14:solidFill>
                      </w14:textFill>
                    </w:rPr>
                    <w:t>排放量</w:t>
                  </w:r>
                  <w:r>
                    <w:rPr>
                      <w:rFonts w:hint="eastAsia"/>
                      <w:color w:val="1F497D" w:themeColor="text2"/>
                      <w:sz w:val="21"/>
                      <w:szCs w:val="21"/>
                      <w:vertAlign w:val="baseline"/>
                      <w:lang w:eastAsia="zh-CN"/>
                      <w14:textFill>
                        <w14:solidFill>
                          <w14:schemeClr w14:val="tx2"/>
                        </w14:solidFill>
                      </w14:textFill>
                    </w:rPr>
                    <w:t>（</w:t>
                  </w:r>
                  <w:r>
                    <w:rPr>
                      <w:color w:val="1F497D" w:themeColor="text2"/>
                      <w:sz w:val="21"/>
                      <w:szCs w:val="21"/>
                      <w:vertAlign w:val="baseline"/>
                      <w14:textFill>
                        <w14:solidFill>
                          <w14:schemeClr w14:val="tx2"/>
                        </w14:solidFill>
                      </w14:textFill>
                    </w:rPr>
                    <w:t>t/a</w:t>
                  </w:r>
                  <w:r>
                    <w:rPr>
                      <w:rFonts w:hint="eastAsia"/>
                      <w:color w:val="1F497D" w:themeColor="text2"/>
                      <w:sz w:val="21"/>
                      <w:szCs w:val="21"/>
                      <w:vertAlign w:val="baseline"/>
                      <w:lang w:eastAsia="zh-CN"/>
                      <w14:textFill>
                        <w14:solidFill>
                          <w14:schemeClr w14:val="tx2"/>
                        </w14:solidFill>
                      </w14:textFill>
                    </w:rPr>
                    <w:t>）</w:t>
                  </w:r>
                </w:p>
              </w:tc>
              <w:tc>
                <w:tcPr>
                  <w:tcW w:w="575" w:type="pct"/>
                  <w:vMerge w:val="continue"/>
                  <w:tcBorders>
                    <w:tl2br w:val="nil"/>
                    <w:tr2bl w:val="nil"/>
                  </w:tcBorders>
                  <w:noWrap w:val="0"/>
                  <w:vAlign w:val="center"/>
                </w:tcPr>
                <w:p w14:paraId="07EE958A">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1F497D" w:themeColor="text2"/>
                      <w:kern w:val="2"/>
                      <w:sz w:val="21"/>
                      <w:szCs w:val="21"/>
                      <w:highlight w:val="none"/>
                      <w:lang w:val="en-US" w:eastAsia="zh-CN" w:bidi="ar-SA"/>
                      <w14:textFill>
                        <w14:solidFill>
                          <w14:schemeClr w14:val="tx2"/>
                        </w14:solidFill>
                      </w14:textFill>
                    </w:rPr>
                  </w:pPr>
                </w:p>
              </w:tc>
              <w:tc>
                <w:tcPr>
                  <w:tcW w:w="678" w:type="pct"/>
                  <w:tcBorders>
                    <w:tl2br w:val="nil"/>
                    <w:tr2bl w:val="nil"/>
                  </w:tcBorders>
                  <w:noWrap w:val="0"/>
                  <w:vAlign w:val="center"/>
                </w:tcPr>
                <w:p w14:paraId="36B201EF">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1F497D" w:themeColor="text2"/>
                      <w:kern w:val="2"/>
                      <w:sz w:val="21"/>
                      <w:szCs w:val="21"/>
                      <w:highlight w:val="none"/>
                      <w:lang w:val="en-US" w:eastAsia="zh-CN" w:bidi="ar-SA"/>
                      <w14:textFill>
                        <w14:solidFill>
                          <w14:schemeClr w14:val="tx2"/>
                        </w14:solidFill>
                      </w14:textFill>
                    </w:rPr>
                  </w:pPr>
                  <w:r>
                    <w:rPr>
                      <w:rFonts w:hint="eastAsia" w:ascii="Times New Roman" w:hAnsi="Times New Roman" w:eastAsia="宋体" w:cs="Times New Roman"/>
                      <w:b w:val="0"/>
                      <w:bCs w:val="0"/>
                      <w:color w:val="1F497D" w:themeColor="text2"/>
                      <w:kern w:val="2"/>
                      <w:sz w:val="21"/>
                      <w:szCs w:val="21"/>
                      <w:highlight w:val="none"/>
                      <w:lang w:val="en-US" w:eastAsia="zh-CN" w:bidi="ar-SA"/>
                      <w14:textFill>
                        <w14:solidFill>
                          <w14:schemeClr w14:val="tx2"/>
                        </w14:solidFill>
                      </w14:textFill>
                    </w:rPr>
                    <w:t>0.003</w:t>
                  </w:r>
                </w:p>
              </w:tc>
              <w:tc>
                <w:tcPr>
                  <w:tcW w:w="678" w:type="pct"/>
                  <w:tcBorders>
                    <w:tl2br w:val="nil"/>
                    <w:tr2bl w:val="nil"/>
                  </w:tcBorders>
                  <w:noWrap w:val="0"/>
                  <w:vAlign w:val="center"/>
                </w:tcPr>
                <w:p w14:paraId="19B347DE">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1F497D" w:themeColor="text2"/>
                      <w:kern w:val="2"/>
                      <w:sz w:val="21"/>
                      <w:szCs w:val="21"/>
                      <w:highlight w:val="none"/>
                      <w:lang w:val="en-US" w:eastAsia="zh-CN" w:bidi="ar-SA"/>
                      <w14:textFill>
                        <w14:solidFill>
                          <w14:schemeClr w14:val="tx2"/>
                        </w14:solidFill>
                      </w14:textFill>
                    </w:rPr>
                  </w:pPr>
                  <w:r>
                    <w:rPr>
                      <w:rFonts w:hint="eastAsia" w:ascii="Times New Roman" w:hAnsi="Times New Roman" w:eastAsia="宋体" w:cs="Times New Roman"/>
                      <w:b w:val="0"/>
                      <w:bCs w:val="0"/>
                      <w:color w:val="1F497D" w:themeColor="text2"/>
                      <w:kern w:val="2"/>
                      <w:sz w:val="21"/>
                      <w:szCs w:val="21"/>
                      <w:highlight w:val="none"/>
                      <w:lang w:val="en-US" w:eastAsia="zh-CN" w:bidi="ar-SA"/>
                      <w14:textFill>
                        <w14:solidFill>
                          <w14:schemeClr w14:val="tx2"/>
                        </w14:solidFill>
                      </w14:textFill>
                    </w:rPr>
                    <w:t>0.002</w:t>
                  </w:r>
                </w:p>
              </w:tc>
              <w:tc>
                <w:tcPr>
                  <w:tcW w:w="678" w:type="pct"/>
                  <w:tcBorders>
                    <w:tl2br w:val="nil"/>
                    <w:tr2bl w:val="nil"/>
                  </w:tcBorders>
                  <w:noWrap w:val="0"/>
                  <w:vAlign w:val="center"/>
                </w:tcPr>
                <w:p w14:paraId="2FA974DF">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cs="Times New Roman"/>
                      <w:b w:val="0"/>
                      <w:bCs w:val="0"/>
                      <w:color w:val="1F497D" w:themeColor="text2"/>
                      <w:kern w:val="2"/>
                      <w:sz w:val="21"/>
                      <w:szCs w:val="21"/>
                      <w:highlight w:val="none"/>
                      <w:lang w:val="en-US" w:eastAsia="zh-CN" w:bidi="ar-SA"/>
                      <w14:textFill>
                        <w14:solidFill>
                          <w14:schemeClr w14:val="tx2"/>
                        </w14:solidFill>
                      </w14:textFill>
                    </w:rPr>
                  </w:pPr>
                  <w:r>
                    <w:rPr>
                      <w:rFonts w:hint="eastAsia" w:ascii="Times New Roman" w:cs="Times New Roman"/>
                      <w:b w:val="0"/>
                      <w:bCs w:val="0"/>
                      <w:color w:val="1F497D" w:themeColor="text2"/>
                      <w:kern w:val="2"/>
                      <w:sz w:val="21"/>
                      <w:szCs w:val="21"/>
                      <w:highlight w:val="none"/>
                      <w:lang w:val="en-US" w:eastAsia="zh-CN" w:bidi="ar-SA"/>
                      <w14:textFill>
                        <w14:solidFill>
                          <w14:schemeClr w14:val="tx2"/>
                        </w14:solidFill>
                      </w14:textFill>
                    </w:rPr>
                    <w:t>0.002</w:t>
                  </w:r>
                </w:p>
              </w:tc>
              <w:tc>
                <w:tcPr>
                  <w:tcW w:w="678" w:type="pct"/>
                  <w:tcBorders>
                    <w:tl2br w:val="nil"/>
                    <w:tr2bl w:val="nil"/>
                  </w:tcBorders>
                  <w:noWrap w:val="0"/>
                  <w:vAlign w:val="center"/>
                </w:tcPr>
                <w:p w14:paraId="45F74331">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1F497D" w:themeColor="text2"/>
                      <w:kern w:val="2"/>
                      <w:sz w:val="21"/>
                      <w:szCs w:val="21"/>
                      <w:highlight w:val="none"/>
                      <w:lang w:val="en-US" w:eastAsia="zh-CN" w:bidi="ar-SA"/>
                      <w14:textFill>
                        <w14:solidFill>
                          <w14:schemeClr w14:val="tx2"/>
                        </w14:solidFill>
                      </w14:textFill>
                    </w:rPr>
                  </w:pPr>
                  <w:r>
                    <w:rPr>
                      <w:rFonts w:hint="eastAsia" w:ascii="Times New Roman" w:hAnsi="Times New Roman" w:eastAsia="宋体" w:cs="Times New Roman"/>
                      <w:b w:val="0"/>
                      <w:bCs w:val="0"/>
                      <w:color w:val="1F497D" w:themeColor="text2"/>
                      <w:kern w:val="2"/>
                      <w:sz w:val="21"/>
                      <w:szCs w:val="21"/>
                      <w:highlight w:val="none"/>
                      <w:lang w:val="en-US" w:eastAsia="zh-CN" w:bidi="ar-SA"/>
                      <w14:textFill>
                        <w14:solidFill>
                          <w14:schemeClr w14:val="tx2"/>
                        </w14:solidFill>
                      </w14:textFill>
                    </w:rPr>
                    <w:t>0.0005</w:t>
                  </w:r>
                </w:p>
              </w:tc>
              <w:tc>
                <w:tcPr>
                  <w:tcW w:w="680" w:type="pct"/>
                  <w:tcBorders>
                    <w:tl2br w:val="nil"/>
                    <w:tr2bl w:val="nil"/>
                  </w:tcBorders>
                  <w:noWrap w:val="0"/>
                  <w:vAlign w:val="center"/>
                </w:tcPr>
                <w:p w14:paraId="48A2EA0C">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cs="Times New Roman"/>
                      <w:b w:val="0"/>
                      <w:bCs w:val="0"/>
                      <w:color w:val="1F497D" w:themeColor="text2"/>
                      <w:kern w:val="2"/>
                      <w:sz w:val="21"/>
                      <w:szCs w:val="21"/>
                      <w:highlight w:val="none"/>
                      <w:lang w:val="en-US" w:eastAsia="zh-CN" w:bidi="ar-SA"/>
                      <w14:textFill>
                        <w14:solidFill>
                          <w14:schemeClr w14:val="tx2"/>
                        </w14:solidFill>
                      </w14:textFill>
                    </w:rPr>
                  </w:pPr>
                  <w:r>
                    <w:rPr>
                      <w:rFonts w:hint="eastAsia" w:ascii="Times New Roman" w:cs="Times New Roman"/>
                      <w:b w:val="0"/>
                      <w:bCs w:val="0"/>
                      <w:color w:val="1F497D" w:themeColor="text2"/>
                      <w:kern w:val="2"/>
                      <w:sz w:val="21"/>
                      <w:szCs w:val="21"/>
                      <w:highlight w:val="none"/>
                      <w:lang w:val="en-US" w:eastAsia="zh-CN" w:bidi="ar-SA"/>
                      <w14:textFill>
                        <w14:solidFill>
                          <w14:schemeClr w14:val="tx2"/>
                        </w14:solidFill>
                      </w14:textFill>
                    </w:rPr>
                    <w:t>0.00005</w:t>
                  </w:r>
                </w:p>
              </w:tc>
            </w:tr>
            <w:tr w14:paraId="7AF25F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31" w:type="pct"/>
                  <w:gridSpan w:val="2"/>
                  <w:tcBorders>
                    <w:tl2br w:val="nil"/>
                    <w:tr2bl w:val="nil"/>
                  </w:tcBorders>
                  <w:noWrap w:val="0"/>
                  <w:vAlign w:val="center"/>
                </w:tcPr>
                <w:p w14:paraId="026AB891">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1F497D" w:themeColor="text2"/>
                      <w:kern w:val="2"/>
                      <w:sz w:val="21"/>
                      <w:szCs w:val="21"/>
                      <w:highlight w:val="none"/>
                      <w:lang w:val="en-US" w:eastAsia="zh-CN" w:bidi="ar-SA"/>
                      <w14:textFill>
                        <w14:solidFill>
                          <w14:schemeClr w14:val="tx2"/>
                        </w14:solidFill>
                      </w14:textFill>
                    </w:rPr>
                  </w:pPr>
                  <w:r>
                    <w:rPr>
                      <w:rFonts w:hint="default" w:ascii="Times New Roman" w:hAnsi="Times New Roman" w:eastAsia="宋体" w:cs="Times New Roman"/>
                      <w:b w:val="0"/>
                      <w:bCs w:val="0"/>
                      <w:color w:val="1F497D" w:themeColor="text2"/>
                      <w:kern w:val="2"/>
                      <w:sz w:val="21"/>
                      <w:szCs w:val="21"/>
                      <w:highlight w:val="none"/>
                      <w:lang w:val="en-US" w:eastAsia="zh-CN" w:bidi="ar-SA"/>
                      <w14:textFill>
                        <w14:solidFill>
                          <w14:schemeClr w14:val="tx2"/>
                        </w14:solidFill>
                      </w14:textFill>
                    </w:rPr>
                    <w:t>《城市污水再生利用·城市杂用水水质》（GB/T18920-2020）中车辆冲洗水质标准</w:t>
                  </w:r>
                </w:p>
              </w:tc>
              <w:tc>
                <w:tcPr>
                  <w:tcW w:w="575" w:type="pct"/>
                  <w:tcBorders>
                    <w:tl2br w:val="nil"/>
                    <w:tr2bl w:val="nil"/>
                  </w:tcBorders>
                  <w:noWrap w:val="0"/>
                  <w:vAlign w:val="center"/>
                </w:tcPr>
                <w:p w14:paraId="69DECB78">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1F497D" w:themeColor="text2"/>
                      <w:kern w:val="2"/>
                      <w:sz w:val="21"/>
                      <w:szCs w:val="21"/>
                      <w:highlight w:val="none"/>
                      <w:lang w:val="en-US" w:eastAsia="zh-CN" w:bidi="ar-SA"/>
                      <w14:textFill>
                        <w14:solidFill>
                          <w14:schemeClr w14:val="tx2"/>
                        </w14:solidFill>
                      </w14:textFill>
                    </w:rPr>
                  </w:pPr>
                  <w:r>
                    <w:rPr>
                      <w:rFonts w:hint="eastAsia" w:ascii="Times New Roman" w:cs="Times New Roman"/>
                      <w:b w:val="0"/>
                      <w:snapToGrid/>
                      <w:color w:val="1F497D" w:themeColor="text2"/>
                      <w:spacing w:val="4"/>
                      <w:kern w:val="18"/>
                      <w:sz w:val="21"/>
                      <w:szCs w:val="21"/>
                      <w:lang w:val="en-US" w:eastAsia="zh-CN" w:bidi="ar-SA"/>
                      <w14:textFill>
                        <w14:solidFill>
                          <w14:schemeClr w14:val="tx2"/>
                        </w14:solidFill>
                      </w14:textFill>
                    </w:rPr>
                    <w:t>/</w:t>
                  </w:r>
                </w:p>
              </w:tc>
              <w:tc>
                <w:tcPr>
                  <w:tcW w:w="678" w:type="pct"/>
                  <w:tcBorders>
                    <w:tl2br w:val="nil"/>
                    <w:tr2bl w:val="nil"/>
                  </w:tcBorders>
                  <w:noWrap w:val="0"/>
                  <w:vAlign w:val="center"/>
                </w:tcPr>
                <w:p w14:paraId="52B91D84">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1F497D" w:themeColor="text2"/>
                      <w:kern w:val="2"/>
                      <w:sz w:val="21"/>
                      <w:szCs w:val="21"/>
                      <w:highlight w:val="none"/>
                      <w:lang w:val="en-US" w:eastAsia="zh-CN" w:bidi="ar-SA"/>
                      <w14:textFill>
                        <w14:solidFill>
                          <w14:schemeClr w14:val="tx2"/>
                        </w14:solidFill>
                      </w14:textFill>
                    </w:rPr>
                  </w:pPr>
                  <w:r>
                    <w:rPr>
                      <w:rFonts w:hint="eastAsia" w:ascii="Times New Roman" w:cs="Times New Roman"/>
                      <w:b w:val="0"/>
                      <w:snapToGrid/>
                      <w:color w:val="1F497D" w:themeColor="text2"/>
                      <w:spacing w:val="4"/>
                      <w:kern w:val="18"/>
                      <w:sz w:val="21"/>
                      <w:szCs w:val="21"/>
                      <w:lang w:val="en-US" w:eastAsia="zh-CN" w:bidi="ar-SA"/>
                      <w14:textFill>
                        <w14:solidFill>
                          <w14:schemeClr w14:val="tx2"/>
                        </w14:solidFill>
                      </w14:textFill>
                    </w:rPr>
                    <w:t>/</w:t>
                  </w:r>
                </w:p>
              </w:tc>
              <w:tc>
                <w:tcPr>
                  <w:tcW w:w="678" w:type="pct"/>
                  <w:tcBorders>
                    <w:tl2br w:val="nil"/>
                    <w:tr2bl w:val="nil"/>
                  </w:tcBorders>
                  <w:noWrap w:val="0"/>
                  <w:vAlign w:val="center"/>
                </w:tcPr>
                <w:p w14:paraId="26BEB61E">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1F497D" w:themeColor="text2"/>
                      <w:kern w:val="2"/>
                      <w:sz w:val="21"/>
                      <w:szCs w:val="21"/>
                      <w:highlight w:val="none"/>
                      <w:lang w:val="en-US" w:eastAsia="zh-CN" w:bidi="ar-SA"/>
                      <w14:textFill>
                        <w14:solidFill>
                          <w14:schemeClr w14:val="tx2"/>
                        </w14:solidFill>
                      </w14:textFill>
                    </w:rPr>
                  </w:pPr>
                  <w:r>
                    <w:rPr>
                      <w:rFonts w:hint="eastAsia" w:ascii="Times New Roman" w:hAnsi="Times New Roman" w:eastAsia="宋体" w:cs="Times New Roman"/>
                      <w:b w:val="0"/>
                      <w:bCs w:val="0"/>
                      <w:color w:val="1F497D" w:themeColor="text2"/>
                      <w:kern w:val="2"/>
                      <w:sz w:val="21"/>
                      <w:szCs w:val="21"/>
                      <w:highlight w:val="none"/>
                      <w:lang w:val="en-US" w:eastAsia="zh-CN" w:bidi="ar-SA"/>
                      <w14:textFill>
                        <w14:solidFill>
                          <w14:schemeClr w14:val="tx2"/>
                        </w14:solidFill>
                      </w14:textFill>
                    </w:rPr>
                    <w:t>10</w:t>
                  </w:r>
                </w:p>
              </w:tc>
              <w:tc>
                <w:tcPr>
                  <w:tcW w:w="678" w:type="pct"/>
                  <w:tcBorders>
                    <w:tl2br w:val="nil"/>
                    <w:tr2bl w:val="nil"/>
                  </w:tcBorders>
                  <w:noWrap w:val="0"/>
                  <w:vAlign w:val="center"/>
                </w:tcPr>
                <w:p w14:paraId="482F1D41">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1F497D" w:themeColor="text2"/>
                      <w:kern w:val="2"/>
                      <w:sz w:val="21"/>
                      <w:szCs w:val="21"/>
                      <w:highlight w:val="none"/>
                      <w:lang w:val="en-US" w:eastAsia="zh-CN" w:bidi="ar-SA"/>
                      <w14:textFill>
                        <w14:solidFill>
                          <w14:schemeClr w14:val="tx2"/>
                        </w14:solidFill>
                      </w14:textFill>
                    </w:rPr>
                  </w:pPr>
                  <w:r>
                    <w:rPr>
                      <w:rFonts w:hint="eastAsia" w:ascii="Times New Roman" w:hAnsi="Times New Roman" w:eastAsia="宋体" w:cs="Times New Roman"/>
                      <w:b w:val="0"/>
                      <w:bCs w:val="0"/>
                      <w:color w:val="1F497D" w:themeColor="text2"/>
                      <w:kern w:val="2"/>
                      <w:sz w:val="21"/>
                      <w:szCs w:val="21"/>
                      <w:highlight w:val="none"/>
                      <w:lang w:val="en-US" w:eastAsia="zh-CN" w:bidi="ar-SA"/>
                      <w14:textFill>
                        <w14:solidFill>
                          <w14:schemeClr w14:val="tx2"/>
                        </w14:solidFill>
                      </w14:textFill>
                    </w:rPr>
                    <w:t>/</w:t>
                  </w:r>
                </w:p>
              </w:tc>
              <w:tc>
                <w:tcPr>
                  <w:tcW w:w="678" w:type="pct"/>
                  <w:tcBorders>
                    <w:tl2br w:val="nil"/>
                    <w:tr2bl w:val="nil"/>
                  </w:tcBorders>
                  <w:noWrap w:val="0"/>
                  <w:vAlign w:val="center"/>
                </w:tcPr>
                <w:p w14:paraId="08AEE0C9">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1F497D" w:themeColor="text2"/>
                      <w:kern w:val="2"/>
                      <w:sz w:val="21"/>
                      <w:szCs w:val="21"/>
                      <w:highlight w:val="none"/>
                      <w:lang w:val="en-US" w:eastAsia="zh-CN" w:bidi="ar-SA"/>
                      <w14:textFill>
                        <w14:solidFill>
                          <w14:schemeClr w14:val="tx2"/>
                        </w14:solidFill>
                      </w14:textFill>
                    </w:rPr>
                  </w:pPr>
                  <w:r>
                    <w:rPr>
                      <w:rFonts w:hint="eastAsia" w:ascii="Times New Roman" w:cs="Times New Roman"/>
                      <w:b w:val="0"/>
                      <w:snapToGrid/>
                      <w:color w:val="1F497D" w:themeColor="text2"/>
                      <w:spacing w:val="4"/>
                      <w:kern w:val="18"/>
                      <w:sz w:val="21"/>
                      <w:szCs w:val="21"/>
                      <w:lang w:val="en-US" w:eastAsia="zh-CN" w:bidi="ar-SA"/>
                      <w14:textFill>
                        <w14:solidFill>
                          <w14:schemeClr w14:val="tx2"/>
                        </w14:solidFill>
                      </w14:textFill>
                    </w:rPr>
                    <w:t>/</w:t>
                  </w:r>
                </w:p>
              </w:tc>
              <w:tc>
                <w:tcPr>
                  <w:tcW w:w="680" w:type="pct"/>
                  <w:tcBorders>
                    <w:tl2br w:val="nil"/>
                    <w:tr2bl w:val="nil"/>
                  </w:tcBorders>
                  <w:noWrap w:val="0"/>
                  <w:vAlign w:val="center"/>
                </w:tcPr>
                <w:p w14:paraId="67445EE8">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1F497D" w:themeColor="text2"/>
                      <w:kern w:val="2"/>
                      <w:sz w:val="21"/>
                      <w:szCs w:val="21"/>
                      <w:highlight w:val="none"/>
                      <w:lang w:val="en-US" w:eastAsia="zh-CN" w:bidi="ar-SA"/>
                      <w14:textFill>
                        <w14:solidFill>
                          <w14:schemeClr w14:val="tx2"/>
                        </w14:solidFill>
                      </w14:textFill>
                    </w:rPr>
                  </w:pPr>
                  <w:r>
                    <w:rPr>
                      <w:rFonts w:hint="eastAsia" w:ascii="Times New Roman" w:hAnsi="Times New Roman" w:eastAsia="宋体" w:cs="Times New Roman"/>
                      <w:color w:val="1F497D" w:themeColor="text2"/>
                      <w:sz w:val="21"/>
                      <w:szCs w:val="21"/>
                      <w:lang w:val="en-US" w:eastAsia="zh-CN"/>
                      <w14:textFill>
                        <w14:solidFill>
                          <w14:schemeClr w14:val="tx2"/>
                        </w14:solidFill>
                      </w14:textFill>
                    </w:rPr>
                    <w:t>0.5</w:t>
                  </w:r>
                </w:p>
              </w:tc>
            </w:tr>
            <w:tr w14:paraId="5791DA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31" w:type="pct"/>
                  <w:gridSpan w:val="2"/>
                  <w:tcBorders>
                    <w:tl2br w:val="nil"/>
                    <w:tr2bl w:val="nil"/>
                  </w:tcBorders>
                  <w:noWrap w:val="0"/>
                  <w:vAlign w:val="center"/>
                </w:tcPr>
                <w:p w14:paraId="5DE29F6F">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1F497D" w:themeColor="text2"/>
                      <w:sz w:val="21"/>
                      <w:szCs w:val="21"/>
                      <w:highlight w:val="none"/>
                      <w:lang w:val="en-US" w:eastAsia="zh-CN"/>
                      <w14:textFill>
                        <w14:solidFill>
                          <w14:schemeClr w14:val="tx2"/>
                        </w14:solidFill>
                      </w14:textFill>
                    </w:rPr>
                  </w:pPr>
                  <w:r>
                    <w:rPr>
                      <w:rFonts w:hint="eastAsia" w:ascii="Times New Roman" w:hAnsi="Times New Roman" w:eastAsia="宋体" w:cs="Times New Roman"/>
                      <w:b w:val="0"/>
                      <w:bCs w:val="0"/>
                      <w:color w:val="1F497D" w:themeColor="text2"/>
                      <w:sz w:val="21"/>
                      <w:szCs w:val="21"/>
                      <w:highlight w:val="none"/>
                      <w:lang w:val="en-US" w:eastAsia="zh-CN"/>
                      <w14:textFill>
                        <w14:solidFill>
                          <w14:schemeClr w14:val="tx2"/>
                        </w14:solidFill>
                      </w14:textFill>
                    </w:rPr>
                    <w:t>排放去向</w:t>
                  </w:r>
                </w:p>
              </w:tc>
              <w:tc>
                <w:tcPr>
                  <w:tcW w:w="3968" w:type="pct"/>
                  <w:gridSpan w:val="6"/>
                  <w:tcBorders>
                    <w:tl2br w:val="nil"/>
                    <w:tr2bl w:val="nil"/>
                  </w:tcBorders>
                  <w:noWrap w:val="0"/>
                  <w:vAlign w:val="center"/>
                </w:tcPr>
                <w:p w14:paraId="10B68BAB">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1F497D" w:themeColor="text2"/>
                      <w:sz w:val="21"/>
                      <w:szCs w:val="21"/>
                      <w:highlight w:val="none"/>
                      <w:lang w:val="en-US" w:eastAsia="zh-CN"/>
                      <w14:textFill>
                        <w14:solidFill>
                          <w14:schemeClr w14:val="tx2"/>
                        </w14:solidFill>
                      </w14:textFill>
                    </w:rPr>
                  </w:pPr>
                  <w:r>
                    <w:rPr>
                      <w:rFonts w:hint="default" w:ascii="Times New Roman" w:hAnsi="Times New Roman" w:eastAsia="宋体" w:cs="Times New Roman"/>
                      <w:b w:val="0"/>
                      <w:bCs w:val="0"/>
                      <w:color w:val="1F497D" w:themeColor="text2"/>
                      <w:sz w:val="21"/>
                      <w:szCs w:val="21"/>
                      <w:highlight w:val="none"/>
                      <w:lang w:val="en-US" w:eastAsia="zh-CN"/>
                      <w14:textFill>
                        <w14:solidFill>
                          <w14:schemeClr w14:val="tx2"/>
                        </w14:solidFill>
                      </w14:textFill>
                    </w:rPr>
                    <w:t>回用于洗车，不外排</w:t>
                  </w:r>
                </w:p>
              </w:tc>
            </w:tr>
          </w:tbl>
          <w:p w14:paraId="12C5825B">
            <w:pPr>
              <w:pStyle w:val="16"/>
              <w:tabs>
                <w:tab w:val="left" w:pos="3360"/>
              </w:tabs>
              <w:autoSpaceDE/>
              <w:autoSpaceDN/>
              <w:adjustRightInd w:val="0"/>
              <w:spacing w:line="240" w:lineRule="auto"/>
              <w:ind w:firstLine="0" w:firstLineChars="0"/>
              <w:jc w:val="center"/>
              <w:rPr>
                <w:rFonts w:hAnsi="Times New Roman"/>
                <w:b/>
                <w:szCs w:val="21"/>
              </w:rPr>
            </w:pPr>
          </w:p>
          <w:p w14:paraId="6A714923">
            <w:pPr>
              <w:pStyle w:val="16"/>
              <w:tabs>
                <w:tab w:val="left" w:pos="3360"/>
              </w:tabs>
              <w:autoSpaceDE/>
              <w:autoSpaceDN/>
              <w:adjustRightInd w:val="0"/>
              <w:spacing w:line="240" w:lineRule="auto"/>
              <w:ind w:firstLine="0" w:firstLineChars="0"/>
              <w:jc w:val="center"/>
              <w:rPr>
                <w:rFonts w:hAnsi="Times New Roman"/>
                <w:b/>
                <w:szCs w:val="21"/>
              </w:rPr>
            </w:pPr>
            <w:r>
              <w:rPr>
                <w:rFonts w:hAnsi="Times New Roman"/>
                <w:b/>
                <w:szCs w:val="21"/>
              </w:rPr>
              <w:t>表</w:t>
            </w:r>
            <w:r>
              <w:rPr>
                <w:rFonts w:hint="default" w:ascii="Times New Roman" w:hAnsi="Times New Roman" w:cs="Times New Roman"/>
                <w:b/>
                <w:szCs w:val="21"/>
              </w:rPr>
              <w:t>4.2-</w:t>
            </w:r>
            <w:r>
              <w:rPr>
                <w:rFonts w:hint="eastAsia" w:ascii="Times New Roman" w:hAnsi="Times New Roman" w:cs="Times New Roman"/>
                <w:b/>
                <w:szCs w:val="21"/>
                <w:lang w:val="en-US" w:eastAsia="zh-CN"/>
              </w:rPr>
              <w:t>3</w:t>
            </w:r>
            <w:r>
              <w:rPr>
                <w:rFonts w:hint="eastAsia" w:hAnsi="Times New Roman"/>
                <w:b/>
                <w:szCs w:val="21"/>
              </w:rPr>
              <w:t xml:space="preserve"> </w:t>
            </w:r>
            <w:r>
              <w:rPr>
                <w:rFonts w:hAnsi="Times New Roman"/>
                <w:b/>
                <w:szCs w:val="21"/>
              </w:rPr>
              <w:t xml:space="preserve">  </w:t>
            </w:r>
            <w:r>
              <w:rPr>
                <w:rFonts w:hint="eastAsia" w:hAnsi="Times New Roman"/>
                <w:b/>
                <w:szCs w:val="21"/>
                <w:lang w:val="en-US" w:eastAsia="zh-CN"/>
              </w:rPr>
              <w:t>项目</w:t>
            </w:r>
            <w:r>
              <w:rPr>
                <w:rFonts w:hAnsi="Times New Roman"/>
                <w:b/>
                <w:szCs w:val="21"/>
              </w:rPr>
              <w:t>废水间接排放口基本情况表</w:t>
            </w:r>
          </w:p>
          <w:tbl>
            <w:tblPr>
              <w:tblStyle w:val="35"/>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28"/>
              <w:gridCol w:w="1290"/>
              <w:gridCol w:w="1677"/>
              <w:gridCol w:w="1677"/>
              <w:gridCol w:w="1323"/>
              <w:gridCol w:w="1234"/>
              <w:gridCol w:w="1234"/>
              <w:gridCol w:w="1255"/>
              <w:gridCol w:w="968"/>
              <w:gridCol w:w="1282"/>
              <w:gridCol w:w="1322"/>
            </w:tblGrid>
            <w:tr w14:paraId="621B13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8" w:type="dxa"/>
                  <w:vMerge w:val="restart"/>
                  <w:noWrap w:val="0"/>
                  <w:vAlign w:val="center"/>
                </w:tcPr>
                <w:p w14:paraId="03D8C661">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b/>
                      <w:bCs/>
                      <w:sz w:val="21"/>
                      <w:szCs w:val="21"/>
                    </w:rPr>
                  </w:pPr>
                  <w:r>
                    <w:rPr>
                      <w:b/>
                      <w:bCs/>
                      <w:sz w:val="21"/>
                      <w:szCs w:val="21"/>
                    </w:rPr>
                    <w:t>排放口编号</w:t>
                  </w:r>
                </w:p>
              </w:tc>
              <w:tc>
                <w:tcPr>
                  <w:tcW w:w="1290" w:type="dxa"/>
                  <w:vMerge w:val="restart"/>
                  <w:noWrap w:val="0"/>
                  <w:vAlign w:val="center"/>
                </w:tcPr>
                <w:p w14:paraId="2F5E6152">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b/>
                      <w:bCs/>
                      <w:sz w:val="21"/>
                      <w:szCs w:val="21"/>
                    </w:rPr>
                  </w:pPr>
                  <w:r>
                    <w:rPr>
                      <w:rFonts w:hint="eastAsia"/>
                      <w:b/>
                      <w:bCs/>
                      <w:sz w:val="21"/>
                      <w:szCs w:val="21"/>
                    </w:rPr>
                    <w:t>类型</w:t>
                  </w:r>
                </w:p>
              </w:tc>
              <w:tc>
                <w:tcPr>
                  <w:tcW w:w="3354" w:type="dxa"/>
                  <w:gridSpan w:val="2"/>
                  <w:noWrap w:val="0"/>
                  <w:vAlign w:val="center"/>
                </w:tcPr>
                <w:p w14:paraId="15345876">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b/>
                      <w:bCs/>
                      <w:sz w:val="21"/>
                      <w:szCs w:val="21"/>
                    </w:rPr>
                  </w:pPr>
                  <w:r>
                    <w:rPr>
                      <w:b/>
                      <w:bCs/>
                      <w:sz w:val="21"/>
                      <w:szCs w:val="21"/>
                    </w:rPr>
                    <w:t>排放口地理位置</w:t>
                  </w:r>
                </w:p>
              </w:tc>
              <w:tc>
                <w:tcPr>
                  <w:tcW w:w="1323" w:type="dxa"/>
                  <w:vMerge w:val="restart"/>
                  <w:noWrap w:val="0"/>
                  <w:vAlign w:val="center"/>
                </w:tcPr>
                <w:p w14:paraId="1AB5F79A">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b/>
                      <w:bCs/>
                      <w:sz w:val="21"/>
                      <w:szCs w:val="21"/>
                    </w:rPr>
                  </w:pPr>
                  <w:r>
                    <w:rPr>
                      <w:b/>
                      <w:bCs/>
                      <w:sz w:val="21"/>
                      <w:szCs w:val="21"/>
                    </w:rPr>
                    <w:t>废水排放量（t/a）</w:t>
                  </w:r>
                </w:p>
              </w:tc>
              <w:tc>
                <w:tcPr>
                  <w:tcW w:w="1234" w:type="dxa"/>
                  <w:vMerge w:val="restart"/>
                  <w:noWrap w:val="0"/>
                  <w:vAlign w:val="center"/>
                </w:tcPr>
                <w:p w14:paraId="41C82168">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b/>
                      <w:bCs/>
                      <w:sz w:val="21"/>
                      <w:szCs w:val="21"/>
                    </w:rPr>
                  </w:pPr>
                  <w:r>
                    <w:rPr>
                      <w:b/>
                      <w:bCs/>
                      <w:sz w:val="21"/>
                      <w:szCs w:val="21"/>
                    </w:rPr>
                    <w:t>排放去向</w:t>
                  </w:r>
                </w:p>
              </w:tc>
              <w:tc>
                <w:tcPr>
                  <w:tcW w:w="1234" w:type="dxa"/>
                  <w:vMerge w:val="restart"/>
                  <w:noWrap w:val="0"/>
                  <w:vAlign w:val="center"/>
                </w:tcPr>
                <w:p w14:paraId="23BA7F2F">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b/>
                      <w:bCs/>
                      <w:sz w:val="21"/>
                      <w:szCs w:val="21"/>
                    </w:rPr>
                  </w:pPr>
                  <w:r>
                    <w:rPr>
                      <w:b/>
                      <w:bCs/>
                      <w:sz w:val="21"/>
                      <w:szCs w:val="21"/>
                    </w:rPr>
                    <w:t>排放规律</w:t>
                  </w:r>
                </w:p>
              </w:tc>
              <w:tc>
                <w:tcPr>
                  <w:tcW w:w="1255" w:type="dxa"/>
                  <w:vMerge w:val="restart"/>
                  <w:noWrap w:val="0"/>
                  <w:vAlign w:val="center"/>
                </w:tcPr>
                <w:p w14:paraId="69893BA9">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b/>
                      <w:bCs/>
                      <w:sz w:val="21"/>
                      <w:szCs w:val="21"/>
                    </w:rPr>
                  </w:pPr>
                  <w:r>
                    <w:rPr>
                      <w:b/>
                      <w:bCs/>
                      <w:sz w:val="21"/>
                      <w:szCs w:val="21"/>
                    </w:rPr>
                    <w:t>间</w:t>
                  </w:r>
                  <w:r>
                    <w:rPr>
                      <w:rFonts w:hint="eastAsia"/>
                      <w:b/>
                      <w:bCs/>
                      <w:sz w:val="21"/>
                      <w:szCs w:val="21"/>
                    </w:rPr>
                    <w:t>歇</w:t>
                  </w:r>
                  <w:r>
                    <w:rPr>
                      <w:b/>
                      <w:bCs/>
                      <w:sz w:val="21"/>
                      <w:szCs w:val="21"/>
                    </w:rPr>
                    <w:t>排放时段</w:t>
                  </w:r>
                </w:p>
              </w:tc>
              <w:tc>
                <w:tcPr>
                  <w:tcW w:w="3572" w:type="dxa"/>
                  <w:gridSpan w:val="3"/>
                  <w:noWrap w:val="0"/>
                  <w:vAlign w:val="center"/>
                </w:tcPr>
                <w:p w14:paraId="451B249E">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b/>
                      <w:bCs/>
                      <w:sz w:val="21"/>
                      <w:szCs w:val="21"/>
                    </w:rPr>
                  </w:pPr>
                  <w:r>
                    <w:rPr>
                      <w:b/>
                      <w:bCs/>
                      <w:sz w:val="21"/>
                      <w:szCs w:val="21"/>
                    </w:rPr>
                    <w:t>受纳污水处理厂信息</w:t>
                  </w:r>
                </w:p>
              </w:tc>
            </w:tr>
            <w:tr w14:paraId="4DD8D4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928" w:type="dxa"/>
                  <w:vMerge w:val="continue"/>
                  <w:noWrap w:val="0"/>
                  <w:vAlign w:val="center"/>
                </w:tcPr>
                <w:p w14:paraId="080294D9">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b/>
                      <w:bCs/>
                      <w:sz w:val="21"/>
                      <w:szCs w:val="21"/>
                    </w:rPr>
                  </w:pPr>
                </w:p>
              </w:tc>
              <w:tc>
                <w:tcPr>
                  <w:tcW w:w="1290" w:type="dxa"/>
                  <w:vMerge w:val="continue"/>
                  <w:noWrap w:val="0"/>
                  <w:vAlign w:val="center"/>
                </w:tcPr>
                <w:p w14:paraId="79EA557D">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b/>
                      <w:bCs/>
                      <w:sz w:val="21"/>
                      <w:szCs w:val="21"/>
                    </w:rPr>
                  </w:pPr>
                </w:p>
              </w:tc>
              <w:tc>
                <w:tcPr>
                  <w:tcW w:w="1677" w:type="dxa"/>
                  <w:noWrap w:val="0"/>
                  <w:vAlign w:val="center"/>
                </w:tcPr>
                <w:p w14:paraId="2717A63A">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b/>
                      <w:bCs/>
                      <w:sz w:val="21"/>
                      <w:szCs w:val="21"/>
                    </w:rPr>
                  </w:pPr>
                  <w:r>
                    <w:rPr>
                      <w:b/>
                      <w:bCs/>
                      <w:sz w:val="21"/>
                      <w:szCs w:val="21"/>
                    </w:rPr>
                    <w:t>经度</w:t>
                  </w:r>
                </w:p>
              </w:tc>
              <w:tc>
                <w:tcPr>
                  <w:tcW w:w="1677" w:type="dxa"/>
                  <w:noWrap w:val="0"/>
                  <w:vAlign w:val="center"/>
                </w:tcPr>
                <w:p w14:paraId="3E0DCD33">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b/>
                      <w:bCs/>
                      <w:sz w:val="21"/>
                      <w:szCs w:val="21"/>
                    </w:rPr>
                  </w:pPr>
                  <w:r>
                    <w:rPr>
                      <w:b/>
                      <w:bCs/>
                      <w:sz w:val="21"/>
                      <w:szCs w:val="21"/>
                    </w:rPr>
                    <w:t>纬度</w:t>
                  </w:r>
                </w:p>
              </w:tc>
              <w:tc>
                <w:tcPr>
                  <w:tcW w:w="1323" w:type="dxa"/>
                  <w:vMerge w:val="continue"/>
                  <w:noWrap w:val="0"/>
                  <w:vAlign w:val="center"/>
                </w:tcPr>
                <w:p w14:paraId="15775593">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b/>
                      <w:bCs/>
                      <w:sz w:val="21"/>
                      <w:szCs w:val="21"/>
                    </w:rPr>
                  </w:pPr>
                </w:p>
              </w:tc>
              <w:tc>
                <w:tcPr>
                  <w:tcW w:w="1234" w:type="dxa"/>
                  <w:vMerge w:val="continue"/>
                  <w:noWrap w:val="0"/>
                  <w:vAlign w:val="center"/>
                </w:tcPr>
                <w:p w14:paraId="155AD85F">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b/>
                      <w:bCs/>
                      <w:sz w:val="21"/>
                      <w:szCs w:val="21"/>
                    </w:rPr>
                  </w:pPr>
                </w:p>
              </w:tc>
              <w:tc>
                <w:tcPr>
                  <w:tcW w:w="1234" w:type="dxa"/>
                  <w:vMerge w:val="continue"/>
                  <w:noWrap w:val="0"/>
                  <w:vAlign w:val="center"/>
                </w:tcPr>
                <w:p w14:paraId="73C8C718">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b/>
                      <w:bCs/>
                      <w:sz w:val="21"/>
                      <w:szCs w:val="21"/>
                    </w:rPr>
                  </w:pPr>
                </w:p>
              </w:tc>
              <w:tc>
                <w:tcPr>
                  <w:tcW w:w="1255" w:type="dxa"/>
                  <w:vMerge w:val="continue"/>
                  <w:noWrap w:val="0"/>
                  <w:vAlign w:val="center"/>
                </w:tcPr>
                <w:p w14:paraId="658AB12A">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b/>
                      <w:bCs/>
                      <w:sz w:val="21"/>
                      <w:szCs w:val="21"/>
                    </w:rPr>
                  </w:pPr>
                </w:p>
              </w:tc>
              <w:tc>
                <w:tcPr>
                  <w:tcW w:w="968" w:type="dxa"/>
                  <w:noWrap w:val="0"/>
                  <w:vAlign w:val="center"/>
                </w:tcPr>
                <w:p w14:paraId="33042E67">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b/>
                      <w:bCs/>
                      <w:sz w:val="21"/>
                      <w:szCs w:val="21"/>
                    </w:rPr>
                  </w:pPr>
                  <w:r>
                    <w:rPr>
                      <w:b/>
                      <w:bCs/>
                      <w:sz w:val="21"/>
                      <w:szCs w:val="21"/>
                    </w:rPr>
                    <w:t>名称</w:t>
                  </w:r>
                </w:p>
              </w:tc>
              <w:tc>
                <w:tcPr>
                  <w:tcW w:w="1282" w:type="dxa"/>
                  <w:noWrap w:val="0"/>
                  <w:vAlign w:val="center"/>
                </w:tcPr>
                <w:p w14:paraId="178A77BD">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b/>
                      <w:bCs/>
                      <w:sz w:val="21"/>
                      <w:szCs w:val="21"/>
                    </w:rPr>
                  </w:pPr>
                  <w:r>
                    <w:rPr>
                      <w:b/>
                      <w:bCs/>
                      <w:sz w:val="21"/>
                      <w:szCs w:val="21"/>
                    </w:rPr>
                    <w:t>污染物种类</w:t>
                  </w:r>
                </w:p>
              </w:tc>
              <w:tc>
                <w:tcPr>
                  <w:tcW w:w="1322" w:type="dxa"/>
                  <w:noWrap w:val="0"/>
                  <w:vAlign w:val="center"/>
                </w:tcPr>
                <w:p w14:paraId="6BB06664">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b/>
                      <w:bCs/>
                      <w:sz w:val="21"/>
                      <w:szCs w:val="21"/>
                    </w:rPr>
                  </w:pPr>
                  <w:r>
                    <w:rPr>
                      <w:b/>
                      <w:bCs/>
                      <w:sz w:val="21"/>
                      <w:szCs w:val="21"/>
                    </w:rPr>
                    <w:t>国家或地方污染物排放标准浓度限制/（mg/L）</w:t>
                  </w:r>
                </w:p>
              </w:tc>
            </w:tr>
            <w:tr w14:paraId="37C146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8" w:type="dxa"/>
                  <w:vMerge w:val="restart"/>
                  <w:noWrap w:val="0"/>
                  <w:vAlign w:val="center"/>
                </w:tcPr>
                <w:p w14:paraId="6587347E">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sz w:val="21"/>
                      <w:szCs w:val="21"/>
                    </w:rPr>
                  </w:pPr>
                  <w:r>
                    <w:rPr>
                      <w:sz w:val="21"/>
                      <w:szCs w:val="21"/>
                    </w:rPr>
                    <w:t>DW001</w:t>
                  </w:r>
                </w:p>
              </w:tc>
              <w:tc>
                <w:tcPr>
                  <w:tcW w:w="1290" w:type="dxa"/>
                  <w:vMerge w:val="restart"/>
                  <w:noWrap w:val="0"/>
                  <w:vAlign w:val="center"/>
                </w:tcPr>
                <w:p w14:paraId="675CA9C7">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center"/>
                    <w:rPr>
                      <w:color w:val="FF0000"/>
                      <w:sz w:val="21"/>
                      <w:szCs w:val="21"/>
                    </w:rPr>
                  </w:pPr>
                  <w:r>
                    <w:rPr>
                      <w:sz w:val="21"/>
                      <w:szCs w:val="21"/>
                    </w:rPr>
                    <w:t>一般排放口</w:t>
                  </w:r>
                </w:p>
              </w:tc>
              <w:tc>
                <w:tcPr>
                  <w:tcW w:w="1677" w:type="dxa"/>
                  <w:vMerge w:val="restart"/>
                  <w:noWrap w:val="0"/>
                  <w:vAlign w:val="center"/>
                </w:tcPr>
                <w:p w14:paraId="12D78AE0">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center"/>
                    <w:rPr>
                      <w:color w:val="auto"/>
                      <w:sz w:val="21"/>
                      <w:szCs w:val="21"/>
                    </w:rPr>
                  </w:pPr>
                  <w:r>
                    <w:rPr>
                      <w:rFonts w:hint="default" w:ascii="Times New Roman" w:hAnsi="Times New Roman" w:cs="Times New Roman"/>
                      <w:color w:val="auto"/>
                      <w:sz w:val="21"/>
                      <w:szCs w:val="21"/>
                    </w:rPr>
                    <w:t>E115°49′21.559″</w:t>
                  </w:r>
                </w:p>
              </w:tc>
              <w:tc>
                <w:tcPr>
                  <w:tcW w:w="1677" w:type="dxa"/>
                  <w:vMerge w:val="restart"/>
                  <w:noWrap w:val="0"/>
                  <w:vAlign w:val="center"/>
                </w:tcPr>
                <w:p w14:paraId="23811755">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color w:val="auto"/>
                      <w:sz w:val="21"/>
                      <w:szCs w:val="21"/>
                    </w:rPr>
                  </w:pPr>
                  <w:r>
                    <w:rPr>
                      <w:rFonts w:hint="default" w:ascii="Times New Roman" w:hAnsi="Times New Roman" w:cs="Times New Roman"/>
                      <w:color w:val="auto"/>
                      <w:sz w:val="21"/>
                      <w:szCs w:val="21"/>
                    </w:rPr>
                    <w:t>N29°39′12.690″</w:t>
                  </w:r>
                </w:p>
              </w:tc>
              <w:tc>
                <w:tcPr>
                  <w:tcW w:w="1323" w:type="dxa"/>
                  <w:vMerge w:val="restart"/>
                  <w:noWrap w:val="0"/>
                  <w:vAlign w:val="center"/>
                </w:tcPr>
                <w:p w14:paraId="6091E7AB">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sz w:val="21"/>
                      <w:szCs w:val="21"/>
                    </w:rPr>
                  </w:pPr>
                  <w:r>
                    <w:rPr>
                      <w:rFonts w:hint="default"/>
                      <w:sz w:val="21"/>
                      <w:szCs w:val="21"/>
                      <w:vertAlign w:val="baseline"/>
                      <w:lang w:val="en-US" w:eastAsia="zh-CN"/>
                    </w:rPr>
                    <w:t>400.04</w:t>
                  </w:r>
                </w:p>
              </w:tc>
              <w:tc>
                <w:tcPr>
                  <w:tcW w:w="1234" w:type="dxa"/>
                  <w:vMerge w:val="restart"/>
                  <w:noWrap w:val="0"/>
                  <w:vAlign w:val="center"/>
                </w:tcPr>
                <w:p w14:paraId="4E905CE4">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rFonts w:hint="default"/>
                      <w:sz w:val="21"/>
                      <w:szCs w:val="21"/>
                      <w:lang w:val="en-US"/>
                    </w:rPr>
                  </w:pPr>
                  <w:r>
                    <w:rPr>
                      <w:rFonts w:hint="eastAsia"/>
                      <w:color w:val="auto"/>
                      <w:sz w:val="21"/>
                      <w:szCs w:val="21"/>
                      <w:lang w:val="en-US" w:eastAsia="zh-CN"/>
                    </w:rPr>
                    <w:t>红心村生活污水处理站</w:t>
                  </w:r>
                </w:p>
              </w:tc>
              <w:tc>
                <w:tcPr>
                  <w:tcW w:w="1234" w:type="dxa"/>
                  <w:vMerge w:val="restart"/>
                  <w:noWrap w:val="0"/>
                  <w:vAlign w:val="center"/>
                </w:tcPr>
                <w:p w14:paraId="08132505">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sz w:val="21"/>
                      <w:szCs w:val="21"/>
                    </w:rPr>
                  </w:pPr>
                  <w:r>
                    <w:rPr>
                      <w:sz w:val="21"/>
                      <w:szCs w:val="21"/>
                    </w:rPr>
                    <w:t>间断排放，排放期间流量不稳定</w:t>
                  </w:r>
                </w:p>
              </w:tc>
              <w:tc>
                <w:tcPr>
                  <w:tcW w:w="1255" w:type="dxa"/>
                  <w:vMerge w:val="restart"/>
                  <w:noWrap w:val="0"/>
                  <w:vAlign w:val="center"/>
                </w:tcPr>
                <w:p w14:paraId="6F2A314A">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sz w:val="21"/>
                      <w:szCs w:val="21"/>
                    </w:rPr>
                  </w:pPr>
                  <w:r>
                    <w:rPr>
                      <w:rFonts w:hint="eastAsia"/>
                      <w:sz w:val="21"/>
                      <w:szCs w:val="21"/>
                      <w:lang w:val="en-US" w:eastAsia="zh-CN"/>
                    </w:rPr>
                    <w:t>00</w:t>
                  </w:r>
                  <w:r>
                    <w:rPr>
                      <w:rFonts w:hint="eastAsia"/>
                      <w:sz w:val="21"/>
                      <w:szCs w:val="21"/>
                    </w:rPr>
                    <w:t>:00-</w:t>
                  </w:r>
                  <w:r>
                    <w:rPr>
                      <w:rFonts w:hint="eastAsia"/>
                      <w:sz w:val="21"/>
                      <w:szCs w:val="21"/>
                      <w:lang w:val="en-US" w:eastAsia="zh-CN"/>
                    </w:rPr>
                    <w:t>24</w:t>
                  </w:r>
                  <w:r>
                    <w:rPr>
                      <w:rFonts w:hint="eastAsia"/>
                      <w:sz w:val="21"/>
                      <w:szCs w:val="21"/>
                    </w:rPr>
                    <w:t>:00</w:t>
                  </w:r>
                </w:p>
              </w:tc>
              <w:tc>
                <w:tcPr>
                  <w:tcW w:w="968" w:type="dxa"/>
                  <w:vMerge w:val="restart"/>
                  <w:noWrap w:val="0"/>
                  <w:vAlign w:val="center"/>
                </w:tcPr>
                <w:p w14:paraId="4417473B">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sz w:val="21"/>
                      <w:szCs w:val="21"/>
                    </w:rPr>
                  </w:pPr>
                  <w:r>
                    <w:rPr>
                      <w:rFonts w:hint="eastAsia"/>
                      <w:color w:val="auto"/>
                      <w:sz w:val="21"/>
                      <w:szCs w:val="21"/>
                      <w:lang w:val="en-US" w:eastAsia="zh-CN"/>
                    </w:rPr>
                    <w:t>红心村生活污水处理站</w:t>
                  </w:r>
                </w:p>
              </w:tc>
              <w:tc>
                <w:tcPr>
                  <w:tcW w:w="1282" w:type="dxa"/>
                  <w:noWrap w:val="0"/>
                  <w:vAlign w:val="center"/>
                </w:tcPr>
                <w:p w14:paraId="429E0FF0">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sz w:val="21"/>
                      <w:szCs w:val="21"/>
                    </w:rPr>
                  </w:pPr>
                  <w:r>
                    <w:rPr>
                      <w:sz w:val="21"/>
                      <w:szCs w:val="21"/>
                    </w:rPr>
                    <w:t>pH</w:t>
                  </w:r>
                </w:p>
              </w:tc>
              <w:tc>
                <w:tcPr>
                  <w:tcW w:w="1322" w:type="dxa"/>
                  <w:noWrap w:val="0"/>
                  <w:vAlign w:val="center"/>
                </w:tcPr>
                <w:p w14:paraId="5F1A10AB">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sz w:val="21"/>
                      <w:szCs w:val="21"/>
                    </w:rPr>
                  </w:pPr>
                  <w:r>
                    <w:rPr>
                      <w:sz w:val="21"/>
                      <w:szCs w:val="21"/>
                    </w:rPr>
                    <w:t>6~9</w:t>
                  </w:r>
                </w:p>
              </w:tc>
            </w:tr>
            <w:tr w14:paraId="2F7DCC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8" w:type="dxa"/>
                  <w:vMerge w:val="continue"/>
                  <w:noWrap w:val="0"/>
                  <w:vAlign w:val="center"/>
                </w:tcPr>
                <w:p w14:paraId="622EB295">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sz w:val="21"/>
                      <w:szCs w:val="21"/>
                    </w:rPr>
                  </w:pPr>
                </w:p>
              </w:tc>
              <w:tc>
                <w:tcPr>
                  <w:tcW w:w="1290" w:type="dxa"/>
                  <w:vMerge w:val="continue"/>
                  <w:noWrap w:val="0"/>
                  <w:vAlign w:val="center"/>
                </w:tcPr>
                <w:p w14:paraId="68BE6E26">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sz w:val="21"/>
                      <w:szCs w:val="21"/>
                    </w:rPr>
                  </w:pPr>
                </w:p>
              </w:tc>
              <w:tc>
                <w:tcPr>
                  <w:tcW w:w="1677" w:type="dxa"/>
                  <w:vMerge w:val="continue"/>
                  <w:noWrap w:val="0"/>
                  <w:vAlign w:val="center"/>
                </w:tcPr>
                <w:p w14:paraId="3B3D6024">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sz w:val="21"/>
                      <w:szCs w:val="21"/>
                    </w:rPr>
                  </w:pPr>
                </w:p>
              </w:tc>
              <w:tc>
                <w:tcPr>
                  <w:tcW w:w="1677" w:type="dxa"/>
                  <w:vMerge w:val="continue"/>
                  <w:noWrap w:val="0"/>
                  <w:vAlign w:val="center"/>
                </w:tcPr>
                <w:p w14:paraId="283601AF">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sz w:val="21"/>
                      <w:szCs w:val="21"/>
                    </w:rPr>
                  </w:pPr>
                </w:p>
              </w:tc>
              <w:tc>
                <w:tcPr>
                  <w:tcW w:w="1323" w:type="dxa"/>
                  <w:vMerge w:val="continue"/>
                  <w:noWrap w:val="0"/>
                  <w:vAlign w:val="center"/>
                </w:tcPr>
                <w:p w14:paraId="058913BD">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sz w:val="21"/>
                      <w:szCs w:val="21"/>
                    </w:rPr>
                  </w:pPr>
                </w:p>
              </w:tc>
              <w:tc>
                <w:tcPr>
                  <w:tcW w:w="1234" w:type="dxa"/>
                  <w:vMerge w:val="continue"/>
                  <w:noWrap w:val="0"/>
                  <w:vAlign w:val="center"/>
                </w:tcPr>
                <w:p w14:paraId="73CF3CCB">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sz w:val="21"/>
                      <w:szCs w:val="21"/>
                    </w:rPr>
                  </w:pPr>
                </w:p>
              </w:tc>
              <w:tc>
                <w:tcPr>
                  <w:tcW w:w="1234" w:type="dxa"/>
                  <w:vMerge w:val="continue"/>
                  <w:noWrap w:val="0"/>
                  <w:vAlign w:val="center"/>
                </w:tcPr>
                <w:p w14:paraId="29D4241A">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sz w:val="21"/>
                      <w:szCs w:val="21"/>
                    </w:rPr>
                  </w:pPr>
                </w:p>
              </w:tc>
              <w:tc>
                <w:tcPr>
                  <w:tcW w:w="1255" w:type="dxa"/>
                  <w:vMerge w:val="continue"/>
                  <w:noWrap w:val="0"/>
                  <w:vAlign w:val="center"/>
                </w:tcPr>
                <w:p w14:paraId="4DA8BF45">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sz w:val="21"/>
                      <w:szCs w:val="21"/>
                    </w:rPr>
                  </w:pPr>
                </w:p>
              </w:tc>
              <w:tc>
                <w:tcPr>
                  <w:tcW w:w="968" w:type="dxa"/>
                  <w:vMerge w:val="continue"/>
                  <w:noWrap w:val="0"/>
                  <w:vAlign w:val="center"/>
                </w:tcPr>
                <w:p w14:paraId="0C8CAA05">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sz w:val="21"/>
                      <w:szCs w:val="21"/>
                    </w:rPr>
                  </w:pPr>
                </w:p>
              </w:tc>
              <w:tc>
                <w:tcPr>
                  <w:tcW w:w="1282" w:type="dxa"/>
                  <w:noWrap w:val="0"/>
                  <w:vAlign w:val="center"/>
                </w:tcPr>
                <w:p w14:paraId="22D9A535">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sz w:val="21"/>
                      <w:szCs w:val="21"/>
                    </w:rPr>
                  </w:pPr>
                  <w:r>
                    <w:rPr>
                      <w:rFonts w:hint="eastAsia"/>
                      <w:sz w:val="21"/>
                      <w:szCs w:val="21"/>
                    </w:rPr>
                    <w:t>COD</w:t>
                  </w:r>
                  <w:r>
                    <w:rPr>
                      <w:rFonts w:hint="eastAsia"/>
                      <w:sz w:val="21"/>
                      <w:szCs w:val="21"/>
                      <w:vertAlign w:val="subscript"/>
                      <w:lang w:val="en-US" w:eastAsia="zh-CN"/>
                    </w:rPr>
                    <w:t>Cr</w:t>
                  </w:r>
                </w:p>
              </w:tc>
              <w:tc>
                <w:tcPr>
                  <w:tcW w:w="1322" w:type="dxa"/>
                  <w:noWrap w:val="0"/>
                  <w:vAlign w:val="center"/>
                </w:tcPr>
                <w:p w14:paraId="11562265">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60</w:t>
                  </w:r>
                </w:p>
              </w:tc>
            </w:tr>
            <w:tr w14:paraId="769781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8" w:type="dxa"/>
                  <w:vMerge w:val="continue"/>
                  <w:noWrap w:val="0"/>
                  <w:vAlign w:val="center"/>
                </w:tcPr>
                <w:p w14:paraId="3C2EEE8A">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sz w:val="21"/>
                      <w:szCs w:val="21"/>
                    </w:rPr>
                  </w:pPr>
                </w:p>
              </w:tc>
              <w:tc>
                <w:tcPr>
                  <w:tcW w:w="1290" w:type="dxa"/>
                  <w:vMerge w:val="continue"/>
                  <w:noWrap w:val="0"/>
                  <w:vAlign w:val="center"/>
                </w:tcPr>
                <w:p w14:paraId="08F77A26">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sz w:val="21"/>
                      <w:szCs w:val="21"/>
                    </w:rPr>
                  </w:pPr>
                </w:p>
              </w:tc>
              <w:tc>
                <w:tcPr>
                  <w:tcW w:w="1677" w:type="dxa"/>
                  <w:vMerge w:val="continue"/>
                  <w:noWrap w:val="0"/>
                  <w:vAlign w:val="center"/>
                </w:tcPr>
                <w:p w14:paraId="3F29C6E7">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sz w:val="21"/>
                      <w:szCs w:val="21"/>
                    </w:rPr>
                  </w:pPr>
                </w:p>
              </w:tc>
              <w:tc>
                <w:tcPr>
                  <w:tcW w:w="1677" w:type="dxa"/>
                  <w:vMerge w:val="continue"/>
                  <w:noWrap w:val="0"/>
                  <w:vAlign w:val="center"/>
                </w:tcPr>
                <w:p w14:paraId="19E4AF3E">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sz w:val="21"/>
                      <w:szCs w:val="21"/>
                    </w:rPr>
                  </w:pPr>
                </w:p>
              </w:tc>
              <w:tc>
                <w:tcPr>
                  <w:tcW w:w="1323" w:type="dxa"/>
                  <w:vMerge w:val="continue"/>
                  <w:noWrap w:val="0"/>
                  <w:vAlign w:val="center"/>
                </w:tcPr>
                <w:p w14:paraId="10C5610C">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sz w:val="21"/>
                      <w:szCs w:val="21"/>
                    </w:rPr>
                  </w:pPr>
                </w:p>
              </w:tc>
              <w:tc>
                <w:tcPr>
                  <w:tcW w:w="1234" w:type="dxa"/>
                  <w:vMerge w:val="continue"/>
                  <w:noWrap w:val="0"/>
                  <w:vAlign w:val="center"/>
                </w:tcPr>
                <w:p w14:paraId="0E60F87D">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sz w:val="21"/>
                      <w:szCs w:val="21"/>
                    </w:rPr>
                  </w:pPr>
                </w:p>
              </w:tc>
              <w:tc>
                <w:tcPr>
                  <w:tcW w:w="1234" w:type="dxa"/>
                  <w:vMerge w:val="continue"/>
                  <w:noWrap w:val="0"/>
                  <w:vAlign w:val="center"/>
                </w:tcPr>
                <w:p w14:paraId="56E44F2F">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sz w:val="21"/>
                      <w:szCs w:val="21"/>
                    </w:rPr>
                  </w:pPr>
                </w:p>
              </w:tc>
              <w:tc>
                <w:tcPr>
                  <w:tcW w:w="1255" w:type="dxa"/>
                  <w:vMerge w:val="continue"/>
                  <w:noWrap w:val="0"/>
                  <w:vAlign w:val="center"/>
                </w:tcPr>
                <w:p w14:paraId="72F6F4D5">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sz w:val="21"/>
                      <w:szCs w:val="21"/>
                    </w:rPr>
                  </w:pPr>
                </w:p>
              </w:tc>
              <w:tc>
                <w:tcPr>
                  <w:tcW w:w="968" w:type="dxa"/>
                  <w:vMerge w:val="continue"/>
                  <w:noWrap w:val="0"/>
                  <w:vAlign w:val="center"/>
                </w:tcPr>
                <w:p w14:paraId="79AF9066">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sz w:val="21"/>
                      <w:szCs w:val="21"/>
                    </w:rPr>
                  </w:pPr>
                </w:p>
              </w:tc>
              <w:tc>
                <w:tcPr>
                  <w:tcW w:w="1282" w:type="dxa"/>
                  <w:noWrap w:val="0"/>
                  <w:vAlign w:val="center"/>
                </w:tcPr>
                <w:p w14:paraId="15E8BCBF">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sz w:val="21"/>
                      <w:szCs w:val="21"/>
                    </w:rPr>
                  </w:pPr>
                  <w:r>
                    <w:rPr>
                      <w:rStyle w:val="44"/>
                      <w:sz w:val="21"/>
                      <w:szCs w:val="21"/>
                    </w:rPr>
                    <w:t>BOD</w:t>
                  </w:r>
                  <w:r>
                    <w:rPr>
                      <w:rStyle w:val="44"/>
                      <w:sz w:val="21"/>
                      <w:szCs w:val="21"/>
                      <w:vertAlign w:val="subscript"/>
                    </w:rPr>
                    <w:t>5</w:t>
                  </w:r>
                </w:p>
              </w:tc>
              <w:tc>
                <w:tcPr>
                  <w:tcW w:w="1322" w:type="dxa"/>
                  <w:noWrap w:val="0"/>
                  <w:vAlign w:val="center"/>
                </w:tcPr>
                <w:p w14:paraId="0FC5687F">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20</w:t>
                  </w:r>
                </w:p>
              </w:tc>
            </w:tr>
            <w:tr w14:paraId="5D85DE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8" w:type="dxa"/>
                  <w:vMerge w:val="continue"/>
                  <w:noWrap w:val="0"/>
                  <w:vAlign w:val="center"/>
                </w:tcPr>
                <w:p w14:paraId="5E12CF2F">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sz w:val="21"/>
                      <w:szCs w:val="21"/>
                    </w:rPr>
                  </w:pPr>
                </w:p>
              </w:tc>
              <w:tc>
                <w:tcPr>
                  <w:tcW w:w="1290" w:type="dxa"/>
                  <w:vMerge w:val="continue"/>
                  <w:noWrap w:val="0"/>
                  <w:vAlign w:val="center"/>
                </w:tcPr>
                <w:p w14:paraId="516D6152">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sz w:val="21"/>
                      <w:szCs w:val="21"/>
                    </w:rPr>
                  </w:pPr>
                </w:p>
              </w:tc>
              <w:tc>
                <w:tcPr>
                  <w:tcW w:w="1677" w:type="dxa"/>
                  <w:vMerge w:val="continue"/>
                  <w:noWrap w:val="0"/>
                  <w:vAlign w:val="center"/>
                </w:tcPr>
                <w:p w14:paraId="495F676D">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sz w:val="21"/>
                      <w:szCs w:val="21"/>
                    </w:rPr>
                  </w:pPr>
                </w:p>
              </w:tc>
              <w:tc>
                <w:tcPr>
                  <w:tcW w:w="1677" w:type="dxa"/>
                  <w:vMerge w:val="continue"/>
                  <w:noWrap w:val="0"/>
                  <w:vAlign w:val="center"/>
                </w:tcPr>
                <w:p w14:paraId="03CA8E11">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sz w:val="21"/>
                      <w:szCs w:val="21"/>
                    </w:rPr>
                  </w:pPr>
                </w:p>
              </w:tc>
              <w:tc>
                <w:tcPr>
                  <w:tcW w:w="1323" w:type="dxa"/>
                  <w:vMerge w:val="continue"/>
                  <w:noWrap w:val="0"/>
                  <w:vAlign w:val="center"/>
                </w:tcPr>
                <w:p w14:paraId="20F396E6">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sz w:val="21"/>
                      <w:szCs w:val="21"/>
                    </w:rPr>
                  </w:pPr>
                </w:p>
              </w:tc>
              <w:tc>
                <w:tcPr>
                  <w:tcW w:w="1234" w:type="dxa"/>
                  <w:vMerge w:val="continue"/>
                  <w:noWrap w:val="0"/>
                  <w:vAlign w:val="center"/>
                </w:tcPr>
                <w:p w14:paraId="1D23256A">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sz w:val="21"/>
                      <w:szCs w:val="21"/>
                    </w:rPr>
                  </w:pPr>
                </w:p>
              </w:tc>
              <w:tc>
                <w:tcPr>
                  <w:tcW w:w="1234" w:type="dxa"/>
                  <w:vMerge w:val="continue"/>
                  <w:noWrap w:val="0"/>
                  <w:vAlign w:val="center"/>
                </w:tcPr>
                <w:p w14:paraId="6B4867E3">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sz w:val="21"/>
                      <w:szCs w:val="21"/>
                    </w:rPr>
                  </w:pPr>
                </w:p>
              </w:tc>
              <w:tc>
                <w:tcPr>
                  <w:tcW w:w="1255" w:type="dxa"/>
                  <w:vMerge w:val="continue"/>
                  <w:noWrap w:val="0"/>
                  <w:vAlign w:val="center"/>
                </w:tcPr>
                <w:p w14:paraId="20390C8A">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sz w:val="21"/>
                      <w:szCs w:val="21"/>
                    </w:rPr>
                  </w:pPr>
                </w:p>
              </w:tc>
              <w:tc>
                <w:tcPr>
                  <w:tcW w:w="968" w:type="dxa"/>
                  <w:vMerge w:val="continue"/>
                  <w:noWrap w:val="0"/>
                  <w:vAlign w:val="center"/>
                </w:tcPr>
                <w:p w14:paraId="44A1A1BE">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sz w:val="21"/>
                      <w:szCs w:val="21"/>
                    </w:rPr>
                  </w:pPr>
                </w:p>
              </w:tc>
              <w:tc>
                <w:tcPr>
                  <w:tcW w:w="1282" w:type="dxa"/>
                  <w:noWrap w:val="0"/>
                  <w:vAlign w:val="center"/>
                </w:tcPr>
                <w:p w14:paraId="699C41F2">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sz w:val="21"/>
                      <w:szCs w:val="21"/>
                    </w:rPr>
                  </w:pPr>
                  <w:r>
                    <w:rPr>
                      <w:rStyle w:val="44"/>
                      <w:sz w:val="21"/>
                      <w:szCs w:val="21"/>
                    </w:rPr>
                    <w:t>SS</w:t>
                  </w:r>
                </w:p>
              </w:tc>
              <w:tc>
                <w:tcPr>
                  <w:tcW w:w="1322" w:type="dxa"/>
                  <w:noWrap w:val="0"/>
                  <w:vAlign w:val="center"/>
                </w:tcPr>
                <w:p w14:paraId="3B8CEA3B">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20</w:t>
                  </w:r>
                </w:p>
              </w:tc>
            </w:tr>
            <w:tr w14:paraId="59C2A4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8" w:type="dxa"/>
                  <w:vMerge w:val="continue"/>
                  <w:noWrap w:val="0"/>
                  <w:vAlign w:val="center"/>
                </w:tcPr>
                <w:p w14:paraId="2B1B1517">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sz w:val="21"/>
                      <w:szCs w:val="21"/>
                    </w:rPr>
                  </w:pPr>
                </w:p>
              </w:tc>
              <w:tc>
                <w:tcPr>
                  <w:tcW w:w="1290" w:type="dxa"/>
                  <w:vMerge w:val="continue"/>
                  <w:noWrap w:val="0"/>
                  <w:vAlign w:val="center"/>
                </w:tcPr>
                <w:p w14:paraId="4FFD1977">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sz w:val="21"/>
                      <w:szCs w:val="21"/>
                    </w:rPr>
                  </w:pPr>
                </w:p>
              </w:tc>
              <w:tc>
                <w:tcPr>
                  <w:tcW w:w="1677" w:type="dxa"/>
                  <w:vMerge w:val="continue"/>
                  <w:noWrap w:val="0"/>
                  <w:vAlign w:val="center"/>
                </w:tcPr>
                <w:p w14:paraId="144180E2">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sz w:val="21"/>
                      <w:szCs w:val="21"/>
                    </w:rPr>
                  </w:pPr>
                </w:p>
              </w:tc>
              <w:tc>
                <w:tcPr>
                  <w:tcW w:w="1677" w:type="dxa"/>
                  <w:vMerge w:val="continue"/>
                  <w:noWrap w:val="0"/>
                  <w:vAlign w:val="center"/>
                </w:tcPr>
                <w:p w14:paraId="0D3EA56F">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sz w:val="21"/>
                      <w:szCs w:val="21"/>
                    </w:rPr>
                  </w:pPr>
                </w:p>
              </w:tc>
              <w:tc>
                <w:tcPr>
                  <w:tcW w:w="1323" w:type="dxa"/>
                  <w:vMerge w:val="continue"/>
                  <w:noWrap w:val="0"/>
                  <w:vAlign w:val="center"/>
                </w:tcPr>
                <w:p w14:paraId="27E69A6B">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sz w:val="21"/>
                      <w:szCs w:val="21"/>
                    </w:rPr>
                  </w:pPr>
                </w:p>
              </w:tc>
              <w:tc>
                <w:tcPr>
                  <w:tcW w:w="1234" w:type="dxa"/>
                  <w:vMerge w:val="continue"/>
                  <w:noWrap w:val="0"/>
                  <w:vAlign w:val="center"/>
                </w:tcPr>
                <w:p w14:paraId="17486457">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sz w:val="21"/>
                      <w:szCs w:val="21"/>
                    </w:rPr>
                  </w:pPr>
                </w:p>
              </w:tc>
              <w:tc>
                <w:tcPr>
                  <w:tcW w:w="1234" w:type="dxa"/>
                  <w:vMerge w:val="continue"/>
                  <w:noWrap w:val="0"/>
                  <w:vAlign w:val="center"/>
                </w:tcPr>
                <w:p w14:paraId="75D12A2C">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sz w:val="21"/>
                      <w:szCs w:val="21"/>
                    </w:rPr>
                  </w:pPr>
                </w:p>
              </w:tc>
              <w:tc>
                <w:tcPr>
                  <w:tcW w:w="1255" w:type="dxa"/>
                  <w:vMerge w:val="continue"/>
                  <w:noWrap w:val="0"/>
                  <w:vAlign w:val="center"/>
                </w:tcPr>
                <w:p w14:paraId="2E1856A4">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sz w:val="21"/>
                      <w:szCs w:val="21"/>
                    </w:rPr>
                  </w:pPr>
                </w:p>
              </w:tc>
              <w:tc>
                <w:tcPr>
                  <w:tcW w:w="968" w:type="dxa"/>
                  <w:vMerge w:val="continue"/>
                  <w:noWrap w:val="0"/>
                  <w:vAlign w:val="center"/>
                </w:tcPr>
                <w:p w14:paraId="56DFE3B9">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sz w:val="21"/>
                      <w:szCs w:val="21"/>
                    </w:rPr>
                  </w:pPr>
                </w:p>
              </w:tc>
              <w:tc>
                <w:tcPr>
                  <w:tcW w:w="1282" w:type="dxa"/>
                  <w:noWrap w:val="0"/>
                  <w:vAlign w:val="center"/>
                </w:tcPr>
                <w:p w14:paraId="1F1BDE15">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sz w:val="21"/>
                      <w:szCs w:val="21"/>
                    </w:rPr>
                  </w:pPr>
                  <w:r>
                    <w:rPr>
                      <w:rStyle w:val="44"/>
                      <w:sz w:val="21"/>
                      <w:szCs w:val="21"/>
                    </w:rPr>
                    <w:t>NH</w:t>
                  </w:r>
                  <w:r>
                    <w:rPr>
                      <w:rStyle w:val="44"/>
                      <w:sz w:val="21"/>
                      <w:szCs w:val="21"/>
                      <w:vertAlign w:val="subscript"/>
                    </w:rPr>
                    <w:t>3</w:t>
                  </w:r>
                  <w:r>
                    <w:rPr>
                      <w:rStyle w:val="44"/>
                      <w:sz w:val="21"/>
                      <w:szCs w:val="21"/>
                    </w:rPr>
                    <w:t>-N</w:t>
                  </w:r>
                </w:p>
              </w:tc>
              <w:tc>
                <w:tcPr>
                  <w:tcW w:w="1322" w:type="dxa"/>
                  <w:noWrap w:val="0"/>
                  <w:vAlign w:val="center"/>
                </w:tcPr>
                <w:p w14:paraId="290A94EF">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rFonts w:hint="eastAsia" w:eastAsia="宋体"/>
                      <w:sz w:val="21"/>
                      <w:szCs w:val="21"/>
                      <w:lang w:val="en-US" w:eastAsia="zh-CN"/>
                    </w:rPr>
                  </w:pPr>
                  <w:r>
                    <w:rPr>
                      <w:rFonts w:hint="eastAsia"/>
                      <w:sz w:val="21"/>
                      <w:szCs w:val="21"/>
                      <w:lang w:val="en-US" w:eastAsia="zh-CN"/>
                    </w:rPr>
                    <w:t>8</w:t>
                  </w:r>
                </w:p>
              </w:tc>
            </w:tr>
            <w:tr w14:paraId="38DF31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8" w:type="dxa"/>
                  <w:vMerge w:val="continue"/>
                  <w:noWrap w:val="0"/>
                  <w:vAlign w:val="center"/>
                </w:tcPr>
                <w:p w14:paraId="7A1516F6">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sz w:val="21"/>
                      <w:szCs w:val="21"/>
                    </w:rPr>
                  </w:pPr>
                </w:p>
              </w:tc>
              <w:tc>
                <w:tcPr>
                  <w:tcW w:w="1290" w:type="dxa"/>
                  <w:vMerge w:val="continue"/>
                  <w:noWrap w:val="0"/>
                  <w:vAlign w:val="center"/>
                </w:tcPr>
                <w:p w14:paraId="03A89A47">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sz w:val="21"/>
                      <w:szCs w:val="21"/>
                    </w:rPr>
                  </w:pPr>
                </w:p>
              </w:tc>
              <w:tc>
                <w:tcPr>
                  <w:tcW w:w="1677" w:type="dxa"/>
                  <w:vMerge w:val="continue"/>
                  <w:noWrap w:val="0"/>
                  <w:vAlign w:val="center"/>
                </w:tcPr>
                <w:p w14:paraId="06FFE4EA">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sz w:val="21"/>
                      <w:szCs w:val="21"/>
                    </w:rPr>
                  </w:pPr>
                </w:p>
              </w:tc>
              <w:tc>
                <w:tcPr>
                  <w:tcW w:w="1677" w:type="dxa"/>
                  <w:vMerge w:val="continue"/>
                  <w:noWrap w:val="0"/>
                  <w:vAlign w:val="center"/>
                </w:tcPr>
                <w:p w14:paraId="0CDD7FF7">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sz w:val="21"/>
                      <w:szCs w:val="21"/>
                    </w:rPr>
                  </w:pPr>
                </w:p>
              </w:tc>
              <w:tc>
                <w:tcPr>
                  <w:tcW w:w="1323" w:type="dxa"/>
                  <w:vMerge w:val="continue"/>
                  <w:noWrap w:val="0"/>
                  <w:vAlign w:val="center"/>
                </w:tcPr>
                <w:p w14:paraId="4A4B01C0">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sz w:val="21"/>
                      <w:szCs w:val="21"/>
                    </w:rPr>
                  </w:pPr>
                </w:p>
              </w:tc>
              <w:tc>
                <w:tcPr>
                  <w:tcW w:w="1234" w:type="dxa"/>
                  <w:vMerge w:val="continue"/>
                  <w:noWrap w:val="0"/>
                  <w:vAlign w:val="center"/>
                </w:tcPr>
                <w:p w14:paraId="350537A4">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sz w:val="21"/>
                      <w:szCs w:val="21"/>
                    </w:rPr>
                  </w:pPr>
                </w:p>
              </w:tc>
              <w:tc>
                <w:tcPr>
                  <w:tcW w:w="1234" w:type="dxa"/>
                  <w:vMerge w:val="continue"/>
                  <w:noWrap w:val="0"/>
                  <w:vAlign w:val="center"/>
                </w:tcPr>
                <w:p w14:paraId="3CD6874F">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sz w:val="21"/>
                      <w:szCs w:val="21"/>
                    </w:rPr>
                  </w:pPr>
                </w:p>
              </w:tc>
              <w:tc>
                <w:tcPr>
                  <w:tcW w:w="1255" w:type="dxa"/>
                  <w:vMerge w:val="continue"/>
                  <w:noWrap w:val="0"/>
                  <w:vAlign w:val="center"/>
                </w:tcPr>
                <w:p w14:paraId="2D04E57A">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sz w:val="21"/>
                      <w:szCs w:val="21"/>
                    </w:rPr>
                  </w:pPr>
                </w:p>
              </w:tc>
              <w:tc>
                <w:tcPr>
                  <w:tcW w:w="968" w:type="dxa"/>
                  <w:vMerge w:val="continue"/>
                  <w:noWrap w:val="0"/>
                  <w:vAlign w:val="center"/>
                </w:tcPr>
                <w:p w14:paraId="73B9D5BD">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sz w:val="21"/>
                      <w:szCs w:val="21"/>
                    </w:rPr>
                  </w:pPr>
                </w:p>
              </w:tc>
              <w:tc>
                <w:tcPr>
                  <w:tcW w:w="1282" w:type="dxa"/>
                  <w:noWrap w:val="0"/>
                  <w:vAlign w:val="center"/>
                </w:tcPr>
                <w:p w14:paraId="368DEADF">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sz w:val="21"/>
                      <w:szCs w:val="21"/>
                    </w:rPr>
                  </w:pPr>
                  <w:r>
                    <w:rPr>
                      <w:rStyle w:val="44"/>
                      <w:sz w:val="21"/>
                      <w:szCs w:val="21"/>
                    </w:rPr>
                    <w:t>TP</w:t>
                  </w:r>
                </w:p>
              </w:tc>
              <w:tc>
                <w:tcPr>
                  <w:tcW w:w="1322" w:type="dxa"/>
                  <w:noWrap w:val="0"/>
                  <w:vAlign w:val="center"/>
                </w:tcPr>
                <w:p w14:paraId="103B5491">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rFonts w:hint="eastAsia" w:eastAsia="宋体"/>
                      <w:sz w:val="21"/>
                      <w:szCs w:val="21"/>
                      <w:lang w:val="en-US" w:eastAsia="zh-CN"/>
                    </w:rPr>
                  </w:pPr>
                  <w:r>
                    <w:rPr>
                      <w:rFonts w:hint="eastAsia"/>
                      <w:sz w:val="21"/>
                      <w:szCs w:val="21"/>
                      <w:lang w:val="en-US" w:eastAsia="zh-CN"/>
                    </w:rPr>
                    <w:t>1</w:t>
                  </w:r>
                </w:p>
              </w:tc>
            </w:tr>
            <w:tr w14:paraId="6F6745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928" w:type="dxa"/>
                  <w:vMerge w:val="continue"/>
                  <w:noWrap w:val="0"/>
                  <w:vAlign w:val="center"/>
                </w:tcPr>
                <w:p w14:paraId="44214FF5">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sz w:val="21"/>
                      <w:szCs w:val="21"/>
                    </w:rPr>
                  </w:pPr>
                </w:p>
              </w:tc>
              <w:tc>
                <w:tcPr>
                  <w:tcW w:w="1290" w:type="dxa"/>
                  <w:vMerge w:val="continue"/>
                  <w:noWrap w:val="0"/>
                  <w:vAlign w:val="center"/>
                </w:tcPr>
                <w:p w14:paraId="0DCA11B8">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sz w:val="21"/>
                      <w:szCs w:val="21"/>
                    </w:rPr>
                  </w:pPr>
                </w:p>
              </w:tc>
              <w:tc>
                <w:tcPr>
                  <w:tcW w:w="1677" w:type="dxa"/>
                  <w:vMerge w:val="continue"/>
                  <w:noWrap w:val="0"/>
                  <w:vAlign w:val="center"/>
                </w:tcPr>
                <w:p w14:paraId="6C9FB7E4">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sz w:val="21"/>
                      <w:szCs w:val="21"/>
                    </w:rPr>
                  </w:pPr>
                </w:p>
              </w:tc>
              <w:tc>
                <w:tcPr>
                  <w:tcW w:w="1677" w:type="dxa"/>
                  <w:vMerge w:val="continue"/>
                  <w:noWrap w:val="0"/>
                  <w:vAlign w:val="center"/>
                </w:tcPr>
                <w:p w14:paraId="773CB01B">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sz w:val="21"/>
                      <w:szCs w:val="21"/>
                    </w:rPr>
                  </w:pPr>
                </w:p>
              </w:tc>
              <w:tc>
                <w:tcPr>
                  <w:tcW w:w="1323" w:type="dxa"/>
                  <w:vMerge w:val="continue"/>
                  <w:noWrap w:val="0"/>
                  <w:vAlign w:val="center"/>
                </w:tcPr>
                <w:p w14:paraId="7E99A629">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sz w:val="21"/>
                      <w:szCs w:val="21"/>
                    </w:rPr>
                  </w:pPr>
                </w:p>
              </w:tc>
              <w:tc>
                <w:tcPr>
                  <w:tcW w:w="1234" w:type="dxa"/>
                  <w:vMerge w:val="continue"/>
                  <w:noWrap w:val="0"/>
                  <w:vAlign w:val="center"/>
                </w:tcPr>
                <w:p w14:paraId="1B9F193A">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sz w:val="21"/>
                      <w:szCs w:val="21"/>
                    </w:rPr>
                  </w:pPr>
                </w:p>
              </w:tc>
              <w:tc>
                <w:tcPr>
                  <w:tcW w:w="1234" w:type="dxa"/>
                  <w:vMerge w:val="continue"/>
                  <w:noWrap w:val="0"/>
                  <w:vAlign w:val="center"/>
                </w:tcPr>
                <w:p w14:paraId="6CE89138">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sz w:val="21"/>
                      <w:szCs w:val="21"/>
                    </w:rPr>
                  </w:pPr>
                </w:p>
              </w:tc>
              <w:tc>
                <w:tcPr>
                  <w:tcW w:w="1255" w:type="dxa"/>
                  <w:vMerge w:val="continue"/>
                  <w:noWrap w:val="0"/>
                  <w:vAlign w:val="center"/>
                </w:tcPr>
                <w:p w14:paraId="7B6916FE">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sz w:val="21"/>
                      <w:szCs w:val="21"/>
                    </w:rPr>
                  </w:pPr>
                </w:p>
              </w:tc>
              <w:tc>
                <w:tcPr>
                  <w:tcW w:w="968" w:type="dxa"/>
                  <w:vMerge w:val="continue"/>
                  <w:noWrap w:val="0"/>
                  <w:vAlign w:val="center"/>
                </w:tcPr>
                <w:p w14:paraId="343543BA">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sz w:val="21"/>
                      <w:szCs w:val="21"/>
                    </w:rPr>
                  </w:pPr>
                </w:p>
              </w:tc>
              <w:tc>
                <w:tcPr>
                  <w:tcW w:w="1282" w:type="dxa"/>
                  <w:noWrap w:val="0"/>
                  <w:vAlign w:val="center"/>
                </w:tcPr>
                <w:p w14:paraId="5555EB81">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sz w:val="21"/>
                      <w:szCs w:val="21"/>
                    </w:rPr>
                  </w:pPr>
                  <w:r>
                    <w:rPr>
                      <w:rStyle w:val="44"/>
                      <w:sz w:val="21"/>
                      <w:szCs w:val="21"/>
                    </w:rPr>
                    <w:t>TN</w:t>
                  </w:r>
                </w:p>
              </w:tc>
              <w:tc>
                <w:tcPr>
                  <w:tcW w:w="1322" w:type="dxa"/>
                  <w:noWrap w:val="0"/>
                  <w:vAlign w:val="center"/>
                </w:tcPr>
                <w:p w14:paraId="4C1391F6">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20</w:t>
                  </w:r>
                </w:p>
              </w:tc>
            </w:tr>
            <w:tr w14:paraId="7CE9FC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928" w:type="dxa"/>
                  <w:vMerge w:val="continue"/>
                  <w:noWrap w:val="0"/>
                  <w:vAlign w:val="center"/>
                </w:tcPr>
                <w:p w14:paraId="1952FFA9">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pPr>
                </w:p>
              </w:tc>
              <w:tc>
                <w:tcPr>
                  <w:tcW w:w="1290" w:type="dxa"/>
                  <w:vMerge w:val="continue"/>
                  <w:noWrap w:val="0"/>
                  <w:vAlign w:val="center"/>
                </w:tcPr>
                <w:p w14:paraId="293FFF8A">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pPr>
                </w:p>
              </w:tc>
              <w:tc>
                <w:tcPr>
                  <w:tcW w:w="1677" w:type="dxa"/>
                  <w:vMerge w:val="continue"/>
                  <w:noWrap w:val="0"/>
                  <w:vAlign w:val="center"/>
                </w:tcPr>
                <w:p w14:paraId="3A801985">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pPr>
                </w:p>
              </w:tc>
              <w:tc>
                <w:tcPr>
                  <w:tcW w:w="1677" w:type="dxa"/>
                  <w:vMerge w:val="continue"/>
                  <w:noWrap w:val="0"/>
                  <w:vAlign w:val="center"/>
                </w:tcPr>
                <w:p w14:paraId="05F32C3F">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pPr>
                </w:p>
              </w:tc>
              <w:tc>
                <w:tcPr>
                  <w:tcW w:w="1323" w:type="dxa"/>
                  <w:vMerge w:val="continue"/>
                  <w:noWrap w:val="0"/>
                  <w:vAlign w:val="center"/>
                </w:tcPr>
                <w:p w14:paraId="3AECB8A2">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pPr>
                </w:p>
              </w:tc>
              <w:tc>
                <w:tcPr>
                  <w:tcW w:w="1234" w:type="dxa"/>
                  <w:vMerge w:val="continue"/>
                  <w:noWrap w:val="0"/>
                  <w:vAlign w:val="center"/>
                </w:tcPr>
                <w:p w14:paraId="6778638B">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pPr>
                </w:p>
              </w:tc>
              <w:tc>
                <w:tcPr>
                  <w:tcW w:w="1234" w:type="dxa"/>
                  <w:vMerge w:val="continue"/>
                  <w:noWrap w:val="0"/>
                  <w:vAlign w:val="center"/>
                </w:tcPr>
                <w:p w14:paraId="6C6C4C72">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pPr>
                </w:p>
              </w:tc>
              <w:tc>
                <w:tcPr>
                  <w:tcW w:w="1255" w:type="dxa"/>
                  <w:vMerge w:val="continue"/>
                  <w:noWrap w:val="0"/>
                  <w:vAlign w:val="center"/>
                </w:tcPr>
                <w:p w14:paraId="26E37989">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pPr>
                </w:p>
              </w:tc>
              <w:tc>
                <w:tcPr>
                  <w:tcW w:w="968" w:type="dxa"/>
                  <w:vMerge w:val="continue"/>
                  <w:noWrap w:val="0"/>
                  <w:vAlign w:val="center"/>
                </w:tcPr>
                <w:p w14:paraId="42790D6B">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pPr>
                </w:p>
              </w:tc>
              <w:tc>
                <w:tcPr>
                  <w:tcW w:w="1282" w:type="dxa"/>
                  <w:noWrap w:val="0"/>
                  <w:vAlign w:val="center"/>
                </w:tcPr>
                <w:p w14:paraId="15669F73">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rStyle w:val="44"/>
                      <w:rFonts w:hint="default" w:eastAsia="宋体"/>
                      <w:sz w:val="21"/>
                      <w:szCs w:val="21"/>
                      <w:lang w:val="en-US" w:eastAsia="zh-CN"/>
                    </w:rPr>
                  </w:pPr>
                  <w:r>
                    <w:rPr>
                      <w:rStyle w:val="44"/>
                      <w:rFonts w:hint="eastAsia"/>
                      <w:sz w:val="21"/>
                      <w:szCs w:val="21"/>
                      <w:lang w:val="en-US" w:eastAsia="zh-CN"/>
                    </w:rPr>
                    <w:t>动植物油</w:t>
                  </w:r>
                </w:p>
              </w:tc>
              <w:tc>
                <w:tcPr>
                  <w:tcW w:w="1322" w:type="dxa"/>
                  <w:noWrap w:val="0"/>
                  <w:vAlign w:val="center"/>
                </w:tcPr>
                <w:p w14:paraId="07A993B4">
                  <w:pPr>
                    <w:pStyle w:val="9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rStyle w:val="44"/>
                      <w:rFonts w:hint="default" w:eastAsia="宋体"/>
                      <w:sz w:val="21"/>
                      <w:szCs w:val="21"/>
                      <w:lang w:val="en-US" w:eastAsia="zh-CN"/>
                    </w:rPr>
                  </w:pPr>
                  <w:r>
                    <w:rPr>
                      <w:rStyle w:val="44"/>
                      <w:rFonts w:hint="eastAsia"/>
                      <w:sz w:val="21"/>
                      <w:szCs w:val="21"/>
                      <w:lang w:val="en-US" w:eastAsia="zh-CN"/>
                    </w:rPr>
                    <w:t>3</w:t>
                  </w:r>
                </w:p>
              </w:tc>
            </w:tr>
          </w:tbl>
          <w:p w14:paraId="0ADE09B7">
            <w:pPr>
              <w:pStyle w:val="16"/>
              <w:tabs>
                <w:tab w:val="left" w:pos="3360"/>
              </w:tabs>
              <w:autoSpaceDE/>
              <w:autoSpaceDN/>
              <w:adjustRightInd w:val="0"/>
              <w:spacing w:line="240" w:lineRule="auto"/>
              <w:ind w:firstLine="0" w:firstLineChars="0"/>
              <w:jc w:val="center"/>
              <w:rPr>
                <w:rFonts w:hAnsi="Times New Roman"/>
                <w:b/>
                <w:szCs w:val="21"/>
              </w:rPr>
            </w:pPr>
          </w:p>
          <w:p w14:paraId="214295CC">
            <w:pPr>
              <w:ind w:left="0" w:leftChars="0" w:firstLine="0" w:firstLineChars="0"/>
            </w:pPr>
          </w:p>
        </w:tc>
      </w:tr>
    </w:tbl>
    <w:p w14:paraId="699FFA4B">
      <w:pPr>
        <w:wordWrap w:val="0"/>
        <w:spacing w:line="240" w:lineRule="auto"/>
        <w:ind w:firstLine="0" w:firstLineChars="0"/>
        <w:jc w:val="center"/>
        <w:sectPr>
          <w:pgSz w:w="16838" w:h="11906" w:orient="landscape"/>
          <w:pgMar w:top="1440" w:right="1080" w:bottom="1440" w:left="1080" w:header="851" w:footer="850" w:gutter="0"/>
          <w:pgBorders>
            <w:top w:val="none" w:sz="0" w:space="0"/>
            <w:left w:val="none" w:sz="0" w:space="0"/>
            <w:bottom w:val="none" w:sz="0" w:space="0"/>
            <w:right w:val="none" w:sz="0" w:space="0"/>
          </w:pgBorders>
          <w:pgNumType w:fmt="decimal"/>
          <w:cols w:space="0" w:num="1"/>
          <w:rtlGutter w:val="0"/>
          <w:docGrid w:type="lines" w:linePitch="326" w:charSpace="0"/>
        </w:sectPr>
      </w:pP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5"/>
        <w:gridCol w:w="9477"/>
      </w:tblGrid>
      <w:tr w14:paraId="59566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dxa"/>
            <w:vAlign w:val="center"/>
          </w:tcPr>
          <w:p w14:paraId="090BDC71">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vertAlign w:val="baseline"/>
              </w:rPr>
            </w:pPr>
            <w:r>
              <w:rPr>
                <w:rFonts w:hint="eastAsia" w:ascii="宋体" w:hAnsi="宋体" w:eastAsia="宋体" w:cs="宋体"/>
                <w:bCs/>
                <w:sz w:val="24"/>
              </w:rPr>
              <w:t>运营期环境影响和保护措施</w:t>
            </w:r>
          </w:p>
        </w:tc>
        <w:tc>
          <w:tcPr>
            <w:tcW w:w="8867" w:type="dxa"/>
            <w:vAlign w:val="top"/>
          </w:tcPr>
          <w:p w14:paraId="0AA8AC14">
            <w:pPr>
              <w:pStyle w:val="74"/>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both"/>
              <w:textAlignment w:val="auto"/>
              <w:rPr>
                <w:rFonts w:eastAsia="宋体"/>
                <w:b/>
                <w:sz w:val="24"/>
              </w:rPr>
            </w:pPr>
            <w:r>
              <w:rPr>
                <w:rFonts w:eastAsia="宋体"/>
                <w:b/>
                <w:sz w:val="24"/>
              </w:rPr>
              <w:t>（</w:t>
            </w:r>
            <w:r>
              <w:rPr>
                <w:rFonts w:hint="default" w:ascii="Times New Roman" w:hAnsi="Times New Roman" w:eastAsia="宋体" w:cs="Times New Roman"/>
                <w:b/>
                <w:sz w:val="24"/>
              </w:rPr>
              <w:t>2</w:t>
            </w:r>
            <w:r>
              <w:rPr>
                <w:rFonts w:eastAsia="宋体"/>
                <w:b/>
                <w:sz w:val="24"/>
              </w:rPr>
              <w:t>）</w:t>
            </w:r>
            <w:r>
              <w:rPr>
                <w:rFonts w:hint="eastAsia" w:eastAsia="宋体"/>
                <w:b/>
                <w:sz w:val="24"/>
              </w:rPr>
              <w:t>废水处理</w:t>
            </w:r>
            <w:r>
              <w:rPr>
                <w:rFonts w:eastAsia="宋体"/>
                <w:b/>
                <w:sz w:val="24"/>
              </w:rPr>
              <w:t>措施可行性分析</w:t>
            </w:r>
          </w:p>
          <w:p w14:paraId="7A5C34A4">
            <w:pPr>
              <w:pStyle w:val="74"/>
              <w:spacing w:line="360" w:lineRule="auto"/>
              <w:ind w:firstLine="480" w:firstLineChars="200"/>
              <w:jc w:val="both"/>
              <w:rPr>
                <w:rFonts w:ascii="Times New Roman" w:cs="Times New Roman"/>
                <w:bCs/>
              </w:rPr>
            </w:pPr>
            <w:r>
              <w:rPr>
                <w:rFonts w:hint="eastAsia" w:ascii="Times New Roman" w:cs="Times New Roman"/>
                <w:bCs/>
                <w:lang w:val="en-US" w:eastAsia="zh-CN"/>
              </w:rPr>
              <w:t>本项目生活污水经油水分离器+化粪池预处理达红心村生活污水处理站接管标准，经污水管网排入红心村生活污水处理站进一步处理后，满足《城镇污水处理厂污染物排放标准》（GB18918-2002）及其修改单</w:t>
            </w:r>
            <w:r>
              <w:rPr>
                <w:rFonts w:hint="eastAsia"/>
                <w:color w:val="auto"/>
                <w:highlight w:val="none"/>
                <w:lang w:val="en-US" w:eastAsia="zh-CN"/>
              </w:rPr>
              <w:t>中</w:t>
            </w:r>
            <w:r>
              <w:rPr>
                <w:rFonts w:hint="eastAsia" w:ascii="Times New Roman" w:cs="Times New Roman"/>
                <w:bCs/>
                <w:lang w:val="en-US" w:eastAsia="zh-CN"/>
              </w:rPr>
              <w:t>一级B标准排放</w:t>
            </w:r>
            <w:r>
              <w:rPr>
                <w:rFonts w:hint="eastAsia" w:cs="Times New Roman"/>
                <w:color w:val="auto"/>
                <w:highlight w:val="none"/>
                <w:u w:val="none"/>
                <w:lang w:val="en-US" w:eastAsia="zh-CN"/>
              </w:rPr>
              <w:t>，最终排入赛城湖</w:t>
            </w:r>
            <w:r>
              <w:rPr>
                <w:rFonts w:hint="eastAsia" w:ascii="Times New Roman" w:cs="Times New Roman"/>
                <w:bCs/>
                <w:lang w:val="en-US" w:eastAsia="zh-CN"/>
              </w:rPr>
              <w:t>；</w:t>
            </w:r>
            <w:r>
              <w:rPr>
                <w:rFonts w:hint="eastAsia"/>
                <w:lang w:val="en-US" w:eastAsia="zh-CN"/>
              </w:rPr>
              <w:t>地面冲洗废水经隔油池隔油预处理后，和洗车废水一起排入厂区一体化（</w:t>
            </w:r>
            <w:r>
              <w:rPr>
                <w:rFonts w:hint="default" w:ascii="Times New Roman" w:hAnsi="Times New Roman" w:cs="Times New Roman"/>
                <w:lang w:val="en-US" w:eastAsia="zh-CN"/>
              </w:rPr>
              <w:t>MBR</w:t>
            </w:r>
            <w:r>
              <w:rPr>
                <w:rFonts w:hint="eastAsia"/>
                <w:lang w:val="en-US" w:eastAsia="zh-CN"/>
              </w:rPr>
              <w:t>）洗车废水处理设施进一步处理后满足《城市污水再生利用</w:t>
            </w:r>
            <w:r>
              <w:rPr>
                <w:rFonts w:hint="default" w:ascii="Times New Roman" w:hAnsi="Times New Roman" w:cs="Times New Roman"/>
                <w:lang w:val="en-US" w:eastAsia="zh-CN"/>
              </w:rPr>
              <w:t>·</w:t>
            </w:r>
            <w:r>
              <w:rPr>
                <w:rFonts w:hint="eastAsia"/>
                <w:lang w:val="en-US" w:eastAsia="zh-CN"/>
              </w:rPr>
              <w:t>城市杂用水水质》（</w:t>
            </w:r>
            <w:r>
              <w:rPr>
                <w:rFonts w:hint="default" w:ascii="Times New Roman" w:hAnsi="Times New Roman" w:cs="Times New Roman"/>
                <w:lang w:val="en-US" w:eastAsia="zh-CN"/>
              </w:rPr>
              <w:t>GB/T18920-2020</w:t>
            </w:r>
            <w:r>
              <w:rPr>
                <w:rFonts w:hint="eastAsia"/>
                <w:lang w:val="en-US" w:eastAsia="zh-CN"/>
              </w:rPr>
              <w:t>）中车辆冲洗水质标准要求后回用于洗车，不外排。</w:t>
            </w:r>
          </w:p>
          <w:p w14:paraId="4B42631E">
            <w:pPr>
              <w:pStyle w:val="54"/>
              <w:numPr>
                <w:ilvl w:val="0"/>
                <w:numId w:val="0"/>
              </w:numPr>
              <w:tabs>
                <w:tab w:val="left" w:pos="7821"/>
              </w:tabs>
              <w:ind w:leftChars="200"/>
              <w:rPr>
                <w:spacing w:val="4"/>
                <w:kern w:val="0"/>
              </w:rPr>
            </w:pPr>
            <w:r>
              <w:rPr>
                <w:rFonts w:hint="default" w:ascii="Times New Roman" w:hAnsi="Times New Roman" w:cs="Times New Roman"/>
                <w:color w:val="auto"/>
                <w:spacing w:val="6"/>
                <w:sz w:val="24"/>
                <w:szCs w:val="24"/>
                <w:highlight w:val="none"/>
                <w:lang w:val="en-US" w:eastAsia="zh-CN"/>
              </w:rPr>
              <w:t>1</w:t>
            </w:r>
            <w:r>
              <w:rPr>
                <w:rFonts w:hint="eastAsia" w:ascii="Times New Roman" w:hAnsi="Times New Roman" w:cs="Times New Roman"/>
                <w:color w:val="auto"/>
                <w:spacing w:val="6"/>
                <w:sz w:val="24"/>
                <w:szCs w:val="24"/>
                <w:highlight w:val="none"/>
                <w:lang w:val="en-US" w:eastAsia="zh-CN"/>
              </w:rPr>
              <w:t>）</w:t>
            </w:r>
            <w:r>
              <w:rPr>
                <w:spacing w:val="4"/>
                <w:kern w:val="0"/>
              </w:rPr>
              <w:t>废水</w:t>
            </w:r>
            <w:r>
              <w:rPr>
                <w:rFonts w:hint="eastAsia"/>
                <w:spacing w:val="4"/>
                <w:kern w:val="0"/>
                <w:lang w:val="en-US" w:eastAsia="zh-CN"/>
              </w:rPr>
              <w:t>处理措施</w:t>
            </w:r>
            <w:r>
              <w:rPr>
                <w:spacing w:val="4"/>
                <w:kern w:val="0"/>
              </w:rPr>
              <w:t>可行性分析</w:t>
            </w:r>
          </w:p>
          <w:p w14:paraId="493D8495">
            <w:pPr>
              <w:widowControl w:val="0"/>
              <w:autoSpaceDE w:val="0"/>
              <w:autoSpaceDN w:val="0"/>
              <w:adjustRightInd w:val="0"/>
              <w:spacing w:line="360" w:lineRule="auto"/>
              <w:ind w:firstLine="480" w:firstLineChars="200"/>
              <w:jc w:val="both"/>
              <w:rPr>
                <w:rFonts w:hint="default" w:cs="Times New Roman"/>
                <w:bCs/>
                <w:color w:val="auto"/>
                <w:sz w:val="24"/>
                <w:szCs w:val="24"/>
                <w:lang w:val="en-US" w:eastAsia="zh-CN" w:bidi="ar-SA"/>
              </w:rPr>
            </w:pPr>
            <w:r>
              <w:rPr>
                <w:rFonts w:hint="eastAsia" w:cs="Times New Roman"/>
                <w:bCs/>
                <w:color w:val="auto"/>
                <w:sz w:val="24"/>
                <w:szCs w:val="24"/>
                <w:lang w:val="en-US" w:eastAsia="zh-CN" w:bidi="ar-SA"/>
              </w:rPr>
              <w:t>本项目生活污水主要污染物为pH、</w:t>
            </w:r>
            <w:r>
              <w:rPr>
                <w:rFonts w:hint="eastAsia"/>
              </w:rPr>
              <w:t>COD</w:t>
            </w:r>
            <w:r>
              <w:rPr>
                <w:rFonts w:hint="eastAsia"/>
                <w:vertAlign w:val="subscript"/>
                <w:lang w:val="en-US" w:eastAsia="zh-CN"/>
              </w:rPr>
              <w:t>Cr</w:t>
            </w:r>
            <w:r>
              <w:rPr>
                <w:rFonts w:hint="eastAsia" w:cs="Times New Roman"/>
                <w:bCs/>
                <w:color w:val="auto"/>
                <w:sz w:val="24"/>
                <w:szCs w:val="24"/>
                <w:lang w:val="en-US" w:eastAsia="zh-CN" w:bidi="ar-SA"/>
              </w:rPr>
              <w:t>、BOD</w:t>
            </w:r>
            <w:r>
              <w:rPr>
                <w:rFonts w:hint="eastAsia" w:cs="Times New Roman"/>
                <w:bCs/>
                <w:color w:val="auto"/>
                <w:sz w:val="24"/>
                <w:szCs w:val="24"/>
                <w:vertAlign w:val="subscript"/>
                <w:lang w:val="en-US" w:eastAsia="zh-CN" w:bidi="ar-SA"/>
              </w:rPr>
              <w:t>5</w:t>
            </w:r>
            <w:r>
              <w:rPr>
                <w:rFonts w:hint="eastAsia" w:cs="Times New Roman"/>
                <w:bCs/>
                <w:color w:val="auto"/>
                <w:sz w:val="24"/>
                <w:szCs w:val="24"/>
                <w:lang w:val="en-US" w:eastAsia="zh-CN" w:bidi="ar-SA"/>
              </w:rPr>
              <w:t>、SS、NH</w:t>
            </w:r>
            <w:r>
              <w:rPr>
                <w:rFonts w:hint="eastAsia" w:cs="Times New Roman"/>
                <w:bCs/>
                <w:color w:val="auto"/>
                <w:sz w:val="24"/>
                <w:szCs w:val="24"/>
                <w:vertAlign w:val="subscript"/>
                <w:lang w:val="en-US" w:eastAsia="zh-CN" w:bidi="ar-SA"/>
              </w:rPr>
              <w:t>3</w:t>
            </w:r>
            <w:r>
              <w:rPr>
                <w:rFonts w:hint="eastAsia" w:cs="Times New Roman"/>
                <w:bCs/>
                <w:color w:val="auto"/>
                <w:sz w:val="24"/>
                <w:szCs w:val="24"/>
                <w:lang w:val="en-US" w:eastAsia="zh-CN" w:bidi="ar-SA"/>
              </w:rPr>
              <w:t>-N、TP、TN、动植物油，</w:t>
            </w:r>
            <w:r>
              <w:rPr>
                <w:rFonts w:hint="eastAsia" w:ascii="Times New Roman" w:hAnsi="Times New Roman" w:eastAsia="宋体" w:cs="Times New Roman"/>
                <w:color w:val="auto"/>
                <w:spacing w:val="6"/>
                <w:sz w:val="24"/>
                <w:szCs w:val="24"/>
                <w:highlight w:val="none"/>
                <w:lang w:eastAsia="zh-CN"/>
              </w:rPr>
              <w:t>成分比较简单，各污染因子浓度相对较低，</w:t>
            </w:r>
            <w:r>
              <w:rPr>
                <w:rFonts w:hint="eastAsia" w:cs="Times New Roman"/>
                <w:bCs/>
                <w:color w:val="auto"/>
                <w:sz w:val="24"/>
                <w:szCs w:val="24"/>
                <w:lang w:val="en-US" w:eastAsia="zh-CN" w:bidi="ar-SA"/>
              </w:rPr>
              <w:t>生活污水最大产生量为1.096m</w:t>
            </w:r>
            <w:r>
              <w:rPr>
                <w:rFonts w:hint="eastAsia" w:cs="Times New Roman"/>
                <w:bCs/>
                <w:color w:val="auto"/>
                <w:sz w:val="24"/>
                <w:szCs w:val="24"/>
                <w:vertAlign w:val="superscript"/>
                <w:lang w:val="en-US" w:eastAsia="zh-CN" w:bidi="ar-SA"/>
              </w:rPr>
              <w:t>3</w:t>
            </w:r>
            <w:r>
              <w:rPr>
                <w:rFonts w:hint="eastAsia" w:cs="Times New Roman"/>
                <w:bCs/>
                <w:color w:val="auto"/>
                <w:sz w:val="24"/>
                <w:szCs w:val="24"/>
                <w:lang w:val="en-US" w:eastAsia="zh-CN" w:bidi="ar-SA"/>
              </w:rPr>
              <w:t>/d</w:t>
            </w:r>
            <w:r>
              <w:rPr>
                <w:rFonts w:hint="eastAsia" w:ascii="Times New Roman" w:hAnsi="Times New Roman" w:eastAsia="宋体" w:cs="Times New Roman"/>
                <w:color w:val="auto"/>
                <w:spacing w:val="6"/>
                <w:sz w:val="24"/>
                <w:szCs w:val="24"/>
                <w:highlight w:val="none"/>
                <w:lang w:val="en-US" w:eastAsia="zh-CN"/>
              </w:rPr>
              <w:t>，项目设置</w:t>
            </w:r>
            <w:r>
              <w:rPr>
                <w:rFonts w:hint="eastAsia" w:cs="Times New Roman"/>
                <w:color w:val="auto"/>
                <w:spacing w:val="6"/>
                <w:sz w:val="24"/>
                <w:szCs w:val="24"/>
                <w:highlight w:val="none"/>
                <w:lang w:val="en-US" w:eastAsia="zh-CN"/>
              </w:rPr>
              <w:t>油水分离器+</w:t>
            </w:r>
            <w:r>
              <w:rPr>
                <w:rFonts w:hint="eastAsia" w:cs="Times New Roman"/>
                <w:bCs/>
                <w:color w:val="auto"/>
                <w:sz w:val="24"/>
                <w:szCs w:val="24"/>
                <w:lang w:val="en-US" w:eastAsia="zh-CN" w:bidi="ar-SA"/>
              </w:rPr>
              <w:t>化粪池预处理生活污水，</w:t>
            </w:r>
            <w:r>
              <w:rPr>
                <w:rFonts w:hint="eastAsia" w:cs="Times New Roman"/>
                <w:bCs/>
                <w:color w:val="FF0000"/>
                <w:sz w:val="24"/>
                <w:szCs w:val="24"/>
                <w:lang w:val="en-US" w:eastAsia="zh-CN" w:bidi="ar-SA"/>
              </w:rPr>
              <w:t>化粪池有效容积为5m</w:t>
            </w:r>
            <w:r>
              <w:rPr>
                <w:rFonts w:hint="eastAsia" w:cs="Times New Roman"/>
                <w:bCs/>
                <w:color w:val="FF0000"/>
                <w:sz w:val="24"/>
                <w:szCs w:val="24"/>
                <w:vertAlign w:val="superscript"/>
                <w:lang w:val="en-US" w:eastAsia="zh-CN" w:bidi="ar-SA"/>
              </w:rPr>
              <w:t>3</w:t>
            </w:r>
            <w:r>
              <w:rPr>
                <w:rFonts w:hint="eastAsia" w:cs="Times New Roman"/>
                <w:bCs/>
                <w:color w:val="FF0000"/>
                <w:sz w:val="24"/>
                <w:szCs w:val="24"/>
                <w:lang w:val="en-US" w:eastAsia="zh-CN" w:bidi="ar-SA"/>
              </w:rPr>
              <w:t>（5m</w:t>
            </w:r>
            <w:r>
              <w:rPr>
                <w:rFonts w:hint="default" w:ascii="Times New Roman" w:hAnsi="Times New Roman" w:cs="Times New Roman"/>
                <w:bCs/>
                <w:color w:val="FF0000"/>
                <w:sz w:val="24"/>
                <w:szCs w:val="24"/>
                <w:lang w:val="en-US" w:eastAsia="zh-CN" w:bidi="ar-SA"/>
              </w:rPr>
              <w:t>×</w:t>
            </w:r>
            <w:r>
              <w:rPr>
                <w:rFonts w:hint="eastAsia" w:cs="Times New Roman"/>
                <w:bCs/>
                <w:color w:val="FF0000"/>
                <w:sz w:val="24"/>
                <w:szCs w:val="24"/>
                <w:lang w:val="en-US" w:eastAsia="zh-CN" w:bidi="ar-SA"/>
              </w:rPr>
              <w:t>1m</w:t>
            </w:r>
            <w:r>
              <w:rPr>
                <w:rFonts w:hint="default" w:ascii="Times New Roman" w:hAnsi="Times New Roman" w:cs="Times New Roman"/>
                <w:bCs/>
                <w:color w:val="FF0000"/>
                <w:sz w:val="24"/>
                <w:szCs w:val="24"/>
                <w:lang w:val="en-US" w:eastAsia="zh-CN" w:bidi="ar-SA"/>
              </w:rPr>
              <w:t>×</w:t>
            </w:r>
            <w:r>
              <w:rPr>
                <w:rFonts w:hint="eastAsia" w:cs="Times New Roman"/>
                <w:bCs/>
                <w:color w:val="FF0000"/>
                <w:sz w:val="24"/>
                <w:szCs w:val="24"/>
                <w:lang w:val="en-US" w:eastAsia="zh-CN" w:bidi="ar-SA"/>
              </w:rPr>
              <w:t>1m）</w:t>
            </w:r>
            <w:r>
              <w:rPr>
                <w:rFonts w:hint="eastAsia" w:cs="Times New Roman"/>
                <w:bCs/>
                <w:color w:val="auto"/>
                <w:sz w:val="24"/>
                <w:szCs w:val="24"/>
                <w:lang w:val="en-US" w:eastAsia="zh-CN" w:bidi="ar-SA"/>
              </w:rPr>
              <w:t>，</w:t>
            </w:r>
            <w:r>
              <w:rPr>
                <w:rFonts w:hint="eastAsia" w:ascii="Times New Roman" w:hAnsi="Times New Roman" w:eastAsia="宋体" w:cs="Times New Roman"/>
                <w:color w:val="auto"/>
                <w:spacing w:val="6"/>
                <w:sz w:val="24"/>
                <w:szCs w:val="24"/>
                <w:highlight w:val="none"/>
                <w:lang w:val="en-US" w:eastAsia="zh-CN"/>
              </w:rPr>
              <w:t>化粪池为生活污水常规性处理措施；</w:t>
            </w:r>
            <w:r>
              <w:rPr>
                <w:rFonts w:hint="eastAsia" w:cs="Times New Roman"/>
                <w:bCs/>
                <w:color w:val="auto"/>
                <w:sz w:val="24"/>
                <w:szCs w:val="24"/>
                <w:lang w:val="en-US" w:eastAsia="zh-CN" w:bidi="ar-SA"/>
              </w:rPr>
              <w:t>地面冲洗废水主要污染物为SS、石油类，地面冲洗废水最大产生量为0.13m</w:t>
            </w:r>
            <w:r>
              <w:rPr>
                <w:rFonts w:hint="eastAsia" w:cs="Times New Roman"/>
                <w:bCs/>
                <w:color w:val="auto"/>
                <w:sz w:val="24"/>
                <w:szCs w:val="24"/>
                <w:vertAlign w:val="superscript"/>
                <w:lang w:val="en-US" w:eastAsia="zh-CN" w:bidi="ar-SA"/>
              </w:rPr>
              <w:t>3</w:t>
            </w:r>
            <w:r>
              <w:rPr>
                <w:rFonts w:hint="eastAsia" w:cs="Times New Roman"/>
                <w:bCs/>
                <w:color w:val="auto"/>
                <w:sz w:val="24"/>
                <w:szCs w:val="24"/>
                <w:lang w:val="en-US" w:eastAsia="zh-CN" w:bidi="ar-SA"/>
              </w:rPr>
              <w:t>/d，</w:t>
            </w:r>
            <w:r>
              <w:rPr>
                <w:rFonts w:hint="eastAsia" w:cs="Times New Roman"/>
                <w:bCs/>
                <w:color w:val="FF0000"/>
                <w:sz w:val="24"/>
                <w:szCs w:val="24"/>
                <w:lang w:val="en-US" w:eastAsia="zh-CN" w:bidi="ar-SA"/>
              </w:rPr>
              <w:t>隔油池有效容积为6m</w:t>
            </w:r>
            <w:r>
              <w:rPr>
                <w:rFonts w:hint="eastAsia" w:cs="Times New Roman"/>
                <w:bCs/>
                <w:color w:val="FF0000"/>
                <w:sz w:val="24"/>
                <w:szCs w:val="24"/>
                <w:vertAlign w:val="superscript"/>
                <w:lang w:val="en-US" w:eastAsia="zh-CN" w:bidi="ar-SA"/>
              </w:rPr>
              <w:t>3</w:t>
            </w:r>
            <w:r>
              <w:rPr>
                <w:rFonts w:hint="eastAsia" w:cs="Times New Roman"/>
                <w:bCs/>
                <w:color w:val="FF0000"/>
                <w:sz w:val="24"/>
                <w:szCs w:val="24"/>
                <w:lang w:val="en-US" w:eastAsia="zh-CN" w:bidi="ar-SA"/>
              </w:rPr>
              <w:t>（3m</w:t>
            </w:r>
            <w:r>
              <w:rPr>
                <w:rFonts w:hint="default" w:ascii="Times New Roman" w:hAnsi="Times New Roman" w:cs="Times New Roman"/>
                <w:bCs/>
                <w:color w:val="FF0000"/>
                <w:sz w:val="24"/>
                <w:szCs w:val="24"/>
                <w:lang w:val="en-US" w:eastAsia="zh-CN" w:bidi="ar-SA"/>
              </w:rPr>
              <w:t>×</w:t>
            </w:r>
            <w:r>
              <w:rPr>
                <w:rFonts w:hint="eastAsia" w:cs="Times New Roman"/>
                <w:bCs/>
                <w:color w:val="FF0000"/>
                <w:sz w:val="24"/>
                <w:szCs w:val="24"/>
                <w:lang w:val="en-US" w:eastAsia="zh-CN" w:bidi="ar-SA"/>
              </w:rPr>
              <w:t>2m</w:t>
            </w:r>
            <w:r>
              <w:rPr>
                <w:rFonts w:hint="default" w:ascii="Times New Roman" w:hAnsi="Times New Roman" w:cs="Times New Roman"/>
                <w:bCs/>
                <w:color w:val="FF0000"/>
                <w:sz w:val="24"/>
                <w:szCs w:val="24"/>
                <w:lang w:val="en-US" w:eastAsia="zh-CN" w:bidi="ar-SA"/>
              </w:rPr>
              <w:t>×</w:t>
            </w:r>
            <w:r>
              <w:rPr>
                <w:rFonts w:hint="eastAsia" w:cs="Times New Roman"/>
                <w:bCs/>
                <w:color w:val="FF0000"/>
                <w:sz w:val="24"/>
                <w:szCs w:val="24"/>
                <w:lang w:val="en-US" w:eastAsia="zh-CN" w:bidi="ar-SA"/>
              </w:rPr>
              <w:t>1m）</w:t>
            </w:r>
            <w:r>
              <w:rPr>
                <w:rFonts w:hint="eastAsia" w:cs="Times New Roman"/>
                <w:bCs/>
                <w:color w:val="auto"/>
                <w:sz w:val="24"/>
                <w:szCs w:val="24"/>
                <w:lang w:val="en-US" w:eastAsia="zh-CN" w:bidi="ar-SA"/>
              </w:rPr>
              <w:t>，隔油池为SS、石油类常规性、针对性处理措施；洗车废水主要污染物为pH、</w:t>
            </w:r>
            <w:r>
              <w:rPr>
                <w:rFonts w:hint="eastAsia"/>
              </w:rPr>
              <w:t>COD</w:t>
            </w:r>
            <w:r>
              <w:rPr>
                <w:rFonts w:hint="eastAsia"/>
                <w:vertAlign w:val="subscript"/>
                <w:lang w:val="en-US" w:eastAsia="zh-CN"/>
              </w:rPr>
              <w:t>Cr</w:t>
            </w:r>
            <w:r>
              <w:rPr>
                <w:rFonts w:hint="eastAsia" w:cs="Times New Roman"/>
                <w:bCs/>
                <w:color w:val="auto"/>
                <w:sz w:val="24"/>
                <w:szCs w:val="24"/>
                <w:lang w:val="en-US" w:eastAsia="zh-CN" w:bidi="ar-SA"/>
              </w:rPr>
              <w:t>、BOD</w:t>
            </w:r>
            <w:r>
              <w:rPr>
                <w:rFonts w:hint="eastAsia" w:cs="Times New Roman"/>
                <w:bCs/>
                <w:color w:val="auto"/>
                <w:sz w:val="24"/>
                <w:szCs w:val="24"/>
                <w:vertAlign w:val="subscript"/>
                <w:lang w:val="en-US" w:eastAsia="zh-CN" w:bidi="ar-SA"/>
              </w:rPr>
              <w:t>5</w:t>
            </w:r>
            <w:r>
              <w:rPr>
                <w:rFonts w:hint="eastAsia" w:cs="Times New Roman"/>
                <w:bCs/>
                <w:color w:val="auto"/>
                <w:sz w:val="24"/>
                <w:szCs w:val="24"/>
                <w:lang w:val="en-US" w:eastAsia="zh-CN" w:bidi="ar-SA"/>
              </w:rPr>
              <w:t>、SS、石油类、LAS，洗车废水最大产生量为0.56m</w:t>
            </w:r>
            <w:r>
              <w:rPr>
                <w:rFonts w:hint="eastAsia" w:cs="Times New Roman"/>
                <w:bCs/>
                <w:color w:val="auto"/>
                <w:sz w:val="24"/>
                <w:szCs w:val="24"/>
                <w:vertAlign w:val="superscript"/>
                <w:lang w:val="en-US" w:eastAsia="zh-CN" w:bidi="ar-SA"/>
              </w:rPr>
              <w:t>3</w:t>
            </w:r>
            <w:r>
              <w:rPr>
                <w:rFonts w:hint="eastAsia" w:cs="Times New Roman"/>
                <w:bCs/>
                <w:color w:val="auto"/>
                <w:sz w:val="24"/>
                <w:szCs w:val="24"/>
                <w:lang w:val="en-US" w:eastAsia="zh-CN" w:bidi="ar-SA"/>
              </w:rPr>
              <w:t>/d，</w:t>
            </w:r>
            <w:r>
              <w:rPr>
                <w:rFonts w:hint="eastAsia"/>
                <w:color w:val="FF0000"/>
                <w:lang w:val="en-US" w:eastAsia="zh-CN"/>
              </w:rPr>
              <w:t>一体化（</w:t>
            </w:r>
            <w:r>
              <w:rPr>
                <w:rFonts w:hint="default" w:ascii="Times New Roman" w:hAnsi="Times New Roman" w:cs="Times New Roman"/>
                <w:color w:val="FF0000"/>
                <w:lang w:val="en-US" w:eastAsia="zh-CN"/>
              </w:rPr>
              <w:t>MBR</w:t>
            </w:r>
            <w:r>
              <w:rPr>
                <w:rFonts w:hint="eastAsia"/>
                <w:color w:val="FF0000"/>
                <w:lang w:val="en-US" w:eastAsia="zh-CN"/>
              </w:rPr>
              <w:t>）洗车废水处理设施设计处理规模为1</w:t>
            </w:r>
            <w:r>
              <w:rPr>
                <w:rFonts w:hint="eastAsia" w:cs="Times New Roman"/>
                <w:bCs/>
                <w:color w:val="FF0000"/>
                <w:sz w:val="24"/>
                <w:szCs w:val="24"/>
                <w:lang w:val="en-US" w:eastAsia="zh-CN" w:bidi="ar-SA"/>
              </w:rPr>
              <w:t>m</w:t>
            </w:r>
            <w:r>
              <w:rPr>
                <w:rFonts w:hint="eastAsia" w:cs="Times New Roman"/>
                <w:bCs/>
                <w:color w:val="FF0000"/>
                <w:sz w:val="24"/>
                <w:szCs w:val="24"/>
                <w:vertAlign w:val="superscript"/>
                <w:lang w:val="en-US" w:eastAsia="zh-CN" w:bidi="ar-SA"/>
              </w:rPr>
              <w:t>3</w:t>
            </w:r>
            <w:r>
              <w:rPr>
                <w:rFonts w:hint="eastAsia" w:cs="Times New Roman"/>
                <w:bCs/>
                <w:color w:val="FF0000"/>
                <w:sz w:val="24"/>
                <w:szCs w:val="24"/>
                <w:lang w:val="en-US" w:eastAsia="zh-CN" w:bidi="ar-SA"/>
              </w:rPr>
              <w:t>/d，</w:t>
            </w:r>
            <w:r>
              <w:rPr>
                <w:rFonts w:hint="eastAsia" w:cs="Times New Roman"/>
                <w:bCs/>
                <w:color w:val="auto"/>
                <w:sz w:val="24"/>
                <w:szCs w:val="24"/>
                <w:lang w:val="en-US" w:eastAsia="zh-CN" w:bidi="ar-SA"/>
              </w:rPr>
              <w:t>满足地面冲洗废水和洗车废水最大日处理量要求。</w:t>
            </w:r>
          </w:p>
          <w:p w14:paraId="0F1FA976">
            <w:pPr>
              <w:spacing w:line="360"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一体化（MBR）</w:t>
            </w:r>
            <w:r>
              <w:rPr>
                <w:rFonts w:hint="eastAsia" w:ascii="Times New Roman" w:hAnsi="Times New Roman" w:eastAsia="宋体"/>
                <w:color w:val="000000" w:themeColor="text1"/>
                <w:sz w:val="24"/>
                <w:lang w:val="en-US" w:eastAsia="zh-CN"/>
                <w14:textFill>
                  <w14:solidFill>
                    <w14:schemeClr w14:val="tx1"/>
                  </w14:solidFill>
                </w14:textFill>
              </w:rPr>
              <w:t>洗车废水</w:t>
            </w:r>
            <w:r>
              <w:rPr>
                <w:rFonts w:hint="eastAsia" w:ascii="Times New Roman" w:hAnsi="Times New Roman" w:eastAsia="宋体"/>
                <w:color w:val="000000" w:themeColor="text1"/>
                <w:sz w:val="24"/>
                <w14:textFill>
                  <w14:solidFill>
                    <w14:schemeClr w14:val="tx1"/>
                  </w14:solidFill>
                </w14:textFill>
              </w:rPr>
              <w:t>处理</w:t>
            </w:r>
            <w:r>
              <w:rPr>
                <w:rFonts w:hint="eastAsia"/>
                <w:lang w:val="en-US" w:eastAsia="zh-CN"/>
              </w:rPr>
              <w:t>设施</w:t>
            </w:r>
            <w:r>
              <w:rPr>
                <w:rFonts w:hint="eastAsia" w:ascii="Times New Roman" w:hAnsi="Times New Roman" w:eastAsia="宋体"/>
                <w:color w:val="000000" w:themeColor="text1"/>
                <w:sz w:val="24"/>
                <w14:textFill>
                  <w14:solidFill>
                    <w14:schemeClr w14:val="tx1"/>
                  </w14:solidFill>
                </w14:textFill>
              </w:rPr>
              <w:t>处理工艺：格栅</w:t>
            </w:r>
            <w:r>
              <w:rPr>
                <w:rFonts w:ascii="Times New Roman" w:hAnsi="Times New Roman" w:eastAsia="宋体" w:cs="Times New Roman"/>
                <w:color w:val="000000" w:themeColor="text1"/>
                <w:sz w:val="24"/>
                <w14:textFill>
                  <w14:solidFill>
                    <w14:schemeClr w14:val="tx1"/>
                  </w14:solidFill>
                </w14:textFill>
              </w:rPr>
              <w:t>—</w:t>
            </w:r>
            <w:r>
              <w:rPr>
                <w:rFonts w:hint="eastAsia" w:ascii="Times New Roman" w:hAnsi="Times New Roman" w:eastAsia="宋体"/>
                <w:color w:val="000000" w:themeColor="text1"/>
                <w:sz w:val="24"/>
                <w14:textFill>
                  <w14:solidFill>
                    <w14:schemeClr w14:val="tx1"/>
                  </w14:solidFill>
                </w14:textFill>
              </w:rPr>
              <w:t>沉淀调节池</w:t>
            </w:r>
            <w:r>
              <w:rPr>
                <w:rFonts w:ascii="Times New Roman" w:hAnsi="Times New Roman" w:eastAsia="宋体" w:cs="Times New Roman"/>
                <w:color w:val="000000" w:themeColor="text1"/>
                <w:sz w:val="24"/>
                <w14:textFill>
                  <w14:solidFill>
                    <w14:schemeClr w14:val="tx1"/>
                  </w14:solidFill>
                </w14:textFill>
              </w:rPr>
              <w:t>—</w:t>
            </w:r>
            <w:r>
              <w:rPr>
                <w:rFonts w:hint="eastAsia" w:ascii="Times New Roman" w:hAnsi="Times New Roman" w:eastAsia="宋体"/>
                <w:color w:val="000000" w:themeColor="text1"/>
                <w:sz w:val="24"/>
                <w14:textFill>
                  <w14:solidFill>
                    <w14:schemeClr w14:val="tx1"/>
                  </w14:solidFill>
                </w14:textFill>
              </w:rPr>
              <w:t>MBR反应器（兼氧区、膜滤区、设备区、清水区）</w:t>
            </w:r>
            <w:r>
              <w:rPr>
                <w:rFonts w:ascii="Times New Roman" w:hAnsi="Times New Roman" w:eastAsia="宋体" w:cs="Times New Roman"/>
                <w:color w:val="000000" w:themeColor="text1"/>
                <w:sz w:val="24"/>
                <w14:textFill>
                  <w14:solidFill>
                    <w14:schemeClr w14:val="tx1"/>
                  </w14:solidFill>
                </w14:textFill>
              </w:rPr>
              <w:t>—</w:t>
            </w:r>
            <w:r>
              <w:rPr>
                <w:rFonts w:hint="eastAsia" w:ascii="Times New Roman" w:hAnsi="Times New Roman" w:eastAsia="宋体"/>
                <w:color w:val="000000" w:themeColor="text1"/>
                <w:sz w:val="24"/>
                <w14:textFill>
                  <w14:solidFill>
                    <w14:schemeClr w14:val="tx1"/>
                  </w14:solidFill>
                </w14:textFill>
              </w:rPr>
              <w:t>回用。</w:t>
            </w:r>
            <w:r>
              <w:rPr>
                <w:rFonts w:hint="eastAsia" w:cs="Times New Roman"/>
                <w:bCs/>
                <w:color w:val="auto"/>
                <w:sz w:val="24"/>
                <w:szCs w:val="24"/>
                <w:lang w:val="en-US" w:eastAsia="zh-CN" w:bidi="ar-SA"/>
              </w:rPr>
              <w:t>地面冲洗废水和</w:t>
            </w:r>
            <w:r>
              <w:rPr>
                <w:rFonts w:hint="eastAsia" w:ascii="Times New Roman" w:hAnsi="Times New Roman" w:eastAsia="宋体"/>
                <w:color w:val="000000" w:themeColor="text1"/>
                <w:sz w:val="24"/>
                <w14:textFill>
                  <w14:solidFill>
                    <w14:schemeClr w14:val="tx1"/>
                  </w14:solidFill>
                </w14:textFill>
              </w:rPr>
              <w:t>洗车废水首先通过格栅去除水中较大的悬浮物，经沉淀调节后泵入MBR反应器，污水经过兼氧活性污泥降解，后经过膜滤区吸附过滤，经设备区水泵泵入清水区用于回用。</w:t>
            </w:r>
          </w:p>
          <w:p w14:paraId="4CB4DBDF">
            <w:pPr>
              <w:spacing w:line="360"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工艺特点：</w:t>
            </w:r>
          </w:p>
          <w:p w14:paraId="5163E934">
            <w:pPr>
              <w:spacing w:line="360"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①处理过程中不使用任何化学药品和药剂，无二次污染；</w:t>
            </w:r>
          </w:p>
          <w:p w14:paraId="00F65F03">
            <w:pPr>
              <w:spacing w:line="360"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②去除效率高，油污分离达95%以上，SS去除率大于95%，</w:t>
            </w:r>
            <w:r>
              <w:rPr>
                <w:rFonts w:hint="eastAsia"/>
              </w:rPr>
              <w:t>COD</w:t>
            </w:r>
            <w:r>
              <w:rPr>
                <w:rFonts w:hint="eastAsia"/>
                <w:vertAlign w:val="subscript"/>
                <w:lang w:val="en-US" w:eastAsia="zh-CN"/>
              </w:rPr>
              <w:t>Cr</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BOD</w:t>
            </w:r>
            <w:r>
              <w:rPr>
                <w:rFonts w:hint="eastAsia"/>
                <w:color w:val="000000" w:themeColor="text1"/>
                <w:sz w:val="24"/>
                <w:vertAlign w:val="subscript"/>
                <w:lang w:val="en-US" w:eastAsia="zh-CN"/>
                <w14:textFill>
                  <w14:solidFill>
                    <w14:schemeClr w14:val="tx1"/>
                  </w14:solidFill>
                </w14:textFill>
              </w:rPr>
              <w:t>5</w:t>
            </w:r>
            <w:r>
              <w:rPr>
                <w:rFonts w:hint="eastAsia" w:ascii="Times New Roman" w:hAnsi="Times New Roman" w:eastAsia="宋体"/>
                <w:color w:val="000000" w:themeColor="text1"/>
                <w:sz w:val="24"/>
                <w14:textFill>
                  <w14:solidFill>
                    <w14:schemeClr w14:val="tx1"/>
                  </w14:solidFill>
                </w14:textFill>
              </w:rPr>
              <w:t>去除率大于90%，浊度去除率大于99%，LAS去除率大于9</w:t>
            </w:r>
            <w:r>
              <w:rPr>
                <w:rFonts w:hint="eastAsia"/>
                <w:color w:val="000000" w:themeColor="text1"/>
                <w:sz w:val="24"/>
                <w:lang w:val="en-US" w:eastAsia="zh-CN"/>
                <w14:textFill>
                  <w14:solidFill>
                    <w14:schemeClr w14:val="tx1"/>
                  </w14:solidFill>
                </w14:textFill>
              </w:rPr>
              <w:t>0</w:t>
            </w:r>
            <w:r>
              <w:rPr>
                <w:rFonts w:hint="eastAsia" w:ascii="Times New Roman" w:hAnsi="Times New Roman" w:eastAsia="宋体"/>
                <w:color w:val="000000" w:themeColor="text1"/>
                <w:sz w:val="24"/>
                <w14:textFill>
                  <w14:solidFill>
                    <w14:schemeClr w14:val="tx1"/>
                  </w14:solidFill>
                </w14:textFill>
              </w:rPr>
              <w:t>%；项目</w:t>
            </w:r>
            <w:r>
              <w:rPr>
                <w:rFonts w:hint="eastAsia" w:cs="Times New Roman"/>
                <w:bCs/>
                <w:color w:val="auto"/>
                <w:sz w:val="24"/>
                <w:szCs w:val="24"/>
                <w:lang w:val="en-US" w:eastAsia="zh-CN" w:bidi="ar-SA"/>
              </w:rPr>
              <w:t>地面冲洗废水和</w:t>
            </w:r>
            <w:r>
              <w:rPr>
                <w:rFonts w:hint="eastAsia" w:ascii="Times New Roman" w:hAnsi="Times New Roman" w:eastAsia="宋体"/>
                <w:color w:val="000000" w:themeColor="text1"/>
                <w:sz w:val="24"/>
                <w14:textFill>
                  <w14:solidFill>
                    <w14:schemeClr w14:val="tx1"/>
                  </w14:solidFill>
                </w14:textFill>
              </w:rPr>
              <w:t>洗车废水经一体化（MBR）</w:t>
            </w:r>
            <w:r>
              <w:rPr>
                <w:rFonts w:hint="eastAsia" w:ascii="Times New Roman" w:hAnsi="Times New Roman" w:eastAsia="宋体"/>
                <w:color w:val="000000" w:themeColor="text1"/>
                <w:sz w:val="24"/>
                <w:lang w:val="en-US" w:eastAsia="zh-CN"/>
                <w14:textFill>
                  <w14:solidFill>
                    <w14:schemeClr w14:val="tx1"/>
                  </w14:solidFill>
                </w14:textFill>
              </w:rPr>
              <w:t>洗车废水</w:t>
            </w:r>
            <w:r>
              <w:rPr>
                <w:rFonts w:hint="eastAsia" w:ascii="Times New Roman" w:hAnsi="Times New Roman" w:eastAsia="宋体"/>
                <w:color w:val="000000" w:themeColor="text1"/>
                <w:sz w:val="24"/>
                <w14:textFill>
                  <w14:solidFill>
                    <w14:schemeClr w14:val="tx1"/>
                  </w14:solidFill>
                </w14:textFill>
              </w:rPr>
              <w:t>处理</w:t>
            </w:r>
            <w:r>
              <w:rPr>
                <w:rFonts w:hint="eastAsia"/>
                <w:lang w:val="en-US" w:eastAsia="zh-CN"/>
              </w:rPr>
              <w:t>设施</w:t>
            </w:r>
            <w:r>
              <w:rPr>
                <w:rFonts w:hint="eastAsia" w:ascii="Times New Roman" w:hAnsi="Times New Roman" w:eastAsia="宋体"/>
                <w:color w:val="000000" w:themeColor="text1"/>
                <w:sz w:val="24"/>
                <w14:textFill>
                  <w14:solidFill>
                    <w14:schemeClr w14:val="tx1"/>
                  </w14:solidFill>
                </w14:textFill>
              </w:rPr>
              <w:t>处理后满足《城市污水再生利用 城市杂用水水质》（GB/T18920-2020）中车辆冲洗水质标准要求；</w:t>
            </w:r>
          </w:p>
          <w:p w14:paraId="06A7B7E1">
            <w:pPr>
              <w:spacing w:line="360"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③占地面积小，操作简单，后期维护费用低；</w:t>
            </w:r>
          </w:p>
          <w:p w14:paraId="6B45F8A5">
            <w:pPr>
              <w:spacing w:line="360"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④全/半自动化运行，管理方便。</w:t>
            </w:r>
          </w:p>
          <w:p w14:paraId="5EF33AC9">
            <w:pPr>
              <w:pStyle w:val="74"/>
              <w:spacing w:line="360" w:lineRule="auto"/>
              <w:ind w:firstLine="480" w:firstLineChars="200"/>
              <w:jc w:val="both"/>
              <w:rPr>
                <w:rFonts w:hint="default" w:ascii="Times New Roman" w:cs="Times New Roman"/>
                <w:bCs/>
                <w:lang w:val="en-US"/>
              </w:rPr>
            </w:pPr>
            <w:r>
              <w:rPr>
                <w:rFonts w:hint="eastAsia" w:ascii="Times New Roman" w:hAnsi="Times New Roman" w:eastAsia="宋体"/>
                <w:color w:val="000000" w:themeColor="text1"/>
                <w:sz w:val="24"/>
                <w14:textFill>
                  <w14:solidFill>
                    <w14:schemeClr w14:val="tx1"/>
                  </w14:solidFill>
                </w14:textFill>
              </w:rPr>
              <w:t>针对一体化（MBR）</w:t>
            </w:r>
            <w:r>
              <w:rPr>
                <w:rFonts w:hint="eastAsia" w:ascii="Times New Roman" w:hAnsi="Times New Roman" w:eastAsia="宋体"/>
                <w:color w:val="000000" w:themeColor="text1"/>
                <w:sz w:val="24"/>
                <w:lang w:val="en-US" w:eastAsia="zh-CN"/>
                <w14:textFill>
                  <w14:solidFill>
                    <w14:schemeClr w14:val="tx1"/>
                  </w14:solidFill>
                </w14:textFill>
              </w:rPr>
              <w:t>洗车废水</w:t>
            </w:r>
            <w:r>
              <w:rPr>
                <w:rFonts w:hint="eastAsia" w:ascii="Times New Roman" w:hAnsi="Times New Roman" w:eastAsia="宋体"/>
                <w:color w:val="000000" w:themeColor="text1"/>
                <w:sz w:val="24"/>
                <w14:textFill>
                  <w14:solidFill>
                    <w14:schemeClr w14:val="tx1"/>
                  </w14:solidFill>
                </w14:textFill>
              </w:rPr>
              <w:t>处理</w:t>
            </w:r>
            <w:r>
              <w:rPr>
                <w:rFonts w:hint="eastAsia"/>
                <w:lang w:val="en-US" w:eastAsia="zh-CN"/>
              </w:rPr>
              <w:t>设施</w:t>
            </w:r>
            <w:r>
              <w:rPr>
                <w:rFonts w:hint="eastAsia" w:ascii="Times New Roman" w:hAnsi="Times New Roman" w:eastAsia="宋体"/>
                <w:color w:val="000000" w:themeColor="text1"/>
                <w:sz w:val="24"/>
                <w14:textFill>
                  <w14:solidFill>
                    <w14:schemeClr w14:val="tx1"/>
                  </w14:solidFill>
                </w14:textFill>
              </w:rPr>
              <w:t>，本次</w:t>
            </w:r>
            <w:r>
              <w:rPr>
                <w:rFonts w:hint="eastAsia" w:ascii="Times New Roman" w:hAnsi="Times New Roman" w:eastAsia="宋体"/>
                <w:color w:val="000000" w:themeColor="text1"/>
                <w:sz w:val="24"/>
                <w:lang w:val="en-US" w:eastAsia="zh-CN"/>
                <w14:textFill>
                  <w14:solidFill>
                    <w14:schemeClr w14:val="tx1"/>
                  </w14:solidFill>
                </w14:textFill>
              </w:rPr>
              <w:t>评价</w:t>
            </w:r>
            <w:r>
              <w:rPr>
                <w:rFonts w:hint="eastAsia" w:ascii="Times New Roman" w:hAnsi="Times New Roman" w:eastAsia="宋体"/>
                <w:color w:val="000000" w:themeColor="text1"/>
                <w:sz w:val="24"/>
                <w14:textFill>
                  <w14:solidFill>
                    <w14:schemeClr w14:val="tx1"/>
                  </w14:solidFill>
                </w14:textFill>
              </w:rPr>
              <w:t>要求建设单位须委托有资质的单位进行设计、施工，保证废水水质达到《城市污水再生利用 城市杂用水水质》（GB/T18920-2020）中车辆冲洗水质标准要求后回用于洗车。</w:t>
            </w:r>
          </w:p>
          <w:p w14:paraId="7CF18095">
            <w:pPr>
              <w:pStyle w:val="54"/>
              <w:numPr>
                <w:ilvl w:val="0"/>
                <w:numId w:val="0"/>
              </w:numPr>
              <w:tabs>
                <w:tab w:val="left" w:pos="7821"/>
              </w:tabs>
              <w:ind w:leftChars="200"/>
              <w:rPr>
                <w:rFonts w:hint="default"/>
                <w:spacing w:val="4"/>
                <w:kern w:val="0"/>
                <w:lang w:val="en-US"/>
              </w:rPr>
            </w:pPr>
            <w:r>
              <w:rPr>
                <w:rFonts w:hint="default" w:ascii="Times New Roman" w:hAnsi="Times New Roman" w:cs="Times New Roman"/>
                <w:color w:val="auto"/>
                <w:spacing w:val="6"/>
                <w:sz w:val="24"/>
                <w:szCs w:val="24"/>
                <w:highlight w:val="none"/>
                <w:lang w:val="en-US" w:eastAsia="zh-CN"/>
              </w:rPr>
              <w:t>2</w:t>
            </w:r>
            <w:r>
              <w:rPr>
                <w:rFonts w:hint="eastAsia" w:ascii="宋体" w:hAnsi="宋体" w:cs="宋体"/>
                <w:color w:val="auto"/>
                <w:spacing w:val="6"/>
                <w:sz w:val="24"/>
                <w:szCs w:val="24"/>
                <w:highlight w:val="none"/>
                <w:lang w:val="en-US" w:eastAsia="zh-CN"/>
              </w:rPr>
              <w:t>）依托红心村生活污水处理站</w:t>
            </w:r>
            <w:r>
              <w:rPr>
                <w:rFonts w:hint="eastAsia" w:ascii="宋体" w:hAnsi="宋体" w:eastAsia="宋体" w:cs="宋体"/>
                <w:color w:val="auto"/>
                <w:spacing w:val="6"/>
                <w:sz w:val="24"/>
                <w:szCs w:val="24"/>
                <w:highlight w:val="none"/>
                <w:lang w:val="en-US" w:eastAsia="zh-CN"/>
              </w:rPr>
              <w:t>可行性分析</w:t>
            </w:r>
          </w:p>
          <w:p w14:paraId="3C6A56A5">
            <w:pPr>
              <w:spacing w:line="348" w:lineRule="auto"/>
              <w:ind w:firstLine="504" w:firstLineChars="200"/>
              <w:rPr>
                <w:color w:val="FF0000"/>
                <w:sz w:val="24"/>
              </w:rPr>
            </w:pPr>
            <w:r>
              <w:rPr>
                <w:rFonts w:hint="eastAsia" w:ascii="宋体" w:hAnsi="宋体" w:cs="宋体"/>
                <w:color w:val="auto"/>
                <w:spacing w:val="6"/>
                <w:sz w:val="24"/>
                <w:szCs w:val="24"/>
                <w:highlight w:val="none"/>
                <w:lang w:val="en-US" w:eastAsia="zh-CN"/>
              </w:rPr>
              <w:t>红心村生活污水处理站</w:t>
            </w:r>
            <w:r>
              <w:rPr>
                <w:rFonts w:hint="eastAsia"/>
                <w:color w:val="auto"/>
                <w:sz w:val="24"/>
                <w:lang w:val="en-US" w:eastAsia="zh-CN"/>
              </w:rPr>
              <w:t>位于柴桑区城门街道红心村</w:t>
            </w:r>
            <w:r>
              <w:rPr>
                <w:color w:val="auto"/>
                <w:sz w:val="24"/>
              </w:rPr>
              <w:t>，</w:t>
            </w:r>
            <w:r>
              <w:rPr>
                <w:rFonts w:hint="eastAsia"/>
                <w:color w:val="auto"/>
                <w:sz w:val="24"/>
                <w:lang w:val="en-US" w:eastAsia="zh-CN"/>
              </w:rPr>
              <w:t>设计</w:t>
            </w:r>
            <w:r>
              <w:rPr>
                <w:color w:val="auto"/>
                <w:sz w:val="24"/>
              </w:rPr>
              <w:t>日处理污水</w:t>
            </w:r>
            <w:r>
              <w:rPr>
                <w:rFonts w:hint="eastAsia"/>
                <w:color w:val="auto"/>
                <w:sz w:val="24"/>
                <w:lang w:val="en-US" w:eastAsia="zh-CN"/>
              </w:rPr>
              <w:t>量为200t</w:t>
            </w:r>
            <w:r>
              <w:rPr>
                <w:color w:val="auto"/>
                <w:sz w:val="24"/>
              </w:rPr>
              <w:t>/</w:t>
            </w:r>
            <w:r>
              <w:rPr>
                <w:rFonts w:hint="eastAsia"/>
                <w:color w:val="auto"/>
                <w:sz w:val="24"/>
                <w:lang w:val="en-US" w:eastAsia="zh-CN"/>
              </w:rPr>
              <w:t>d</w:t>
            </w:r>
            <w:r>
              <w:rPr>
                <w:color w:val="auto"/>
                <w:sz w:val="24"/>
              </w:rPr>
              <w:t>，</w:t>
            </w:r>
            <w:r>
              <w:rPr>
                <w:rFonts w:hint="eastAsia"/>
                <w:color w:val="auto"/>
                <w:sz w:val="24"/>
                <w:lang w:val="en-US" w:eastAsia="zh-CN"/>
              </w:rPr>
              <w:t>服务人口为3000人，目前红心村常住人口为1200人，剩余日处理污水量为120t</w:t>
            </w:r>
            <w:r>
              <w:rPr>
                <w:color w:val="auto"/>
                <w:sz w:val="24"/>
              </w:rPr>
              <w:t>/</w:t>
            </w:r>
            <w:r>
              <w:rPr>
                <w:rFonts w:hint="eastAsia"/>
                <w:color w:val="auto"/>
                <w:sz w:val="24"/>
                <w:lang w:val="en-US" w:eastAsia="zh-CN"/>
              </w:rPr>
              <w:t>d。</w:t>
            </w:r>
            <w:r>
              <w:rPr>
                <w:rFonts w:hint="eastAsia" w:ascii="宋体" w:hAnsi="宋体" w:cs="宋体"/>
                <w:color w:val="auto"/>
                <w:spacing w:val="6"/>
                <w:sz w:val="24"/>
                <w:szCs w:val="24"/>
                <w:highlight w:val="none"/>
                <w:lang w:val="en-US" w:eastAsia="zh-CN"/>
              </w:rPr>
              <w:t>红心村生活污水处理站</w:t>
            </w:r>
            <w:r>
              <w:rPr>
                <w:color w:val="auto"/>
                <w:sz w:val="24"/>
              </w:rPr>
              <w:t>采用</w:t>
            </w:r>
            <w:r>
              <w:rPr>
                <w:rFonts w:hint="eastAsia" w:ascii="宋体" w:hAnsi="宋体" w:eastAsia="宋体" w:cs="宋体"/>
                <w:color w:val="auto"/>
                <w:sz w:val="24"/>
              </w:rPr>
              <w:t>“</w:t>
            </w:r>
            <w:r>
              <w:rPr>
                <w:rFonts w:hint="eastAsia"/>
                <w:color w:val="auto"/>
                <w:sz w:val="24"/>
              </w:rPr>
              <w:t>格栅沉渣池</w:t>
            </w:r>
            <w:r>
              <w:rPr>
                <w:rFonts w:hint="eastAsia" w:cs="Times New Roman"/>
                <w:b w:val="0"/>
                <w:bCs w:val="0"/>
                <w:sz w:val="24"/>
                <w:szCs w:val="24"/>
                <w:lang w:val="en-US" w:eastAsia="zh-CN"/>
              </w:rPr>
              <w:t>+缺氧池+一级氧化池+二级氧化池+沉淀池+生态沟或生态塘</w:t>
            </w:r>
            <w:r>
              <w:rPr>
                <w:rFonts w:hint="eastAsia" w:ascii="宋体" w:hAnsi="宋体" w:eastAsia="宋体" w:cs="宋体"/>
                <w:color w:val="auto"/>
                <w:sz w:val="24"/>
              </w:rPr>
              <w:t>”</w:t>
            </w:r>
            <w:r>
              <w:rPr>
                <w:rFonts w:hint="eastAsia"/>
                <w:color w:val="auto"/>
                <w:sz w:val="24"/>
                <w:lang w:val="en-US" w:eastAsia="zh-CN"/>
              </w:rPr>
              <w:t>处理工艺</w:t>
            </w:r>
            <w:r>
              <w:rPr>
                <w:color w:val="auto"/>
                <w:sz w:val="24"/>
              </w:rPr>
              <w:t>，主要处理生活污水，尾水达到《城镇污水处理厂污染物排放标准》（GB18918-2002）</w:t>
            </w:r>
            <w:r>
              <w:rPr>
                <w:rFonts w:hint="eastAsia"/>
                <w:color w:val="auto"/>
                <w:sz w:val="24"/>
              </w:rPr>
              <w:t>及其修改单</w:t>
            </w:r>
            <w:r>
              <w:rPr>
                <w:rFonts w:hint="eastAsia"/>
                <w:color w:val="auto"/>
                <w:highlight w:val="none"/>
                <w:lang w:val="en-US" w:eastAsia="zh-CN"/>
              </w:rPr>
              <w:t>中</w:t>
            </w:r>
            <w:r>
              <w:rPr>
                <w:color w:val="auto"/>
                <w:sz w:val="24"/>
              </w:rPr>
              <w:t>一级</w:t>
            </w:r>
            <w:r>
              <w:rPr>
                <w:rFonts w:hint="eastAsia" w:cs="Times New Roman"/>
                <w:color w:val="auto"/>
                <w:sz w:val="24"/>
                <w:lang w:val="en-US" w:eastAsia="zh-CN"/>
              </w:rPr>
              <w:t>B</w:t>
            </w:r>
            <w:r>
              <w:rPr>
                <w:color w:val="auto"/>
                <w:sz w:val="24"/>
              </w:rPr>
              <w:t>标准</w:t>
            </w:r>
            <w:r>
              <w:rPr>
                <w:rFonts w:hint="eastAsia"/>
                <w:color w:val="auto"/>
                <w:sz w:val="24"/>
                <w:lang w:val="en-US" w:eastAsia="zh-CN"/>
              </w:rPr>
              <w:t>排放</w:t>
            </w:r>
            <w:r>
              <w:rPr>
                <w:rFonts w:hint="eastAsia" w:cs="Times New Roman"/>
                <w:color w:val="auto"/>
                <w:highlight w:val="none"/>
                <w:u w:val="none"/>
                <w:lang w:val="en-US" w:eastAsia="zh-CN"/>
              </w:rPr>
              <w:t>，最终排入赛城湖</w:t>
            </w:r>
            <w:r>
              <w:rPr>
                <w:color w:val="auto"/>
                <w:sz w:val="24"/>
              </w:rPr>
              <w:t>。</w:t>
            </w:r>
          </w:p>
          <w:p w14:paraId="42F7E6B3">
            <w:pPr>
              <w:pStyle w:val="74"/>
              <w:spacing w:line="360" w:lineRule="auto"/>
              <w:ind w:firstLine="480" w:firstLineChars="200"/>
              <w:jc w:val="both"/>
              <w:rPr>
                <w:rFonts w:hint="default" w:ascii="Times New Roman" w:cs="Times New Roman"/>
                <w:bCs/>
                <w:color w:val="auto"/>
                <w:lang w:val="en-US"/>
              </w:rPr>
            </w:pPr>
            <w:r>
              <w:rPr>
                <w:color w:val="auto"/>
                <w:sz w:val="24"/>
              </w:rPr>
              <w:t>本项目</w:t>
            </w:r>
            <w:r>
              <w:rPr>
                <w:rFonts w:hint="eastAsia"/>
                <w:color w:val="auto"/>
                <w:sz w:val="24"/>
                <w:lang w:val="en-US" w:eastAsia="zh-CN"/>
              </w:rPr>
              <w:t>位于</w:t>
            </w:r>
            <w:r>
              <w:rPr>
                <w:rFonts w:hint="eastAsia" w:ascii="宋体" w:hAnsi="宋体" w:cs="宋体"/>
                <w:color w:val="auto"/>
                <w:spacing w:val="6"/>
                <w:sz w:val="24"/>
                <w:szCs w:val="24"/>
                <w:highlight w:val="none"/>
                <w:lang w:val="en-US" w:eastAsia="zh-CN"/>
              </w:rPr>
              <w:t>红心村生活污水处理站东面</w:t>
            </w:r>
            <w:r>
              <w:rPr>
                <w:color w:val="auto"/>
                <w:sz w:val="24"/>
              </w:rPr>
              <w:t>，</w:t>
            </w:r>
            <w:r>
              <w:rPr>
                <w:rFonts w:hint="eastAsia"/>
                <w:color w:val="auto"/>
                <w:sz w:val="24"/>
                <w:lang w:val="en-US" w:eastAsia="zh-CN"/>
              </w:rPr>
              <w:t>距离约为</w:t>
            </w:r>
            <w:r>
              <w:rPr>
                <w:rFonts w:hint="default" w:ascii="Times New Roman" w:hAnsi="Times New Roman" w:cs="Times New Roman"/>
                <w:color w:val="auto"/>
                <w:sz w:val="24"/>
                <w:lang w:val="en-US" w:eastAsia="zh-CN"/>
              </w:rPr>
              <w:t>50m</w:t>
            </w:r>
            <w:r>
              <w:rPr>
                <w:rFonts w:hint="eastAsia" w:ascii="Times New Roman" w:hAnsi="Times New Roman" w:cs="Times New Roman"/>
                <w:color w:val="auto"/>
                <w:sz w:val="24"/>
                <w:lang w:val="en-US" w:eastAsia="zh-CN"/>
              </w:rPr>
              <w:t>，项目生活污水可就近接入红心村污水处理站，</w:t>
            </w:r>
            <w:r>
              <w:rPr>
                <w:color w:val="auto"/>
                <w:sz w:val="24"/>
              </w:rPr>
              <w:t>项目</w:t>
            </w:r>
            <w:r>
              <w:rPr>
                <w:rFonts w:hint="eastAsia"/>
                <w:color w:val="auto"/>
                <w:sz w:val="24"/>
                <w:lang w:val="en-US" w:eastAsia="zh-CN"/>
              </w:rPr>
              <w:t>生活污水经</w:t>
            </w:r>
            <w:r>
              <w:rPr>
                <w:rFonts w:hint="eastAsia" w:ascii="Times New Roman" w:cs="Times New Roman"/>
                <w:bCs/>
                <w:lang w:val="en-US" w:eastAsia="zh-CN"/>
              </w:rPr>
              <w:t>油水分离器+化粪池预处理后，满足红心村生活污水处理站接管标准</w:t>
            </w:r>
            <w:r>
              <w:rPr>
                <w:rFonts w:hint="eastAsia"/>
                <w:color w:val="auto"/>
                <w:sz w:val="24"/>
                <w:lang w:eastAsia="zh-CN"/>
              </w:rPr>
              <w:t>，</w:t>
            </w:r>
            <w:r>
              <w:rPr>
                <w:rFonts w:hint="eastAsia"/>
                <w:color w:val="auto"/>
                <w:sz w:val="24"/>
                <w:lang w:val="en-US" w:eastAsia="zh-CN"/>
              </w:rPr>
              <w:t>项目生活污水</w:t>
            </w:r>
            <w:r>
              <w:rPr>
                <w:color w:val="auto"/>
                <w:sz w:val="24"/>
              </w:rPr>
              <w:t>排放量为</w:t>
            </w:r>
            <w:r>
              <w:rPr>
                <w:rFonts w:hint="default" w:ascii="Times New Roman" w:hAnsi="Times New Roman" w:cs="Times New Roman"/>
                <w:color w:val="auto"/>
                <w:sz w:val="24"/>
                <w:lang w:val="en-US" w:eastAsia="zh-CN"/>
              </w:rPr>
              <w:t>1.096</w:t>
            </w:r>
            <w:r>
              <w:rPr>
                <w:rFonts w:hint="default" w:ascii="Times New Roman" w:hAnsi="Times New Roman" w:cs="Times New Roman"/>
                <w:color w:val="auto"/>
                <w:sz w:val="24"/>
              </w:rPr>
              <w:t>t/d</w:t>
            </w:r>
            <w:r>
              <w:rPr>
                <w:rFonts w:hint="eastAsia"/>
                <w:color w:val="auto"/>
                <w:sz w:val="24"/>
                <w:lang w:eastAsia="zh-CN"/>
              </w:rPr>
              <w:t>，</w:t>
            </w:r>
            <w:r>
              <w:rPr>
                <w:rFonts w:hint="eastAsia"/>
                <w:color w:val="auto"/>
                <w:sz w:val="24"/>
                <w:lang w:val="en-US" w:eastAsia="zh-CN"/>
              </w:rPr>
              <w:t>占红心村生活污水处理站剩余日处理污水量的</w:t>
            </w:r>
            <w:r>
              <w:rPr>
                <w:rFonts w:hint="default" w:ascii="Times New Roman" w:hAnsi="Times New Roman" w:cs="Times New Roman"/>
                <w:color w:val="auto"/>
                <w:sz w:val="24"/>
                <w:lang w:val="en-US" w:eastAsia="zh-CN"/>
              </w:rPr>
              <w:t>0.91%</w:t>
            </w:r>
            <w:r>
              <w:rPr>
                <w:rFonts w:hint="eastAsia"/>
                <w:color w:val="auto"/>
                <w:sz w:val="24"/>
                <w:lang w:val="en-US" w:eastAsia="zh-CN"/>
              </w:rPr>
              <w:t>，比例较小</w:t>
            </w:r>
            <w:r>
              <w:rPr>
                <w:color w:val="auto"/>
                <w:sz w:val="24"/>
              </w:rPr>
              <w:t>，项目</w:t>
            </w:r>
            <w:r>
              <w:rPr>
                <w:rFonts w:hint="eastAsia"/>
                <w:color w:val="auto"/>
                <w:sz w:val="24"/>
                <w:lang w:val="en-US" w:eastAsia="zh-CN"/>
              </w:rPr>
              <w:t>生活污水接</w:t>
            </w:r>
            <w:r>
              <w:rPr>
                <w:color w:val="auto"/>
                <w:sz w:val="24"/>
              </w:rPr>
              <w:t>入</w:t>
            </w:r>
            <w:r>
              <w:rPr>
                <w:rFonts w:hint="eastAsia"/>
                <w:color w:val="auto"/>
                <w:sz w:val="24"/>
                <w:lang w:val="en-US" w:eastAsia="zh-CN"/>
              </w:rPr>
              <w:t>红心村生活污水处理站</w:t>
            </w:r>
            <w:r>
              <w:rPr>
                <w:rFonts w:hint="eastAsia" w:hAnsi="宋体" w:cs="宋体"/>
                <w:color w:val="auto"/>
                <w:spacing w:val="6"/>
                <w:sz w:val="24"/>
                <w:szCs w:val="24"/>
                <w:highlight w:val="none"/>
                <w:lang w:val="en-US" w:eastAsia="zh-CN"/>
              </w:rPr>
              <w:t>进一步</w:t>
            </w:r>
            <w:r>
              <w:rPr>
                <w:color w:val="auto"/>
                <w:sz w:val="24"/>
              </w:rPr>
              <w:t>处理可行。在确保环保设施正常运行的情况下，项目</w:t>
            </w:r>
            <w:r>
              <w:rPr>
                <w:rFonts w:hint="eastAsia"/>
                <w:color w:val="auto"/>
                <w:sz w:val="24"/>
                <w:lang w:val="en-US" w:eastAsia="zh-CN"/>
              </w:rPr>
              <w:t>生活污水</w:t>
            </w:r>
            <w:r>
              <w:rPr>
                <w:color w:val="auto"/>
                <w:sz w:val="24"/>
              </w:rPr>
              <w:t>不会对</w:t>
            </w:r>
            <w:r>
              <w:rPr>
                <w:rFonts w:hint="eastAsia"/>
                <w:color w:val="auto"/>
                <w:sz w:val="24"/>
                <w:lang w:val="en-US" w:eastAsia="zh-CN"/>
              </w:rPr>
              <w:t>红心村生活污水处理站</w:t>
            </w:r>
            <w:r>
              <w:rPr>
                <w:color w:val="auto"/>
                <w:sz w:val="24"/>
              </w:rPr>
              <w:t>的负荷、处理工艺造成影响，也不会对</w:t>
            </w:r>
            <w:r>
              <w:rPr>
                <w:rFonts w:hint="eastAsia"/>
                <w:color w:val="auto"/>
                <w:sz w:val="24"/>
                <w:lang w:val="en-US" w:eastAsia="zh-CN"/>
              </w:rPr>
              <w:t>项目</w:t>
            </w:r>
            <w:r>
              <w:rPr>
                <w:color w:val="auto"/>
                <w:sz w:val="24"/>
              </w:rPr>
              <w:t>周边水环境产生影响。</w:t>
            </w:r>
          </w:p>
          <w:p w14:paraId="162876AD">
            <w:pPr>
              <w:pStyle w:val="74"/>
              <w:spacing w:line="360" w:lineRule="auto"/>
              <w:ind w:firstLine="480" w:firstLineChars="200"/>
              <w:jc w:val="both"/>
              <w:rPr>
                <w:rFonts w:ascii="Times New Roman" w:cs="Times New Roman"/>
                <w:bCs/>
                <w:color w:val="auto"/>
              </w:rPr>
            </w:pPr>
            <w:r>
              <w:rPr>
                <w:rFonts w:hint="eastAsia" w:ascii="Times New Roman" w:cs="Times New Roman"/>
                <w:bCs/>
                <w:color w:val="auto"/>
              </w:rPr>
              <w:t>综上</w:t>
            </w:r>
            <w:r>
              <w:rPr>
                <w:rFonts w:hint="eastAsia" w:ascii="Times New Roman" w:cs="Times New Roman"/>
                <w:bCs/>
                <w:color w:val="auto"/>
                <w:lang w:val="en-US" w:eastAsia="zh-CN"/>
              </w:rPr>
              <w:t>所述</w:t>
            </w:r>
            <w:r>
              <w:rPr>
                <w:rFonts w:hint="eastAsia" w:ascii="Times New Roman" w:cs="Times New Roman"/>
                <w:bCs/>
                <w:color w:val="auto"/>
              </w:rPr>
              <w:t>，</w:t>
            </w:r>
            <w:r>
              <w:rPr>
                <w:rFonts w:ascii="Times New Roman" w:cs="Times New Roman"/>
                <w:bCs/>
                <w:color w:val="auto"/>
              </w:rPr>
              <w:t>本项目</w:t>
            </w:r>
            <w:r>
              <w:rPr>
                <w:rFonts w:hint="eastAsia" w:ascii="Times New Roman" w:cs="Times New Roman"/>
                <w:bCs/>
                <w:color w:val="auto"/>
              </w:rPr>
              <w:t>废水处理</w:t>
            </w:r>
            <w:r>
              <w:rPr>
                <w:rFonts w:ascii="Times New Roman" w:cs="Times New Roman"/>
                <w:bCs/>
                <w:color w:val="auto"/>
              </w:rPr>
              <w:t>措施可行。</w:t>
            </w:r>
          </w:p>
          <w:p w14:paraId="43649BDC">
            <w:pPr>
              <w:pStyle w:val="54"/>
              <w:numPr>
                <w:ilvl w:val="0"/>
                <w:numId w:val="0"/>
              </w:numPr>
              <w:ind w:leftChars="0" w:firstLine="482" w:firstLineChars="200"/>
              <w:rPr>
                <w:rFonts w:hint="eastAsia" w:ascii="Times New Roman" w:hAnsi="Times New Roman" w:eastAsia="宋体" w:cs="Times New Roman"/>
                <w:b/>
                <w:color w:val="00B050"/>
                <w:lang w:val="en-US" w:eastAsia="zh-CN"/>
              </w:rPr>
            </w:pPr>
            <w:r>
              <w:rPr>
                <w:rFonts w:hint="eastAsia"/>
                <w:b/>
                <w:color w:val="00B050"/>
                <w:sz w:val="24"/>
                <w:lang w:eastAsia="zh-CN"/>
              </w:rPr>
              <w:t>（</w:t>
            </w:r>
            <w:r>
              <w:rPr>
                <w:rFonts w:hint="eastAsia"/>
                <w:b/>
                <w:color w:val="00B050"/>
                <w:sz w:val="24"/>
                <w:lang w:val="en-US" w:eastAsia="zh-CN"/>
              </w:rPr>
              <w:t>3</w:t>
            </w:r>
            <w:r>
              <w:rPr>
                <w:rFonts w:hint="eastAsia"/>
                <w:b/>
                <w:color w:val="00B050"/>
                <w:sz w:val="24"/>
                <w:lang w:eastAsia="zh-CN"/>
              </w:rPr>
              <w:t>）</w:t>
            </w:r>
            <w:r>
              <w:rPr>
                <w:rFonts w:hint="eastAsia"/>
                <w:b/>
                <w:color w:val="00B050"/>
                <w:sz w:val="24"/>
              </w:rPr>
              <w:t>废水监测要求</w:t>
            </w:r>
          </w:p>
          <w:p w14:paraId="6AEAEF3A">
            <w:pPr>
              <w:pStyle w:val="54"/>
              <w:numPr>
                <w:ilvl w:val="0"/>
                <w:numId w:val="0"/>
              </w:numPr>
              <w:ind w:leftChars="0" w:firstLine="480" w:firstLineChars="200"/>
              <w:rPr>
                <w:rFonts w:hint="default" w:ascii="Times New Roman" w:hAnsi="Times New Roman" w:eastAsia="宋体" w:cs="Times New Roman"/>
                <w:b w:val="0"/>
                <w:bCs/>
                <w:color w:val="00B050"/>
                <w:lang w:val="en-US" w:eastAsia="zh-CN"/>
              </w:rPr>
            </w:pPr>
            <w:r>
              <w:rPr>
                <w:rFonts w:hint="eastAsia" w:cs="Times New Roman"/>
                <w:b w:val="0"/>
                <w:bCs/>
                <w:color w:val="00B050"/>
                <w:lang w:val="en-US" w:eastAsia="zh-CN"/>
              </w:rPr>
              <w:t>本项目外排废水主要为生活污水，根据《排污许可证申请与核发技术规范 储油库、加油站》（HJ1118-2020）、《排污单位自行监测技术指南 储油库、加油站》（HJ1249-2022）的要求，本项目废水污染源无需进行自行监测。</w:t>
            </w:r>
          </w:p>
          <w:p w14:paraId="608DB787">
            <w:pPr>
              <w:pStyle w:val="54"/>
              <w:numPr>
                <w:ilvl w:val="0"/>
                <w:numId w:val="0"/>
              </w:numPr>
              <w:ind w:leftChars="0" w:firstLine="482" w:firstLineChars="200"/>
              <w:rPr>
                <w:rFonts w:hint="eastAsia" w:ascii="Times New Roman" w:hAnsi="Times New Roman" w:eastAsia="宋体" w:cs="Times New Roman"/>
                <w:b/>
                <w:lang w:val="en-US" w:eastAsia="zh-CN"/>
              </w:rPr>
            </w:pPr>
            <w:r>
              <w:rPr>
                <w:rFonts w:hint="eastAsia" w:ascii="Times New Roman" w:hAnsi="Times New Roman" w:eastAsia="宋体" w:cs="Times New Roman"/>
                <w:b/>
                <w:lang w:val="en-US" w:eastAsia="zh-CN"/>
              </w:rPr>
              <w:t>3、噪声</w:t>
            </w:r>
          </w:p>
          <w:p w14:paraId="6B6D513A">
            <w:pPr>
              <w:pStyle w:val="54"/>
              <w:numPr>
                <w:ilvl w:val="0"/>
                <w:numId w:val="0"/>
              </w:numPr>
              <w:ind w:left="420" w:leftChars="0"/>
              <w:rPr>
                <w:b/>
              </w:rPr>
            </w:pPr>
            <w:r>
              <w:rPr>
                <w:rFonts w:hint="eastAsia"/>
                <w:b/>
                <w:lang w:eastAsia="zh-CN"/>
              </w:rPr>
              <w:t>（</w:t>
            </w:r>
            <w:r>
              <w:rPr>
                <w:rFonts w:hint="eastAsia"/>
                <w:b/>
                <w:lang w:val="en-US" w:eastAsia="zh-CN"/>
              </w:rPr>
              <w:t>1</w:t>
            </w:r>
            <w:r>
              <w:rPr>
                <w:rFonts w:hint="eastAsia"/>
                <w:b/>
                <w:lang w:eastAsia="zh-CN"/>
              </w:rPr>
              <w:t>）</w:t>
            </w:r>
            <w:r>
              <w:rPr>
                <w:b/>
              </w:rPr>
              <w:t>源强核算</w:t>
            </w:r>
          </w:p>
          <w:p w14:paraId="4B5CDE81">
            <w:pPr>
              <w:pStyle w:val="1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eastAsia="宋体"/>
                <w:sz w:val="24"/>
              </w:rPr>
            </w:pPr>
            <w:r>
              <w:rPr>
                <w:rFonts w:hint="eastAsia" w:ascii="Times New Roman" w:eastAsia="宋体"/>
                <w:sz w:val="24"/>
                <w:lang w:eastAsia="zh-CN"/>
              </w:rPr>
              <w:t>本</w:t>
            </w:r>
            <w:r>
              <w:rPr>
                <w:rFonts w:ascii="Times New Roman" w:eastAsia="宋体"/>
                <w:sz w:val="24"/>
              </w:rPr>
              <w:t>项目噪声源</w:t>
            </w:r>
            <w:r>
              <w:rPr>
                <w:rFonts w:hint="eastAsia" w:ascii="Times New Roman" w:eastAsia="宋体"/>
                <w:sz w:val="24"/>
              </w:rPr>
              <w:t>主要为</w:t>
            </w:r>
            <w:r>
              <w:rPr>
                <w:rFonts w:hint="eastAsia" w:ascii="Times New Roman" w:eastAsia="宋体"/>
                <w:sz w:val="24"/>
                <w:lang w:val="en-US" w:eastAsia="zh-CN"/>
              </w:rPr>
              <w:t>潜油泵、</w:t>
            </w:r>
            <w:r>
              <w:rPr>
                <w:rFonts w:hint="default" w:eastAsia="宋体"/>
                <w:color w:val="auto"/>
                <w:sz w:val="24"/>
                <w:szCs w:val="24"/>
                <w:highlight w:val="none"/>
                <w:lang w:val="en-US" w:eastAsia="zh-CN"/>
              </w:rPr>
              <w:t>智能加油机器人</w:t>
            </w:r>
            <w:r>
              <w:rPr>
                <w:rFonts w:hint="eastAsia" w:eastAsia="宋体"/>
                <w:color w:val="auto"/>
                <w:sz w:val="24"/>
                <w:szCs w:val="24"/>
                <w:highlight w:val="none"/>
                <w:lang w:val="en-US" w:eastAsia="zh-CN"/>
              </w:rPr>
              <w:t>、</w:t>
            </w:r>
            <w:r>
              <w:rPr>
                <w:rFonts w:hint="eastAsia" w:ascii="Times New Roman" w:eastAsia="宋体"/>
                <w:sz w:val="24"/>
                <w:lang w:val="en-US" w:eastAsia="zh-CN"/>
              </w:rPr>
              <w:t>全自动洗车机</w:t>
            </w:r>
            <w:r>
              <w:rPr>
                <w:rFonts w:hint="eastAsia" w:ascii="Times New Roman" w:eastAsia="宋体"/>
                <w:sz w:val="24"/>
              </w:rPr>
              <w:t>等设备工作时产生的噪声，</w:t>
            </w:r>
            <w:r>
              <w:rPr>
                <w:rFonts w:hint="eastAsia" w:ascii="Times New Roman" w:hAnsi="Times New Roman" w:eastAsia="宋体"/>
                <w:color w:val="000000" w:themeColor="text1"/>
                <w:sz w:val="24"/>
                <w14:textFill>
                  <w14:solidFill>
                    <w14:schemeClr w14:val="tx1"/>
                  </w14:solidFill>
                </w14:textFill>
              </w:rPr>
              <w:t>加油车辆在进出加油站时产生的交通噪声</w:t>
            </w:r>
            <w:r>
              <w:rPr>
                <w:rFonts w:hint="eastAsia" w:ascii="Times New Roman" w:hAnsi="Times New Roman" w:eastAsia="宋体"/>
                <w:color w:val="000000" w:themeColor="text1"/>
                <w:sz w:val="24"/>
                <w:lang w:eastAsia="zh-CN"/>
                <w14:textFill>
                  <w14:solidFill>
                    <w14:schemeClr w14:val="tx1"/>
                  </w14:solidFill>
                </w14:textFill>
              </w:rPr>
              <w:t>，</w:t>
            </w:r>
            <w:r>
              <w:rPr>
                <w:rFonts w:ascii="Times New Roman" w:eastAsia="宋体"/>
                <w:sz w:val="24"/>
              </w:rPr>
              <w:t>项目主要设备噪声源强详见表</w:t>
            </w:r>
            <w:r>
              <w:rPr>
                <w:rFonts w:hint="eastAsia" w:ascii="Times New Roman" w:eastAsia="宋体"/>
                <w:sz w:val="24"/>
              </w:rPr>
              <w:t>4.3-1。</w:t>
            </w:r>
          </w:p>
          <w:p w14:paraId="7B010A9B">
            <w:pPr>
              <w:pStyle w:val="9"/>
              <w:keepNext w:val="0"/>
              <w:keepLines w:val="0"/>
              <w:pageBreakBefore w:val="0"/>
              <w:widowControl w:val="0"/>
              <w:kinsoku/>
              <w:wordWrap/>
              <w:overflowPunct/>
              <w:topLinePunct w:val="0"/>
              <w:autoSpaceDE/>
              <w:autoSpaceDN/>
              <w:bidi w:val="0"/>
              <w:adjustRightInd/>
              <w:snapToGrid/>
              <w:ind w:firstLine="0"/>
              <w:jc w:val="center"/>
              <w:textAlignment w:val="auto"/>
              <w:rPr>
                <w:b/>
                <w:bCs/>
                <w:color w:val="000000"/>
                <w:szCs w:val="21"/>
              </w:rPr>
            </w:pPr>
            <w:r>
              <w:rPr>
                <w:b/>
                <w:color w:val="000000"/>
                <w:szCs w:val="21"/>
              </w:rPr>
              <w:t>表</w:t>
            </w:r>
            <w:r>
              <w:rPr>
                <w:rFonts w:hint="eastAsia"/>
                <w:b/>
                <w:color w:val="000000"/>
                <w:szCs w:val="21"/>
              </w:rPr>
              <w:t>4</w:t>
            </w:r>
            <w:r>
              <w:rPr>
                <w:rFonts w:hint="eastAsia"/>
                <w:b/>
                <w:color w:val="000000"/>
                <w:szCs w:val="21"/>
                <w:lang w:val="en-US" w:eastAsia="zh-CN"/>
              </w:rPr>
              <w:t>.3</w:t>
            </w:r>
            <w:r>
              <w:rPr>
                <w:rFonts w:hint="eastAsia"/>
                <w:b/>
                <w:color w:val="000000"/>
                <w:szCs w:val="21"/>
              </w:rPr>
              <w:t>-</w:t>
            </w:r>
            <w:r>
              <w:rPr>
                <w:rFonts w:hint="eastAsia"/>
                <w:b/>
                <w:color w:val="000000"/>
                <w:szCs w:val="21"/>
                <w:lang w:val="en-US" w:eastAsia="zh-CN"/>
              </w:rPr>
              <w:t xml:space="preserve">1   </w:t>
            </w:r>
            <w:r>
              <w:rPr>
                <w:b/>
                <w:color w:val="000000"/>
                <w:szCs w:val="21"/>
              </w:rPr>
              <w:t>项目主要噪声源</w:t>
            </w:r>
            <w:r>
              <w:rPr>
                <w:rFonts w:hint="eastAsia"/>
                <w:b/>
                <w:color w:val="000000"/>
                <w:szCs w:val="21"/>
                <w:lang w:val="en-US" w:eastAsia="zh-CN"/>
              </w:rPr>
              <w:t>一览</w:t>
            </w:r>
            <w:r>
              <w:rPr>
                <w:b/>
                <w:color w:val="000000"/>
                <w:szCs w:val="21"/>
              </w:rPr>
              <w:t>表</w:t>
            </w:r>
          </w:p>
          <w:tbl>
            <w:tblPr>
              <w:tblStyle w:val="3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079"/>
              <w:gridCol w:w="1311"/>
              <w:gridCol w:w="823"/>
              <w:gridCol w:w="2075"/>
              <w:gridCol w:w="1235"/>
              <w:gridCol w:w="1235"/>
              <w:gridCol w:w="823"/>
            </w:tblGrid>
            <w:tr w14:paraId="540566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7" w:type="pct"/>
                  <w:vAlign w:val="center"/>
                </w:tcPr>
                <w:p w14:paraId="7D0526BB">
                  <w:pPr>
                    <w:pStyle w:val="49"/>
                    <w:keepNext w:val="0"/>
                    <w:keepLines w:val="0"/>
                    <w:pageBreakBefore w:val="0"/>
                    <w:widowControl w:val="0"/>
                    <w:kinsoku/>
                    <w:wordWrap/>
                    <w:overflowPunct/>
                    <w:topLinePunct w:val="0"/>
                    <w:autoSpaceDE/>
                    <w:autoSpaceDN/>
                    <w:bidi w:val="0"/>
                    <w:adjustRightInd/>
                    <w:snapToGrid w:val="0"/>
                    <w:textAlignment w:val="auto"/>
                    <w:rPr>
                      <w:rFonts w:hint="default" w:eastAsia="宋体"/>
                      <w:b/>
                      <w:bCs/>
                      <w:lang w:val="en-US" w:eastAsia="zh-CN"/>
                    </w:rPr>
                  </w:pPr>
                  <w:r>
                    <w:rPr>
                      <w:rFonts w:hint="eastAsia"/>
                      <w:b/>
                      <w:bCs/>
                      <w:lang w:val="en-US" w:eastAsia="zh-CN"/>
                    </w:rPr>
                    <w:t>序号</w:t>
                  </w:r>
                </w:p>
              </w:tc>
              <w:tc>
                <w:tcPr>
                  <w:tcW w:w="582" w:type="pct"/>
                  <w:vAlign w:val="center"/>
                </w:tcPr>
                <w:p w14:paraId="2F0682E6">
                  <w:pPr>
                    <w:pStyle w:val="49"/>
                    <w:keepNext w:val="0"/>
                    <w:keepLines w:val="0"/>
                    <w:pageBreakBefore w:val="0"/>
                    <w:widowControl w:val="0"/>
                    <w:kinsoku/>
                    <w:wordWrap/>
                    <w:overflowPunct/>
                    <w:topLinePunct w:val="0"/>
                    <w:autoSpaceDE/>
                    <w:autoSpaceDN/>
                    <w:bidi w:val="0"/>
                    <w:adjustRightInd/>
                    <w:snapToGrid w:val="0"/>
                    <w:textAlignment w:val="auto"/>
                    <w:rPr>
                      <w:rFonts w:hint="eastAsia"/>
                      <w:b/>
                      <w:bCs/>
                    </w:rPr>
                  </w:pPr>
                  <w:r>
                    <w:rPr>
                      <w:rFonts w:hint="eastAsia"/>
                      <w:b/>
                      <w:bCs/>
                    </w:rPr>
                    <w:t>噪声源</w:t>
                  </w:r>
                </w:p>
              </w:tc>
              <w:tc>
                <w:tcPr>
                  <w:tcW w:w="707" w:type="pct"/>
                  <w:vAlign w:val="center"/>
                </w:tcPr>
                <w:p w14:paraId="78B2D83A">
                  <w:pPr>
                    <w:pStyle w:val="49"/>
                    <w:keepNext w:val="0"/>
                    <w:keepLines w:val="0"/>
                    <w:pageBreakBefore w:val="0"/>
                    <w:widowControl w:val="0"/>
                    <w:kinsoku/>
                    <w:wordWrap/>
                    <w:overflowPunct/>
                    <w:topLinePunct w:val="0"/>
                    <w:autoSpaceDE/>
                    <w:autoSpaceDN/>
                    <w:bidi w:val="0"/>
                    <w:adjustRightInd/>
                    <w:snapToGrid w:val="0"/>
                    <w:textAlignment w:val="auto"/>
                    <w:rPr>
                      <w:b/>
                      <w:bCs/>
                    </w:rPr>
                  </w:pPr>
                  <w:r>
                    <w:rPr>
                      <w:b/>
                      <w:bCs/>
                    </w:rPr>
                    <w:t>等效声级值dB</w:t>
                  </w:r>
                  <w:r>
                    <w:rPr>
                      <w:rFonts w:hint="eastAsia"/>
                      <w:b/>
                      <w:bCs/>
                      <w:lang w:eastAsia="zh-CN"/>
                    </w:rPr>
                    <w:t>（</w:t>
                  </w:r>
                  <w:r>
                    <w:rPr>
                      <w:b/>
                      <w:bCs/>
                    </w:rPr>
                    <w:t>A</w:t>
                  </w:r>
                  <w:r>
                    <w:rPr>
                      <w:rFonts w:hint="eastAsia"/>
                      <w:b/>
                      <w:bCs/>
                      <w:lang w:eastAsia="zh-CN"/>
                    </w:rPr>
                    <w:t>）</w:t>
                  </w:r>
                </w:p>
              </w:tc>
              <w:tc>
                <w:tcPr>
                  <w:tcW w:w="444" w:type="pct"/>
                  <w:vAlign w:val="center"/>
                </w:tcPr>
                <w:p w14:paraId="5BFC9F52">
                  <w:pPr>
                    <w:pStyle w:val="49"/>
                    <w:keepNext w:val="0"/>
                    <w:keepLines w:val="0"/>
                    <w:pageBreakBefore w:val="0"/>
                    <w:widowControl w:val="0"/>
                    <w:kinsoku/>
                    <w:wordWrap/>
                    <w:overflowPunct/>
                    <w:topLinePunct w:val="0"/>
                    <w:autoSpaceDE/>
                    <w:autoSpaceDN/>
                    <w:bidi w:val="0"/>
                    <w:adjustRightInd/>
                    <w:snapToGrid w:val="0"/>
                    <w:textAlignment w:val="auto"/>
                    <w:rPr>
                      <w:b/>
                      <w:bCs/>
                    </w:rPr>
                  </w:pPr>
                  <w:r>
                    <w:rPr>
                      <w:b/>
                      <w:bCs/>
                    </w:rPr>
                    <w:t>数量</w:t>
                  </w:r>
                </w:p>
              </w:tc>
              <w:tc>
                <w:tcPr>
                  <w:tcW w:w="1120" w:type="pct"/>
                  <w:vAlign w:val="center"/>
                </w:tcPr>
                <w:p w14:paraId="546BE74E">
                  <w:pPr>
                    <w:pStyle w:val="49"/>
                    <w:keepNext w:val="0"/>
                    <w:keepLines w:val="0"/>
                    <w:pageBreakBefore w:val="0"/>
                    <w:widowControl w:val="0"/>
                    <w:kinsoku/>
                    <w:wordWrap/>
                    <w:overflowPunct/>
                    <w:topLinePunct w:val="0"/>
                    <w:autoSpaceDE/>
                    <w:autoSpaceDN/>
                    <w:bidi w:val="0"/>
                    <w:adjustRightInd/>
                    <w:snapToGrid w:val="0"/>
                    <w:textAlignment w:val="auto"/>
                    <w:rPr>
                      <w:b/>
                      <w:bCs/>
                    </w:rPr>
                  </w:pPr>
                  <w:r>
                    <w:rPr>
                      <w:b/>
                      <w:bCs/>
                    </w:rPr>
                    <w:t>治理措施</w:t>
                  </w:r>
                </w:p>
              </w:tc>
              <w:tc>
                <w:tcPr>
                  <w:tcW w:w="666" w:type="pct"/>
                  <w:vAlign w:val="center"/>
                </w:tcPr>
                <w:p w14:paraId="465C5A91">
                  <w:pPr>
                    <w:pStyle w:val="49"/>
                    <w:keepNext w:val="0"/>
                    <w:keepLines w:val="0"/>
                    <w:pageBreakBefore w:val="0"/>
                    <w:widowControl w:val="0"/>
                    <w:kinsoku/>
                    <w:wordWrap/>
                    <w:overflowPunct/>
                    <w:topLinePunct w:val="0"/>
                    <w:autoSpaceDE/>
                    <w:autoSpaceDN/>
                    <w:bidi w:val="0"/>
                    <w:adjustRightInd/>
                    <w:snapToGrid w:val="0"/>
                    <w:textAlignment w:val="auto"/>
                    <w:rPr>
                      <w:b/>
                      <w:bCs/>
                    </w:rPr>
                  </w:pPr>
                  <w:r>
                    <w:rPr>
                      <w:rFonts w:hint="eastAsia"/>
                      <w:b/>
                      <w:bCs/>
                    </w:rPr>
                    <w:t>降噪效果</w:t>
                  </w:r>
                  <w:r>
                    <w:rPr>
                      <w:b/>
                      <w:bCs/>
                    </w:rPr>
                    <w:t>dB</w:t>
                  </w:r>
                  <w:r>
                    <w:rPr>
                      <w:rFonts w:hint="eastAsia"/>
                      <w:b/>
                      <w:bCs/>
                      <w:lang w:eastAsia="zh-CN"/>
                    </w:rPr>
                    <w:t>（</w:t>
                  </w:r>
                  <w:r>
                    <w:rPr>
                      <w:b/>
                      <w:bCs/>
                    </w:rPr>
                    <w:t>A</w:t>
                  </w:r>
                  <w:r>
                    <w:rPr>
                      <w:rFonts w:hint="eastAsia"/>
                      <w:b/>
                      <w:bCs/>
                      <w:lang w:eastAsia="zh-CN"/>
                    </w:rPr>
                    <w:t>）</w:t>
                  </w:r>
                </w:p>
              </w:tc>
              <w:tc>
                <w:tcPr>
                  <w:tcW w:w="666" w:type="pct"/>
                  <w:vAlign w:val="center"/>
                </w:tcPr>
                <w:p w14:paraId="6F1A9544">
                  <w:pPr>
                    <w:pStyle w:val="49"/>
                    <w:keepNext w:val="0"/>
                    <w:keepLines w:val="0"/>
                    <w:pageBreakBefore w:val="0"/>
                    <w:widowControl w:val="0"/>
                    <w:kinsoku/>
                    <w:wordWrap/>
                    <w:overflowPunct/>
                    <w:topLinePunct w:val="0"/>
                    <w:autoSpaceDE/>
                    <w:autoSpaceDN/>
                    <w:bidi w:val="0"/>
                    <w:adjustRightInd/>
                    <w:snapToGrid w:val="0"/>
                    <w:textAlignment w:val="auto"/>
                    <w:rPr>
                      <w:b/>
                      <w:bCs/>
                    </w:rPr>
                  </w:pPr>
                  <w:r>
                    <w:rPr>
                      <w:b/>
                    </w:rPr>
                    <w:t>排放强度dB（A）</w:t>
                  </w:r>
                </w:p>
              </w:tc>
              <w:tc>
                <w:tcPr>
                  <w:tcW w:w="444" w:type="pct"/>
                  <w:vAlign w:val="center"/>
                </w:tcPr>
                <w:p w14:paraId="0446837B">
                  <w:pPr>
                    <w:pStyle w:val="49"/>
                    <w:keepNext w:val="0"/>
                    <w:keepLines w:val="0"/>
                    <w:pageBreakBefore w:val="0"/>
                    <w:widowControl w:val="0"/>
                    <w:kinsoku/>
                    <w:wordWrap/>
                    <w:overflowPunct/>
                    <w:topLinePunct w:val="0"/>
                    <w:autoSpaceDE/>
                    <w:autoSpaceDN/>
                    <w:bidi w:val="0"/>
                    <w:adjustRightInd/>
                    <w:snapToGrid w:val="0"/>
                    <w:textAlignment w:val="auto"/>
                    <w:rPr>
                      <w:rFonts w:hint="default" w:eastAsia="宋体"/>
                      <w:b/>
                      <w:bCs/>
                      <w:lang w:val="en-US" w:eastAsia="zh-CN"/>
                    </w:rPr>
                  </w:pPr>
                  <w:r>
                    <w:rPr>
                      <w:rFonts w:hint="eastAsia"/>
                      <w:b/>
                      <w:bCs/>
                      <w:lang w:val="en-US" w:eastAsia="zh-CN"/>
                    </w:rPr>
                    <w:t>持续时间</w:t>
                  </w:r>
                </w:p>
              </w:tc>
            </w:tr>
            <w:tr w14:paraId="0B3252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7" w:type="pct"/>
                  <w:vAlign w:val="center"/>
                </w:tcPr>
                <w:p w14:paraId="6518770D">
                  <w:pPr>
                    <w:pStyle w:val="49"/>
                    <w:keepNext w:val="0"/>
                    <w:keepLines w:val="0"/>
                    <w:pageBreakBefore w:val="0"/>
                    <w:widowControl w:val="0"/>
                    <w:kinsoku/>
                    <w:wordWrap/>
                    <w:overflowPunct/>
                    <w:topLinePunct w:val="0"/>
                    <w:autoSpaceDE/>
                    <w:autoSpaceDN/>
                    <w:bidi w:val="0"/>
                    <w:adjustRightInd/>
                    <w:snapToGrid w:val="0"/>
                    <w:textAlignment w:val="auto"/>
                    <w:rPr>
                      <w:rFonts w:hint="eastAsia" w:eastAsia="宋体"/>
                      <w:lang w:val="en-US" w:eastAsia="zh-CN"/>
                    </w:rPr>
                  </w:pPr>
                  <w:r>
                    <w:rPr>
                      <w:rFonts w:hint="eastAsia"/>
                      <w:lang w:val="en-US" w:eastAsia="zh-CN"/>
                    </w:rPr>
                    <w:t>1</w:t>
                  </w:r>
                </w:p>
              </w:tc>
              <w:tc>
                <w:tcPr>
                  <w:tcW w:w="582" w:type="pct"/>
                  <w:vAlign w:val="center"/>
                </w:tcPr>
                <w:p w14:paraId="7D48E08F">
                  <w:pPr>
                    <w:pStyle w:val="49"/>
                    <w:keepNext w:val="0"/>
                    <w:keepLines w:val="0"/>
                    <w:pageBreakBefore w:val="0"/>
                    <w:widowControl w:val="0"/>
                    <w:kinsoku/>
                    <w:wordWrap/>
                    <w:overflowPunct/>
                    <w:topLinePunct w:val="0"/>
                    <w:autoSpaceDE/>
                    <w:autoSpaceDN/>
                    <w:bidi w:val="0"/>
                    <w:adjustRightInd/>
                    <w:snapToGrid w:val="0"/>
                    <w:textAlignment w:val="auto"/>
                    <w:rPr>
                      <w:rFonts w:hint="eastAsia" w:eastAsia="宋体"/>
                      <w:lang w:eastAsia="zh-CN"/>
                    </w:rPr>
                  </w:pPr>
                  <w:r>
                    <w:rPr>
                      <w:rFonts w:hint="eastAsia" w:eastAsia="宋体"/>
                      <w:lang w:val="en-US" w:eastAsia="zh-CN"/>
                    </w:rPr>
                    <w:t>潜油泵</w:t>
                  </w:r>
                </w:p>
              </w:tc>
              <w:tc>
                <w:tcPr>
                  <w:tcW w:w="707" w:type="pct"/>
                  <w:vAlign w:val="center"/>
                </w:tcPr>
                <w:p w14:paraId="3530149F">
                  <w:pPr>
                    <w:pStyle w:val="49"/>
                    <w:keepNext w:val="0"/>
                    <w:keepLines w:val="0"/>
                    <w:pageBreakBefore w:val="0"/>
                    <w:widowControl w:val="0"/>
                    <w:kinsoku/>
                    <w:wordWrap/>
                    <w:overflowPunct/>
                    <w:topLinePunct w:val="0"/>
                    <w:autoSpaceDE/>
                    <w:autoSpaceDN/>
                    <w:bidi w:val="0"/>
                    <w:adjustRightInd/>
                    <w:snapToGrid w:val="0"/>
                    <w:textAlignment w:val="auto"/>
                    <w:rPr>
                      <w:rFonts w:hint="eastAsia" w:eastAsia="宋体"/>
                      <w:lang w:eastAsia="zh-CN"/>
                    </w:rPr>
                  </w:pPr>
                  <w:r>
                    <w:rPr>
                      <w:rFonts w:hint="eastAsia"/>
                    </w:rPr>
                    <w:t>65-7</w:t>
                  </w:r>
                  <w:r>
                    <w:rPr>
                      <w:rFonts w:hint="eastAsia"/>
                      <w:lang w:val="en-US" w:eastAsia="zh-CN"/>
                    </w:rPr>
                    <w:t>5</w:t>
                  </w:r>
                </w:p>
              </w:tc>
              <w:tc>
                <w:tcPr>
                  <w:tcW w:w="444" w:type="pct"/>
                  <w:vAlign w:val="center"/>
                </w:tcPr>
                <w:p w14:paraId="5706C465">
                  <w:pPr>
                    <w:pStyle w:val="49"/>
                    <w:keepNext w:val="0"/>
                    <w:keepLines w:val="0"/>
                    <w:pageBreakBefore w:val="0"/>
                    <w:widowControl w:val="0"/>
                    <w:kinsoku/>
                    <w:wordWrap/>
                    <w:overflowPunct/>
                    <w:topLinePunct w:val="0"/>
                    <w:autoSpaceDE/>
                    <w:autoSpaceDN/>
                    <w:bidi w:val="0"/>
                    <w:adjustRightInd/>
                    <w:snapToGrid w:val="0"/>
                    <w:textAlignment w:val="auto"/>
                  </w:pPr>
                  <w:r>
                    <w:rPr>
                      <w:rFonts w:hint="eastAsia"/>
                      <w:lang w:val="en-US" w:eastAsia="zh-CN"/>
                    </w:rPr>
                    <w:t>4</w:t>
                  </w:r>
                  <w:r>
                    <w:t>台</w:t>
                  </w:r>
                </w:p>
              </w:tc>
              <w:tc>
                <w:tcPr>
                  <w:tcW w:w="1120" w:type="pct"/>
                  <w:vAlign w:val="center"/>
                </w:tcPr>
                <w:p w14:paraId="67187542">
                  <w:pPr>
                    <w:pStyle w:val="49"/>
                    <w:keepNext w:val="0"/>
                    <w:keepLines w:val="0"/>
                    <w:pageBreakBefore w:val="0"/>
                    <w:widowControl w:val="0"/>
                    <w:kinsoku/>
                    <w:wordWrap/>
                    <w:overflowPunct/>
                    <w:topLinePunct w:val="0"/>
                    <w:autoSpaceDE/>
                    <w:autoSpaceDN/>
                    <w:bidi w:val="0"/>
                    <w:adjustRightInd/>
                    <w:snapToGrid w:val="0"/>
                    <w:textAlignment w:val="auto"/>
                    <w:rPr>
                      <w:rFonts w:hint="default" w:eastAsia="宋体"/>
                      <w:lang w:val="en-US" w:eastAsia="zh-CN"/>
                    </w:rPr>
                  </w:pPr>
                  <w:r>
                    <w:rPr>
                      <w:rFonts w:hint="eastAsia"/>
                      <w:lang w:val="en-US" w:eastAsia="zh-CN"/>
                    </w:rPr>
                    <w:t>基础减振</w:t>
                  </w:r>
                </w:p>
              </w:tc>
              <w:tc>
                <w:tcPr>
                  <w:tcW w:w="666" w:type="pct"/>
                  <w:vAlign w:val="center"/>
                </w:tcPr>
                <w:p w14:paraId="28652B0C">
                  <w:pPr>
                    <w:pStyle w:val="49"/>
                    <w:keepNext w:val="0"/>
                    <w:keepLines w:val="0"/>
                    <w:pageBreakBefore w:val="0"/>
                    <w:widowControl w:val="0"/>
                    <w:kinsoku/>
                    <w:wordWrap/>
                    <w:overflowPunct/>
                    <w:topLinePunct w:val="0"/>
                    <w:autoSpaceDE/>
                    <w:autoSpaceDN/>
                    <w:bidi w:val="0"/>
                    <w:adjustRightInd/>
                    <w:snapToGrid w:val="0"/>
                    <w:textAlignment w:val="auto"/>
                  </w:pPr>
                  <w:r>
                    <w:rPr>
                      <w:rFonts w:hint="default" w:ascii="Times New Roman" w:hAnsi="Times New Roman" w:cs="Times New Roman"/>
                    </w:rPr>
                    <w:t>≥</w:t>
                  </w:r>
                  <w:r>
                    <w:rPr>
                      <w:rFonts w:hint="eastAsia"/>
                      <w:lang w:val="en-US" w:eastAsia="zh-CN"/>
                    </w:rPr>
                    <w:t>20</w:t>
                  </w:r>
                </w:p>
              </w:tc>
              <w:tc>
                <w:tcPr>
                  <w:tcW w:w="666" w:type="pct"/>
                  <w:vAlign w:val="center"/>
                </w:tcPr>
                <w:p w14:paraId="28E6B06C">
                  <w:pPr>
                    <w:pStyle w:val="49"/>
                    <w:keepNext w:val="0"/>
                    <w:keepLines w:val="0"/>
                    <w:pageBreakBefore w:val="0"/>
                    <w:widowControl w:val="0"/>
                    <w:kinsoku/>
                    <w:wordWrap/>
                    <w:overflowPunct/>
                    <w:topLinePunct w:val="0"/>
                    <w:autoSpaceDE/>
                    <w:autoSpaceDN/>
                    <w:bidi w:val="0"/>
                    <w:adjustRightInd/>
                    <w:snapToGrid w:val="0"/>
                    <w:textAlignment w:val="auto"/>
                    <w:rPr>
                      <w:rFonts w:hint="default" w:eastAsia="宋体"/>
                      <w:lang w:val="en-US" w:eastAsia="zh-CN"/>
                    </w:rPr>
                  </w:pPr>
                  <w:r>
                    <w:rPr>
                      <w:rFonts w:hint="eastAsia"/>
                      <w:lang w:val="en-US" w:eastAsia="zh-CN"/>
                    </w:rPr>
                    <w:t>45-55</w:t>
                  </w:r>
                </w:p>
              </w:tc>
              <w:tc>
                <w:tcPr>
                  <w:tcW w:w="444" w:type="pct"/>
                  <w:vAlign w:val="center"/>
                </w:tcPr>
                <w:p w14:paraId="469BB297">
                  <w:pPr>
                    <w:pStyle w:val="49"/>
                    <w:keepNext w:val="0"/>
                    <w:keepLines w:val="0"/>
                    <w:pageBreakBefore w:val="0"/>
                    <w:widowControl w:val="0"/>
                    <w:kinsoku/>
                    <w:wordWrap/>
                    <w:overflowPunct/>
                    <w:topLinePunct w:val="0"/>
                    <w:autoSpaceDE/>
                    <w:autoSpaceDN/>
                    <w:bidi w:val="0"/>
                    <w:adjustRightInd/>
                    <w:snapToGrid w:val="0"/>
                    <w:textAlignment w:val="auto"/>
                    <w:rPr>
                      <w:rFonts w:hint="default" w:eastAsia="宋体"/>
                      <w:lang w:val="en-US" w:eastAsia="zh-CN"/>
                    </w:rPr>
                  </w:pPr>
                  <w:r>
                    <w:rPr>
                      <w:rFonts w:hint="eastAsia"/>
                      <w:lang w:val="en-US" w:eastAsia="zh-CN"/>
                    </w:rPr>
                    <w:t>24h/d</w:t>
                  </w:r>
                </w:p>
              </w:tc>
            </w:tr>
            <w:tr w14:paraId="24E606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7" w:type="pct"/>
                  <w:vAlign w:val="center"/>
                </w:tcPr>
                <w:p w14:paraId="196E157A">
                  <w:pPr>
                    <w:pStyle w:val="49"/>
                    <w:keepNext w:val="0"/>
                    <w:keepLines w:val="0"/>
                    <w:pageBreakBefore w:val="0"/>
                    <w:widowControl w:val="0"/>
                    <w:kinsoku/>
                    <w:wordWrap/>
                    <w:overflowPunct/>
                    <w:topLinePunct w:val="0"/>
                    <w:autoSpaceDE/>
                    <w:autoSpaceDN/>
                    <w:bidi w:val="0"/>
                    <w:adjustRightInd/>
                    <w:snapToGrid w:val="0"/>
                    <w:textAlignment w:val="auto"/>
                    <w:rPr>
                      <w:rFonts w:hint="eastAsia" w:eastAsia="宋体"/>
                      <w:lang w:val="en-US" w:eastAsia="zh-CN"/>
                    </w:rPr>
                  </w:pPr>
                  <w:r>
                    <w:rPr>
                      <w:rFonts w:hint="eastAsia"/>
                      <w:lang w:val="en-US" w:eastAsia="zh-CN"/>
                    </w:rPr>
                    <w:t>2</w:t>
                  </w:r>
                </w:p>
              </w:tc>
              <w:tc>
                <w:tcPr>
                  <w:tcW w:w="582" w:type="pct"/>
                  <w:vAlign w:val="center"/>
                </w:tcPr>
                <w:p w14:paraId="0006F492">
                  <w:pPr>
                    <w:pStyle w:val="49"/>
                    <w:keepNext w:val="0"/>
                    <w:keepLines w:val="0"/>
                    <w:pageBreakBefore w:val="0"/>
                    <w:widowControl w:val="0"/>
                    <w:kinsoku/>
                    <w:wordWrap/>
                    <w:overflowPunct/>
                    <w:topLinePunct w:val="0"/>
                    <w:autoSpaceDE/>
                    <w:autoSpaceDN/>
                    <w:bidi w:val="0"/>
                    <w:adjustRightInd/>
                    <w:snapToGrid w:val="0"/>
                    <w:textAlignment w:val="auto"/>
                    <w:rPr>
                      <w:rFonts w:hint="default"/>
                      <w:lang w:val="en-US" w:eastAsia="zh-CN"/>
                    </w:rPr>
                  </w:pPr>
                  <w:r>
                    <w:rPr>
                      <w:rFonts w:hint="default"/>
                      <w:lang w:val="en-US" w:eastAsia="zh-CN"/>
                    </w:rPr>
                    <w:t>智能加油机器人</w:t>
                  </w:r>
                </w:p>
              </w:tc>
              <w:tc>
                <w:tcPr>
                  <w:tcW w:w="707" w:type="pct"/>
                  <w:vAlign w:val="center"/>
                </w:tcPr>
                <w:p w14:paraId="4649E7F3">
                  <w:pPr>
                    <w:pStyle w:val="49"/>
                    <w:keepNext w:val="0"/>
                    <w:keepLines w:val="0"/>
                    <w:pageBreakBefore w:val="0"/>
                    <w:widowControl w:val="0"/>
                    <w:kinsoku/>
                    <w:wordWrap/>
                    <w:overflowPunct/>
                    <w:topLinePunct w:val="0"/>
                    <w:autoSpaceDE/>
                    <w:autoSpaceDN/>
                    <w:bidi w:val="0"/>
                    <w:adjustRightInd/>
                    <w:snapToGrid w:val="0"/>
                    <w:textAlignment w:val="auto"/>
                    <w:rPr>
                      <w:rFonts w:hint="eastAsia" w:eastAsia="宋体"/>
                      <w:lang w:eastAsia="zh-CN"/>
                    </w:rPr>
                  </w:pPr>
                  <w:r>
                    <w:rPr>
                      <w:rFonts w:hint="eastAsia"/>
                    </w:rPr>
                    <w:t>65-7</w:t>
                  </w:r>
                  <w:r>
                    <w:rPr>
                      <w:rFonts w:hint="eastAsia"/>
                      <w:lang w:val="en-US" w:eastAsia="zh-CN"/>
                    </w:rPr>
                    <w:t>5</w:t>
                  </w:r>
                </w:p>
              </w:tc>
              <w:tc>
                <w:tcPr>
                  <w:tcW w:w="444" w:type="pct"/>
                  <w:vAlign w:val="center"/>
                </w:tcPr>
                <w:p w14:paraId="731BAA9C">
                  <w:pPr>
                    <w:pStyle w:val="49"/>
                    <w:keepNext w:val="0"/>
                    <w:keepLines w:val="0"/>
                    <w:pageBreakBefore w:val="0"/>
                    <w:widowControl w:val="0"/>
                    <w:kinsoku/>
                    <w:wordWrap/>
                    <w:overflowPunct/>
                    <w:topLinePunct w:val="0"/>
                    <w:autoSpaceDE/>
                    <w:autoSpaceDN/>
                    <w:bidi w:val="0"/>
                    <w:adjustRightInd/>
                    <w:snapToGrid w:val="0"/>
                    <w:textAlignment w:val="auto"/>
                  </w:pPr>
                  <w:r>
                    <w:rPr>
                      <w:rFonts w:hint="eastAsia"/>
                      <w:lang w:val="en-US" w:eastAsia="zh-CN"/>
                    </w:rPr>
                    <w:t>2</w:t>
                  </w:r>
                  <w:r>
                    <w:rPr>
                      <w:rFonts w:hint="eastAsia"/>
                    </w:rPr>
                    <w:t>台</w:t>
                  </w:r>
                </w:p>
              </w:tc>
              <w:tc>
                <w:tcPr>
                  <w:tcW w:w="1120" w:type="pct"/>
                  <w:vAlign w:val="center"/>
                </w:tcPr>
                <w:p w14:paraId="2D5725B4">
                  <w:pPr>
                    <w:pStyle w:val="49"/>
                    <w:keepNext w:val="0"/>
                    <w:keepLines w:val="0"/>
                    <w:pageBreakBefore w:val="0"/>
                    <w:widowControl w:val="0"/>
                    <w:kinsoku/>
                    <w:wordWrap/>
                    <w:overflowPunct/>
                    <w:topLinePunct w:val="0"/>
                    <w:autoSpaceDE/>
                    <w:autoSpaceDN/>
                    <w:bidi w:val="0"/>
                    <w:adjustRightInd/>
                    <w:snapToGrid w:val="0"/>
                    <w:textAlignment w:val="auto"/>
                  </w:pPr>
                  <w:r>
                    <w:rPr>
                      <w:rFonts w:hint="eastAsia"/>
                      <w:lang w:val="en-US" w:eastAsia="zh-CN"/>
                    </w:rPr>
                    <w:t>基础减振</w:t>
                  </w:r>
                </w:p>
              </w:tc>
              <w:tc>
                <w:tcPr>
                  <w:tcW w:w="666" w:type="pct"/>
                  <w:vAlign w:val="center"/>
                </w:tcPr>
                <w:p w14:paraId="5489868A">
                  <w:pPr>
                    <w:pStyle w:val="49"/>
                    <w:keepNext w:val="0"/>
                    <w:keepLines w:val="0"/>
                    <w:pageBreakBefore w:val="0"/>
                    <w:widowControl w:val="0"/>
                    <w:kinsoku/>
                    <w:wordWrap/>
                    <w:overflowPunct/>
                    <w:topLinePunct w:val="0"/>
                    <w:autoSpaceDE/>
                    <w:autoSpaceDN/>
                    <w:bidi w:val="0"/>
                    <w:adjustRightInd/>
                    <w:snapToGrid w:val="0"/>
                    <w:textAlignment w:val="auto"/>
                  </w:pPr>
                  <w:r>
                    <w:rPr>
                      <w:rFonts w:hint="default" w:ascii="Times New Roman" w:hAnsi="Times New Roman" w:cs="Times New Roman"/>
                    </w:rPr>
                    <w:t>≥</w:t>
                  </w:r>
                  <w:r>
                    <w:rPr>
                      <w:rFonts w:hint="eastAsia" w:ascii="Times New Roman" w:hAnsi="Times New Roman" w:cs="Times New Roman"/>
                      <w:lang w:val="en-US" w:eastAsia="zh-CN"/>
                    </w:rPr>
                    <w:t>20</w:t>
                  </w:r>
                </w:p>
              </w:tc>
              <w:tc>
                <w:tcPr>
                  <w:tcW w:w="666" w:type="pct"/>
                  <w:vAlign w:val="center"/>
                </w:tcPr>
                <w:p w14:paraId="71E9DEBD">
                  <w:pPr>
                    <w:pStyle w:val="49"/>
                    <w:keepNext w:val="0"/>
                    <w:keepLines w:val="0"/>
                    <w:pageBreakBefore w:val="0"/>
                    <w:widowControl w:val="0"/>
                    <w:kinsoku/>
                    <w:wordWrap/>
                    <w:overflowPunct/>
                    <w:topLinePunct w:val="0"/>
                    <w:autoSpaceDE/>
                    <w:autoSpaceDN/>
                    <w:bidi w:val="0"/>
                    <w:adjustRightInd/>
                    <w:snapToGrid w:val="0"/>
                    <w:textAlignment w:val="auto"/>
                    <w:rPr>
                      <w:rFonts w:hint="default" w:eastAsia="宋体"/>
                      <w:lang w:val="en-US" w:eastAsia="zh-CN"/>
                    </w:rPr>
                  </w:pPr>
                  <w:r>
                    <w:rPr>
                      <w:rFonts w:hint="eastAsia"/>
                      <w:lang w:val="en-US" w:eastAsia="zh-CN"/>
                    </w:rPr>
                    <w:t>45-55</w:t>
                  </w:r>
                </w:p>
              </w:tc>
              <w:tc>
                <w:tcPr>
                  <w:tcW w:w="444" w:type="pct"/>
                  <w:vAlign w:val="center"/>
                </w:tcPr>
                <w:p w14:paraId="6BC8C5A5">
                  <w:pPr>
                    <w:pStyle w:val="49"/>
                    <w:keepNext w:val="0"/>
                    <w:keepLines w:val="0"/>
                    <w:pageBreakBefore w:val="0"/>
                    <w:widowControl w:val="0"/>
                    <w:kinsoku/>
                    <w:wordWrap/>
                    <w:overflowPunct/>
                    <w:topLinePunct w:val="0"/>
                    <w:autoSpaceDE/>
                    <w:autoSpaceDN/>
                    <w:bidi w:val="0"/>
                    <w:adjustRightInd/>
                    <w:snapToGrid w:val="0"/>
                    <w:textAlignment w:val="auto"/>
                  </w:pPr>
                  <w:r>
                    <w:rPr>
                      <w:rFonts w:hint="eastAsia"/>
                      <w:lang w:val="en-US" w:eastAsia="zh-CN"/>
                    </w:rPr>
                    <w:t>24h/d</w:t>
                  </w:r>
                </w:p>
              </w:tc>
            </w:tr>
            <w:tr w14:paraId="6C76C6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7" w:type="pct"/>
                  <w:vAlign w:val="center"/>
                </w:tcPr>
                <w:p w14:paraId="0166D5D5">
                  <w:pPr>
                    <w:pStyle w:val="49"/>
                    <w:keepNext w:val="0"/>
                    <w:keepLines w:val="0"/>
                    <w:pageBreakBefore w:val="0"/>
                    <w:widowControl w:val="0"/>
                    <w:kinsoku/>
                    <w:wordWrap/>
                    <w:overflowPunct/>
                    <w:topLinePunct w:val="0"/>
                    <w:autoSpaceDE/>
                    <w:autoSpaceDN/>
                    <w:bidi w:val="0"/>
                    <w:adjustRightInd/>
                    <w:snapToGrid w:val="0"/>
                    <w:textAlignment w:val="auto"/>
                    <w:rPr>
                      <w:rFonts w:hint="eastAsia" w:eastAsia="宋体"/>
                      <w:lang w:val="en-US" w:eastAsia="zh-CN"/>
                    </w:rPr>
                  </w:pPr>
                  <w:r>
                    <w:rPr>
                      <w:rFonts w:hint="eastAsia"/>
                      <w:lang w:val="en-US" w:eastAsia="zh-CN"/>
                    </w:rPr>
                    <w:t>3</w:t>
                  </w:r>
                </w:p>
              </w:tc>
              <w:tc>
                <w:tcPr>
                  <w:tcW w:w="582" w:type="pct"/>
                  <w:vAlign w:val="center"/>
                </w:tcPr>
                <w:p w14:paraId="34347003">
                  <w:pPr>
                    <w:pStyle w:val="49"/>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r>
                    <w:rPr>
                      <w:rFonts w:hint="eastAsia"/>
                      <w:lang w:val="en-US" w:eastAsia="zh-CN"/>
                    </w:rPr>
                    <w:t>全自动</w:t>
                  </w:r>
                  <w:r>
                    <w:rPr>
                      <w:rFonts w:hint="eastAsia"/>
                    </w:rPr>
                    <w:t>洗车机</w:t>
                  </w:r>
                </w:p>
              </w:tc>
              <w:tc>
                <w:tcPr>
                  <w:tcW w:w="707" w:type="pct"/>
                  <w:vAlign w:val="center"/>
                </w:tcPr>
                <w:p w14:paraId="7D601316">
                  <w:pPr>
                    <w:pStyle w:val="49"/>
                    <w:keepNext w:val="0"/>
                    <w:keepLines w:val="0"/>
                    <w:pageBreakBefore w:val="0"/>
                    <w:widowControl w:val="0"/>
                    <w:kinsoku/>
                    <w:wordWrap/>
                    <w:overflowPunct/>
                    <w:topLinePunct w:val="0"/>
                    <w:autoSpaceDE/>
                    <w:autoSpaceDN/>
                    <w:bidi w:val="0"/>
                    <w:adjustRightInd/>
                    <w:snapToGrid w:val="0"/>
                    <w:textAlignment w:val="auto"/>
                    <w:rPr>
                      <w:rFonts w:hint="default" w:eastAsia="宋体"/>
                      <w:lang w:val="en-US" w:eastAsia="zh-CN"/>
                    </w:rPr>
                  </w:pPr>
                  <w:r>
                    <w:rPr>
                      <w:rFonts w:hint="eastAsia"/>
                    </w:rPr>
                    <w:t>70-</w:t>
                  </w:r>
                  <w:r>
                    <w:rPr>
                      <w:rFonts w:hint="eastAsia"/>
                      <w:lang w:val="en-US" w:eastAsia="zh-CN"/>
                    </w:rPr>
                    <w:t>80</w:t>
                  </w:r>
                </w:p>
              </w:tc>
              <w:tc>
                <w:tcPr>
                  <w:tcW w:w="444" w:type="pct"/>
                  <w:vAlign w:val="center"/>
                </w:tcPr>
                <w:p w14:paraId="1F10A24F">
                  <w:pPr>
                    <w:pStyle w:val="49"/>
                    <w:keepNext w:val="0"/>
                    <w:keepLines w:val="0"/>
                    <w:pageBreakBefore w:val="0"/>
                    <w:widowControl w:val="0"/>
                    <w:kinsoku/>
                    <w:wordWrap/>
                    <w:overflowPunct/>
                    <w:topLinePunct w:val="0"/>
                    <w:autoSpaceDE/>
                    <w:autoSpaceDN/>
                    <w:bidi w:val="0"/>
                    <w:adjustRightInd/>
                    <w:snapToGrid w:val="0"/>
                    <w:textAlignment w:val="auto"/>
                  </w:pPr>
                  <w:r>
                    <w:rPr>
                      <w:rFonts w:hint="eastAsia"/>
                    </w:rPr>
                    <w:t>1台</w:t>
                  </w:r>
                </w:p>
              </w:tc>
              <w:tc>
                <w:tcPr>
                  <w:tcW w:w="1120" w:type="pct"/>
                  <w:vAlign w:val="center"/>
                </w:tcPr>
                <w:p w14:paraId="7B714856">
                  <w:pPr>
                    <w:pStyle w:val="49"/>
                    <w:keepNext w:val="0"/>
                    <w:keepLines w:val="0"/>
                    <w:pageBreakBefore w:val="0"/>
                    <w:widowControl w:val="0"/>
                    <w:kinsoku/>
                    <w:wordWrap/>
                    <w:overflowPunct/>
                    <w:topLinePunct w:val="0"/>
                    <w:autoSpaceDE/>
                    <w:autoSpaceDN/>
                    <w:bidi w:val="0"/>
                    <w:adjustRightInd/>
                    <w:snapToGrid w:val="0"/>
                    <w:textAlignment w:val="auto"/>
                    <w:rPr>
                      <w:rFonts w:hint="default"/>
                      <w:lang w:val="en-US"/>
                    </w:rPr>
                  </w:pPr>
                  <w:r>
                    <w:rPr>
                      <w:rFonts w:hint="eastAsia"/>
                      <w:lang w:val="en-US" w:eastAsia="zh-CN"/>
                    </w:rPr>
                    <w:t>基础减振、厂房隔声</w:t>
                  </w:r>
                </w:p>
              </w:tc>
              <w:tc>
                <w:tcPr>
                  <w:tcW w:w="666" w:type="pct"/>
                  <w:vAlign w:val="center"/>
                </w:tcPr>
                <w:p w14:paraId="67DF70B6">
                  <w:pPr>
                    <w:pStyle w:val="49"/>
                    <w:keepNext w:val="0"/>
                    <w:keepLines w:val="0"/>
                    <w:pageBreakBefore w:val="0"/>
                    <w:widowControl w:val="0"/>
                    <w:kinsoku/>
                    <w:wordWrap/>
                    <w:overflowPunct/>
                    <w:topLinePunct w:val="0"/>
                    <w:autoSpaceDE/>
                    <w:autoSpaceDN/>
                    <w:bidi w:val="0"/>
                    <w:adjustRightInd/>
                    <w:snapToGrid w:val="0"/>
                    <w:textAlignment w:val="auto"/>
                  </w:pPr>
                  <w:r>
                    <w:rPr>
                      <w:rFonts w:hint="default" w:ascii="Times New Roman" w:hAnsi="Times New Roman" w:cs="Times New Roman"/>
                    </w:rPr>
                    <w:t>≥</w:t>
                  </w:r>
                  <w:r>
                    <w:rPr>
                      <w:rFonts w:hint="eastAsia" w:ascii="Times New Roman" w:hAnsi="Times New Roman" w:cs="Times New Roman"/>
                      <w:lang w:val="en-US" w:eastAsia="zh-CN"/>
                    </w:rPr>
                    <w:t>20</w:t>
                  </w:r>
                </w:p>
              </w:tc>
              <w:tc>
                <w:tcPr>
                  <w:tcW w:w="666" w:type="pct"/>
                  <w:vAlign w:val="center"/>
                </w:tcPr>
                <w:p w14:paraId="7B96772D">
                  <w:pPr>
                    <w:pStyle w:val="49"/>
                    <w:keepNext w:val="0"/>
                    <w:keepLines w:val="0"/>
                    <w:pageBreakBefore w:val="0"/>
                    <w:widowControl w:val="0"/>
                    <w:kinsoku/>
                    <w:wordWrap/>
                    <w:overflowPunct/>
                    <w:topLinePunct w:val="0"/>
                    <w:autoSpaceDE/>
                    <w:autoSpaceDN/>
                    <w:bidi w:val="0"/>
                    <w:adjustRightInd/>
                    <w:snapToGrid w:val="0"/>
                    <w:textAlignment w:val="auto"/>
                    <w:rPr>
                      <w:rFonts w:hint="default" w:eastAsia="宋体"/>
                      <w:lang w:val="en-US" w:eastAsia="zh-CN"/>
                    </w:rPr>
                  </w:pPr>
                  <w:r>
                    <w:rPr>
                      <w:rFonts w:hint="eastAsia"/>
                      <w:lang w:val="en-US" w:eastAsia="zh-CN"/>
                    </w:rPr>
                    <w:t>50-60</w:t>
                  </w:r>
                </w:p>
              </w:tc>
              <w:tc>
                <w:tcPr>
                  <w:tcW w:w="444" w:type="pct"/>
                  <w:vAlign w:val="center"/>
                </w:tcPr>
                <w:p w14:paraId="7A1FBA51">
                  <w:pPr>
                    <w:pStyle w:val="49"/>
                    <w:keepNext w:val="0"/>
                    <w:keepLines w:val="0"/>
                    <w:pageBreakBefore w:val="0"/>
                    <w:widowControl w:val="0"/>
                    <w:kinsoku/>
                    <w:wordWrap/>
                    <w:overflowPunct/>
                    <w:topLinePunct w:val="0"/>
                    <w:autoSpaceDE/>
                    <w:autoSpaceDN/>
                    <w:bidi w:val="0"/>
                    <w:adjustRightInd/>
                    <w:snapToGrid w:val="0"/>
                    <w:textAlignment w:val="auto"/>
                    <w:rPr>
                      <w:rFonts w:hint="default" w:eastAsia="宋体"/>
                      <w:lang w:val="en-US" w:eastAsia="zh-CN" w:bidi="ar"/>
                    </w:rPr>
                  </w:pPr>
                  <w:r>
                    <w:rPr>
                      <w:rFonts w:hint="eastAsia"/>
                      <w:lang w:val="en-US" w:eastAsia="zh-CN"/>
                    </w:rPr>
                    <w:t>24h/d</w:t>
                  </w:r>
                </w:p>
              </w:tc>
            </w:tr>
            <w:tr w14:paraId="7BEC87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7" w:type="pct"/>
                  <w:vAlign w:val="center"/>
                </w:tcPr>
                <w:p w14:paraId="731DEAA4">
                  <w:pPr>
                    <w:pStyle w:val="49"/>
                    <w:keepNext w:val="0"/>
                    <w:keepLines w:val="0"/>
                    <w:pageBreakBefore w:val="0"/>
                    <w:widowControl w:val="0"/>
                    <w:kinsoku/>
                    <w:wordWrap/>
                    <w:overflowPunct/>
                    <w:topLinePunct w:val="0"/>
                    <w:autoSpaceDE/>
                    <w:autoSpaceDN/>
                    <w:bidi w:val="0"/>
                    <w:adjustRightInd/>
                    <w:snapToGrid w:val="0"/>
                    <w:textAlignment w:val="auto"/>
                    <w:rPr>
                      <w:rFonts w:hint="default"/>
                      <w:color w:val="FF0000"/>
                      <w:lang w:val="en-US" w:eastAsia="zh-CN"/>
                    </w:rPr>
                  </w:pPr>
                  <w:r>
                    <w:rPr>
                      <w:rFonts w:hint="eastAsia"/>
                      <w:color w:val="FF0000"/>
                      <w:lang w:val="en-US" w:eastAsia="zh-CN"/>
                    </w:rPr>
                    <w:t>4</w:t>
                  </w:r>
                </w:p>
              </w:tc>
              <w:tc>
                <w:tcPr>
                  <w:tcW w:w="582" w:type="pct"/>
                  <w:vAlign w:val="center"/>
                </w:tcPr>
                <w:p w14:paraId="5F2AB0A3">
                  <w:pPr>
                    <w:pStyle w:val="49"/>
                    <w:keepNext w:val="0"/>
                    <w:keepLines w:val="0"/>
                    <w:pageBreakBefore w:val="0"/>
                    <w:widowControl w:val="0"/>
                    <w:kinsoku/>
                    <w:wordWrap/>
                    <w:overflowPunct/>
                    <w:topLinePunct w:val="0"/>
                    <w:autoSpaceDE/>
                    <w:autoSpaceDN/>
                    <w:bidi w:val="0"/>
                    <w:adjustRightInd/>
                    <w:snapToGrid w:val="0"/>
                    <w:textAlignment w:val="auto"/>
                    <w:rPr>
                      <w:rFonts w:hint="default"/>
                      <w:color w:val="FF0000"/>
                      <w:lang w:val="en-US" w:eastAsia="zh-CN"/>
                    </w:rPr>
                  </w:pPr>
                  <w:r>
                    <w:rPr>
                      <w:rFonts w:hint="eastAsia"/>
                      <w:color w:val="FF0000"/>
                      <w:lang w:val="en-US" w:eastAsia="zh-CN"/>
                    </w:rPr>
                    <w:t>水泵</w:t>
                  </w:r>
                </w:p>
              </w:tc>
              <w:tc>
                <w:tcPr>
                  <w:tcW w:w="707" w:type="pct"/>
                  <w:vAlign w:val="center"/>
                </w:tcPr>
                <w:p w14:paraId="24D7C1FA">
                  <w:pPr>
                    <w:pStyle w:val="49"/>
                    <w:keepNext w:val="0"/>
                    <w:keepLines w:val="0"/>
                    <w:pageBreakBefore w:val="0"/>
                    <w:widowControl w:val="0"/>
                    <w:kinsoku/>
                    <w:wordWrap/>
                    <w:overflowPunct/>
                    <w:topLinePunct w:val="0"/>
                    <w:autoSpaceDE/>
                    <w:autoSpaceDN/>
                    <w:bidi w:val="0"/>
                    <w:adjustRightInd/>
                    <w:snapToGrid w:val="0"/>
                    <w:textAlignment w:val="auto"/>
                    <w:rPr>
                      <w:rFonts w:hint="eastAsia"/>
                      <w:color w:val="FF0000"/>
                      <w:lang w:val="en-US" w:eastAsia="zh-CN"/>
                    </w:rPr>
                  </w:pPr>
                  <w:r>
                    <w:rPr>
                      <w:rFonts w:hint="eastAsia"/>
                      <w:color w:val="FF0000"/>
                    </w:rPr>
                    <w:t>70-</w:t>
                  </w:r>
                  <w:r>
                    <w:rPr>
                      <w:rFonts w:hint="eastAsia"/>
                      <w:color w:val="FF0000"/>
                      <w:lang w:val="en-US" w:eastAsia="zh-CN"/>
                    </w:rPr>
                    <w:t>80</w:t>
                  </w:r>
                </w:p>
              </w:tc>
              <w:tc>
                <w:tcPr>
                  <w:tcW w:w="444" w:type="pct"/>
                  <w:vAlign w:val="center"/>
                </w:tcPr>
                <w:p w14:paraId="0248137C">
                  <w:pPr>
                    <w:pStyle w:val="49"/>
                    <w:keepNext w:val="0"/>
                    <w:keepLines w:val="0"/>
                    <w:pageBreakBefore w:val="0"/>
                    <w:widowControl w:val="0"/>
                    <w:kinsoku/>
                    <w:wordWrap/>
                    <w:overflowPunct/>
                    <w:topLinePunct w:val="0"/>
                    <w:autoSpaceDE/>
                    <w:autoSpaceDN/>
                    <w:bidi w:val="0"/>
                    <w:adjustRightInd/>
                    <w:snapToGrid w:val="0"/>
                    <w:textAlignment w:val="auto"/>
                    <w:rPr>
                      <w:rFonts w:hint="default"/>
                      <w:color w:val="FF0000"/>
                      <w:lang w:val="en-US" w:eastAsia="zh-CN"/>
                    </w:rPr>
                  </w:pPr>
                  <w:r>
                    <w:rPr>
                      <w:rFonts w:hint="eastAsia"/>
                      <w:color w:val="FF0000"/>
                      <w:lang w:val="en-US" w:eastAsia="zh-CN"/>
                    </w:rPr>
                    <w:t>2台</w:t>
                  </w:r>
                </w:p>
              </w:tc>
              <w:tc>
                <w:tcPr>
                  <w:tcW w:w="1120" w:type="pct"/>
                  <w:vAlign w:val="center"/>
                </w:tcPr>
                <w:p w14:paraId="54E4845F">
                  <w:pPr>
                    <w:pStyle w:val="49"/>
                    <w:keepNext w:val="0"/>
                    <w:keepLines w:val="0"/>
                    <w:pageBreakBefore w:val="0"/>
                    <w:widowControl w:val="0"/>
                    <w:kinsoku/>
                    <w:wordWrap/>
                    <w:overflowPunct/>
                    <w:topLinePunct w:val="0"/>
                    <w:autoSpaceDE/>
                    <w:autoSpaceDN/>
                    <w:bidi w:val="0"/>
                    <w:adjustRightInd/>
                    <w:snapToGrid w:val="0"/>
                    <w:textAlignment w:val="auto"/>
                    <w:rPr>
                      <w:rFonts w:hint="eastAsia"/>
                      <w:color w:val="FF0000"/>
                      <w:lang w:val="en-US" w:eastAsia="zh-CN"/>
                    </w:rPr>
                  </w:pPr>
                  <w:r>
                    <w:rPr>
                      <w:rFonts w:hint="eastAsia"/>
                      <w:color w:val="FF0000"/>
                      <w:lang w:val="en-US" w:eastAsia="zh-CN"/>
                    </w:rPr>
                    <w:t>基础减振</w:t>
                  </w:r>
                </w:p>
              </w:tc>
              <w:tc>
                <w:tcPr>
                  <w:tcW w:w="666" w:type="pct"/>
                  <w:vAlign w:val="center"/>
                </w:tcPr>
                <w:p w14:paraId="5C1F14D8">
                  <w:pPr>
                    <w:pStyle w:val="49"/>
                    <w:keepNext w:val="0"/>
                    <w:keepLines w:val="0"/>
                    <w:pageBreakBefore w:val="0"/>
                    <w:widowControl w:val="0"/>
                    <w:kinsoku/>
                    <w:wordWrap/>
                    <w:overflowPunct/>
                    <w:topLinePunct w:val="0"/>
                    <w:autoSpaceDE/>
                    <w:autoSpaceDN/>
                    <w:bidi w:val="0"/>
                    <w:adjustRightInd/>
                    <w:snapToGrid w:val="0"/>
                    <w:textAlignment w:val="auto"/>
                    <w:rPr>
                      <w:rFonts w:hint="eastAsia"/>
                      <w:color w:val="FF0000"/>
                      <w:lang w:val="en-US" w:eastAsia="zh-CN"/>
                    </w:rPr>
                  </w:pPr>
                  <w:r>
                    <w:rPr>
                      <w:rFonts w:hint="default" w:ascii="Times New Roman" w:hAnsi="Times New Roman" w:cs="Times New Roman"/>
                      <w:color w:val="FF0000"/>
                    </w:rPr>
                    <w:t>≥</w:t>
                  </w:r>
                  <w:r>
                    <w:rPr>
                      <w:rFonts w:hint="eastAsia" w:ascii="Times New Roman" w:hAnsi="Times New Roman" w:cs="Times New Roman"/>
                      <w:color w:val="FF0000"/>
                      <w:lang w:val="en-US" w:eastAsia="zh-CN"/>
                    </w:rPr>
                    <w:t>20</w:t>
                  </w:r>
                </w:p>
              </w:tc>
              <w:tc>
                <w:tcPr>
                  <w:tcW w:w="666" w:type="pct"/>
                  <w:vAlign w:val="center"/>
                </w:tcPr>
                <w:p w14:paraId="02B7FC38">
                  <w:pPr>
                    <w:pStyle w:val="49"/>
                    <w:keepNext w:val="0"/>
                    <w:keepLines w:val="0"/>
                    <w:pageBreakBefore w:val="0"/>
                    <w:widowControl w:val="0"/>
                    <w:kinsoku/>
                    <w:wordWrap/>
                    <w:overflowPunct/>
                    <w:topLinePunct w:val="0"/>
                    <w:autoSpaceDE/>
                    <w:autoSpaceDN/>
                    <w:bidi w:val="0"/>
                    <w:adjustRightInd/>
                    <w:snapToGrid w:val="0"/>
                    <w:textAlignment w:val="auto"/>
                    <w:rPr>
                      <w:rFonts w:hint="default"/>
                      <w:color w:val="FF0000"/>
                      <w:lang w:val="en-US" w:eastAsia="zh-CN"/>
                    </w:rPr>
                  </w:pPr>
                  <w:r>
                    <w:rPr>
                      <w:rFonts w:hint="eastAsia"/>
                      <w:color w:val="FF0000"/>
                      <w:lang w:val="en-US" w:eastAsia="zh-CN"/>
                    </w:rPr>
                    <w:t>50-60</w:t>
                  </w:r>
                </w:p>
              </w:tc>
              <w:tc>
                <w:tcPr>
                  <w:tcW w:w="444" w:type="pct"/>
                  <w:vAlign w:val="center"/>
                </w:tcPr>
                <w:p w14:paraId="11F01A36">
                  <w:pPr>
                    <w:pStyle w:val="49"/>
                    <w:keepNext w:val="0"/>
                    <w:keepLines w:val="0"/>
                    <w:pageBreakBefore w:val="0"/>
                    <w:widowControl w:val="0"/>
                    <w:kinsoku/>
                    <w:wordWrap/>
                    <w:overflowPunct/>
                    <w:topLinePunct w:val="0"/>
                    <w:autoSpaceDE/>
                    <w:autoSpaceDN/>
                    <w:bidi w:val="0"/>
                    <w:adjustRightInd/>
                    <w:snapToGrid w:val="0"/>
                    <w:textAlignment w:val="auto"/>
                    <w:rPr>
                      <w:rFonts w:hint="eastAsia"/>
                      <w:color w:val="FF0000"/>
                      <w:lang w:val="en-US" w:eastAsia="zh-CN"/>
                    </w:rPr>
                  </w:pPr>
                  <w:r>
                    <w:rPr>
                      <w:rFonts w:hint="eastAsia"/>
                      <w:color w:val="FF0000"/>
                      <w:lang w:val="en-US" w:eastAsia="zh-CN"/>
                    </w:rPr>
                    <w:t>24h/d</w:t>
                  </w:r>
                </w:p>
              </w:tc>
            </w:tr>
            <w:tr w14:paraId="429C7F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7" w:type="pct"/>
                  <w:vAlign w:val="center"/>
                </w:tcPr>
                <w:p w14:paraId="543509CB">
                  <w:pPr>
                    <w:pStyle w:val="49"/>
                    <w:keepNext w:val="0"/>
                    <w:keepLines w:val="0"/>
                    <w:pageBreakBefore w:val="0"/>
                    <w:widowControl w:val="0"/>
                    <w:kinsoku/>
                    <w:wordWrap/>
                    <w:overflowPunct/>
                    <w:topLinePunct w:val="0"/>
                    <w:autoSpaceDE/>
                    <w:autoSpaceDN/>
                    <w:bidi w:val="0"/>
                    <w:adjustRightInd/>
                    <w:snapToGrid w:val="0"/>
                    <w:textAlignment w:val="auto"/>
                    <w:rPr>
                      <w:rFonts w:hint="default"/>
                      <w:color w:val="FF0000"/>
                      <w:lang w:val="en-US" w:eastAsia="zh-CN"/>
                    </w:rPr>
                  </w:pPr>
                  <w:r>
                    <w:rPr>
                      <w:rFonts w:hint="eastAsia"/>
                      <w:color w:val="FF0000"/>
                      <w:lang w:val="en-US" w:eastAsia="zh-CN"/>
                    </w:rPr>
                    <w:t>5</w:t>
                  </w:r>
                </w:p>
              </w:tc>
              <w:tc>
                <w:tcPr>
                  <w:tcW w:w="582" w:type="pct"/>
                  <w:vAlign w:val="center"/>
                </w:tcPr>
                <w:p w14:paraId="13D26F6E">
                  <w:pPr>
                    <w:pStyle w:val="49"/>
                    <w:keepNext w:val="0"/>
                    <w:keepLines w:val="0"/>
                    <w:pageBreakBefore w:val="0"/>
                    <w:widowControl w:val="0"/>
                    <w:kinsoku/>
                    <w:wordWrap/>
                    <w:overflowPunct/>
                    <w:topLinePunct w:val="0"/>
                    <w:autoSpaceDE/>
                    <w:autoSpaceDN/>
                    <w:bidi w:val="0"/>
                    <w:adjustRightInd/>
                    <w:snapToGrid w:val="0"/>
                    <w:textAlignment w:val="auto"/>
                    <w:rPr>
                      <w:rFonts w:hint="default"/>
                      <w:color w:val="FF0000"/>
                      <w:lang w:val="en-US" w:eastAsia="zh-CN"/>
                    </w:rPr>
                  </w:pPr>
                  <w:r>
                    <w:rPr>
                      <w:rFonts w:hint="eastAsia"/>
                      <w:color w:val="FF0000"/>
                      <w:lang w:val="en-US" w:eastAsia="zh-CN"/>
                    </w:rPr>
                    <w:t>排气管</w:t>
                  </w:r>
                </w:p>
              </w:tc>
              <w:tc>
                <w:tcPr>
                  <w:tcW w:w="707" w:type="pct"/>
                  <w:vAlign w:val="center"/>
                </w:tcPr>
                <w:p w14:paraId="23BD51B9">
                  <w:pPr>
                    <w:pStyle w:val="49"/>
                    <w:keepNext w:val="0"/>
                    <w:keepLines w:val="0"/>
                    <w:pageBreakBefore w:val="0"/>
                    <w:widowControl w:val="0"/>
                    <w:kinsoku/>
                    <w:wordWrap/>
                    <w:overflowPunct/>
                    <w:topLinePunct w:val="0"/>
                    <w:autoSpaceDE/>
                    <w:autoSpaceDN/>
                    <w:bidi w:val="0"/>
                    <w:adjustRightInd/>
                    <w:snapToGrid w:val="0"/>
                    <w:textAlignment w:val="auto"/>
                    <w:rPr>
                      <w:rFonts w:hint="eastAsia" w:eastAsia="宋体"/>
                      <w:color w:val="FF0000"/>
                      <w:lang w:val="en-US" w:eastAsia="zh-CN"/>
                    </w:rPr>
                  </w:pPr>
                  <w:r>
                    <w:rPr>
                      <w:rFonts w:hint="eastAsia"/>
                      <w:color w:val="FF0000"/>
                    </w:rPr>
                    <w:t>65-7</w:t>
                  </w:r>
                  <w:r>
                    <w:rPr>
                      <w:rFonts w:hint="eastAsia"/>
                      <w:color w:val="FF0000"/>
                      <w:lang w:val="en-US" w:eastAsia="zh-CN"/>
                    </w:rPr>
                    <w:t>5</w:t>
                  </w:r>
                </w:p>
              </w:tc>
              <w:tc>
                <w:tcPr>
                  <w:tcW w:w="444" w:type="pct"/>
                  <w:vAlign w:val="center"/>
                </w:tcPr>
                <w:p w14:paraId="0E4D6C6B">
                  <w:pPr>
                    <w:pStyle w:val="49"/>
                    <w:keepNext w:val="0"/>
                    <w:keepLines w:val="0"/>
                    <w:pageBreakBefore w:val="0"/>
                    <w:widowControl w:val="0"/>
                    <w:kinsoku/>
                    <w:wordWrap/>
                    <w:overflowPunct/>
                    <w:topLinePunct w:val="0"/>
                    <w:autoSpaceDE/>
                    <w:autoSpaceDN/>
                    <w:bidi w:val="0"/>
                    <w:adjustRightInd/>
                    <w:snapToGrid w:val="0"/>
                    <w:textAlignment w:val="auto"/>
                    <w:rPr>
                      <w:rFonts w:hint="default"/>
                      <w:color w:val="FF0000"/>
                      <w:lang w:val="en-US" w:eastAsia="zh-CN"/>
                    </w:rPr>
                  </w:pPr>
                  <w:r>
                    <w:rPr>
                      <w:rFonts w:hint="eastAsia"/>
                      <w:color w:val="FF0000"/>
                      <w:lang w:val="en-US" w:eastAsia="zh-CN"/>
                    </w:rPr>
                    <w:t>4根</w:t>
                  </w:r>
                </w:p>
              </w:tc>
              <w:tc>
                <w:tcPr>
                  <w:tcW w:w="1120" w:type="pct"/>
                  <w:vAlign w:val="center"/>
                </w:tcPr>
                <w:p w14:paraId="0AFB482E">
                  <w:pPr>
                    <w:pStyle w:val="49"/>
                    <w:keepNext w:val="0"/>
                    <w:keepLines w:val="0"/>
                    <w:pageBreakBefore w:val="0"/>
                    <w:widowControl w:val="0"/>
                    <w:kinsoku/>
                    <w:wordWrap/>
                    <w:overflowPunct/>
                    <w:topLinePunct w:val="0"/>
                    <w:autoSpaceDE/>
                    <w:autoSpaceDN/>
                    <w:bidi w:val="0"/>
                    <w:adjustRightInd/>
                    <w:snapToGrid w:val="0"/>
                    <w:textAlignment w:val="auto"/>
                    <w:rPr>
                      <w:rFonts w:hint="eastAsia"/>
                      <w:color w:val="FF0000"/>
                      <w:lang w:val="en-US" w:eastAsia="zh-CN"/>
                    </w:rPr>
                  </w:pPr>
                  <w:r>
                    <w:rPr>
                      <w:rFonts w:hint="eastAsia"/>
                      <w:color w:val="FF0000"/>
                      <w:lang w:val="en-US" w:eastAsia="zh-CN"/>
                    </w:rPr>
                    <w:t>基础减振</w:t>
                  </w:r>
                </w:p>
              </w:tc>
              <w:tc>
                <w:tcPr>
                  <w:tcW w:w="666" w:type="pct"/>
                  <w:vAlign w:val="center"/>
                </w:tcPr>
                <w:p w14:paraId="387013F1">
                  <w:pPr>
                    <w:pStyle w:val="49"/>
                    <w:keepNext w:val="0"/>
                    <w:keepLines w:val="0"/>
                    <w:pageBreakBefore w:val="0"/>
                    <w:widowControl w:val="0"/>
                    <w:kinsoku/>
                    <w:wordWrap/>
                    <w:overflowPunct/>
                    <w:topLinePunct w:val="0"/>
                    <w:autoSpaceDE/>
                    <w:autoSpaceDN/>
                    <w:bidi w:val="0"/>
                    <w:adjustRightInd/>
                    <w:snapToGrid w:val="0"/>
                    <w:textAlignment w:val="auto"/>
                    <w:rPr>
                      <w:rFonts w:hint="eastAsia"/>
                      <w:color w:val="FF0000"/>
                      <w:lang w:val="en-US" w:eastAsia="zh-CN"/>
                    </w:rPr>
                  </w:pPr>
                  <w:r>
                    <w:rPr>
                      <w:rFonts w:hint="default" w:ascii="Times New Roman" w:hAnsi="Times New Roman" w:cs="Times New Roman"/>
                      <w:color w:val="FF0000"/>
                    </w:rPr>
                    <w:t>≥</w:t>
                  </w:r>
                  <w:r>
                    <w:rPr>
                      <w:rFonts w:hint="eastAsia" w:ascii="Times New Roman" w:hAnsi="Times New Roman" w:cs="Times New Roman"/>
                      <w:color w:val="FF0000"/>
                      <w:lang w:val="en-US" w:eastAsia="zh-CN"/>
                    </w:rPr>
                    <w:t>20</w:t>
                  </w:r>
                </w:p>
              </w:tc>
              <w:tc>
                <w:tcPr>
                  <w:tcW w:w="666" w:type="pct"/>
                  <w:vAlign w:val="center"/>
                </w:tcPr>
                <w:p w14:paraId="60005392">
                  <w:pPr>
                    <w:pStyle w:val="49"/>
                    <w:keepNext w:val="0"/>
                    <w:keepLines w:val="0"/>
                    <w:pageBreakBefore w:val="0"/>
                    <w:widowControl w:val="0"/>
                    <w:kinsoku/>
                    <w:wordWrap/>
                    <w:overflowPunct/>
                    <w:topLinePunct w:val="0"/>
                    <w:autoSpaceDE/>
                    <w:autoSpaceDN/>
                    <w:bidi w:val="0"/>
                    <w:adjustRightInd/>
                    <w:snapToGrid w:val="0"/>
                    <w:textAlignment w:val="auto"/>
                    <w:rPr>
                      <w:rFonts w:hint="eastAsia"/>
                      <w:color w:val="FF0000"/>
                      <w:lang w:val="en-US" w:eastAsia="zh-CN"/>
                    </w:rPr>
                  </w:pPr>
                  <w:r>
                    <w:rPr>
                      <w:rFonts w:hint="eastAsia"/>
                      <w:color w:val="FF0000"/>
                      <w:lang w:val="en-US" w:eastAsia="zh-CN"/>
                    </w:rPr>
                    <w:t>45-55</w:t>
                  </w:r>
                </w:p>
              </w:tc>
              <w:tc>
                <w:tcPr>
                  <w:tcW w:w="444" w:type="pct"/>
                  <w:vAlign w:val="center"/>
                </w:tcPr>
                <w:p w14:paraId="3711C860">
                  <w:pPr>
                    <w:pStyle w:val="49"/>
                    <w:keepNext w:val="0"/>
                    <w:keepLines w:val="0"/>
                    <w:pageBreakBefore w:val="0"/>
                    <w:widowControl w:val="0"/>
                    <w:kinsoku/>
                    <w:wordWrap/>
                    <w:overflowPunct/>
                    <w:topLinePunct w:val="0"/>
                    <w:autoSpaceDE/>
                    <w:autoSpaceDN/>
                    <w:bidi w:val="0"/>
                    <w:adjustRightInd/>
                    <w:snapToGrid w:val="0"/>
                    <w:textAlignment w:val="auto"/>
                    <w:rPr>
                      <w:rFonts w:hint="eastAsia"/>
                      <w:color w:val="FF0000"/>
                      <w:lang w:val="en-US" w:eastAsia="zh-CN"/>
                    </w:rPr>
                  </w:pPr>
                  <w:r>
                    <w:rPr>
                      <w:rFonts w:hint="eastAsia"/>
                      <w:color w:val="FF0000"/>
                      <w:lang w:val="en-US" w:eastAsia="zh-CN"/>
                    </w:rPr>
                    <w:t>24h/d</w:t>
                  </w:r>
                </w:p>
              </w:tc>
            </w:tr>
            <w:tr w14:paraId="69999C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7" w:type="pct"/>
                  <w:vAlign w:val="center"/>
                </w:tcPr>
                <w:p w14:paraId="166B2ED7">
                  <w:pPr>
                    <w:pStyle w:val="49"/>
                    <w:keepNext w:val="0"/>
                    <w:keepLines w:val="0"/>
                    <w:pageBreakBefore w:val="0"/>
                    <w:widowControl w:val="0"/>
                    <w:kinsoku/>
                    <w:wordWrap/>
                    <w:overflowPunct/>
                    <w:topLinePunct w:val="0"/>
                    <w:autoSpaceDE/>
                    <w:autoSpaceDN/>
                    <w:bidi w:val="0"/>
                    <w:adjustRightInd/>
                    <w:snapToGrid w:val="0"/>
                    <w:textAlignment w:val="auto"/>
                    <w:rPr>
                      <w:rFonts w:hint="default"/>
                      <w:lang w:val="en-US" w:eastAsia="zh-CN"/>
                    </w:rPr>
                  </w:pPr>
                  <w:r>
                    <w:rPr>
                      <w:rFonts w:hint="eastAsia"/>
                      <w:lang w:val="en-US" w:eastAsia="zh-CN"/>
                    </w:rPr>
                    <w:t>6</w:t>
                  </w:r>
                </w:p>
              </w:tc>
              <w:tc>
                <w:tcPr>
                  <w:tcW w:w="582" w:type="pct"/>
                  <w:vAlign w:val="center"/>
                </w:tcPr>
                <w:p w14:paraId="5636BB18">
                  <w:pPr>
                    <w:pStyle w:val="49"/>
                    <w:keepNext w:val="0"/>
                    <w:keepLines w:val="0"/>
                    <w:pageBreakBefore w:val="0"/>
                    <w:widowControl w:val="0"/>
                    <w:kinsoku/>
                    <w:wordWrap/>
                    <w:overflowPunct/>
                    <w:topLinePunct w:val="0"/>
                    <w:autoSpaceDE/>
                    <w:autoSpaceDN/>
                    <w:bidi w:val="0"/>
                    <w:adjustRightInd/>
                    <w:snapToGrid w:val="0"/>
                    <w:textAlignment w:val="auto"/>
                    <w:rPr>
                      <w:rFonts w:hint="eastAsia" w:ascii="Times New Roman" w:hAnsi="Times New Roman" w:eastAsia="宋体" w:cs="宋体"/>
                      <w:color w:val="000000" w:themeColor="text1"/>
                      <w:kern w:val="0"/>
                      <w:szCs w:val="21"/>
                      <w:lang w:val="en-US" w:eastAsia="zh-CN"/>
                      <w14:textFill>
                        <w14:solidFill>
                          <w14:schemeClr w14:val="tx1"/>
                        </w14:solidFill>
                      </w14:textFill>
                    </w:rPr>
                  </w:pPr>
                  <w:r>
                    <w:rPr>
                      <w:rFonts w:hint="eastAsia" w:ascii="Times New Roman" w:hAnsi="Times New Roman" w:eastAsia="宋体" w:cs="宋体"/>
                      <w:color w:val="000000" w:themeColor="text1"/>
                      <w:kern w:val="0"/>
                      <w:szCs w:val="21"/>
                      <w:lang w:val="en-US" w:eastAsia="zh-CN"/>
                      <w14:textFill>
                        <w14:solidFill>
                          <w14:schemeClr w14:val="tx1"/>
                        </w14:solidFill>
                      </w14:textFill>
                    </w:rPr>
                    <w:t>加油</w:t>
                  </w:r>
                  <w:r>
                    <w:rPr>
                      <w:rFonts w:hint="eastAsia" w:ascii="Times New Roman" w:hAnsi="Times New Roman" w:eastAsia="宋体" w:cs="宋体"/>
                      <w:color w:val="000000" w:themeColor="text1"/>
                      <w:kern w:val="0"/>
                      <w:szCs w:val="21"/>
                      <w14:textFill>
                        <w14:solidFill>
                          <w14:schemeClr w14:val="tx1"/>
                        </w14:solidFill>
                      </w14:textFill>
                    </w:rPr>
                    <w:t>车辆</w:t>
                  </w:r>
                </w:p>
              </w:tc>
              <w:tc>
                <w:tcPr>
                  <w:tcW w:w="707" w:type="pct"/>
                  <w:vAlign w:val="center"/>
                </w:tcPr>
                <w:p w14:paraId="7D67ADD3">
                  <w:pPr>
                    <w:pStyle w:val="49"/>
                    <w:keepNext w:val="0"/>
                    <w:keepLines w:val="0"/>
                    <w:pageBreakBefore w:val="0"/>
                    <w:widowControl w:val="0"/>
                    <w:kinsoku/>
                    <w:wordWrap/>
                    <w:overflowPunct/>
                    <w:topLinePunct w:val="0"/>
                    <w:autoSpaceDE/>
                    <w:autoSpaceDN/>
                    <w:bidi w:val="0"/>
                    <w:adjustRightInd/>
                    <w:snapToGrid w:val="0"/>
                    <w:textAlignment w:val="auto"/>
                    <w:rPr>
                      <w:rFonts w:hint="default" w:eastAsia="宋体"/>
                      <w:lang w:val="en-US" w:eastAsia="zh-CN"/>
                    </w:rPr>
                  </w:pPr>
                  <w:r>
                    <w:rPr>
                      <w:rFonts w:hint="eastAsia"/>
                    </w:rPr>
                    <w:t>70-</w:t>
                  </w:r>
                  <w:r>
                    <w:rPr>
                      <w:rFonts w:hint="eastAsia"/>
                      <w:lang w:val="en-US" w:eastAsia="zh-CN"/>
                    </w:rPr>
                    <w:t>80</w:t>
                  </w:r>
                </w:p>
              </w:tc>
              <w:tc>
                <w:tcPr>
                  <w:tcW w:w="444" w:type="pct"/>
                  <w:vAlign w:val="center"/>
                </w:tcPr>
                <w:p w14:paraId="5863B39A">
                  <w:pPr>
                    <w:pStyle w:val="49"/>
                    <w:keepNext w:val="0"/>
                    <w:keepLines w:val="0"/>
                    <w:pageBreakBefore w:val="0"/>
                    <w:widowControl w:val="0"/>
                    <w:kinsoku/>
                    <w:wordWrap/>
                    <w:overflowPunct/>
                    <w:topLinePunct w:val="0"/>
                    <w:autoSpaceDE/>
                    <w:autoSpaceDN/>
                    <w:bidi w:val="0"/>
                    <w:adjustRightInd/>
                    <w:snapToGrid w:val="0"/>
                    <w:textAlignment w:val="auto"/>
                    <w:rPr>
                      <w:rFonts w:hint="default"/>
                      <w:lang w:val="en-US" w:eastAsia="zh-CN"/>
                    </w:rPr>
                  </w:pPr>
                  <w:r>
                    <w:rPr>
                      <w:rFonts w:hint="eastAsia"/>
                      <w:lang w:val="en-US" w:eastAsia="zh-CN"/>
                    </w:rPr>
                    <w:t>/</w:t>
                  </w:r>
                </w:p>
              </w:tc>
              <w:tc>
                <w:tcPr>
                  <w:tcW w:w="1120" w:type="pct"/>
                  <w:vAlign w:val="center"/>
                </w:tcPr>
                <w:p w14:paraId="7BD1FC19">
                  <w:pPr>
                    <w:pStyle w:val="49"/>
                    <w:keepNext w:val="0"/>
                    <w:keepLines w:val="0"/>
                    <w:pageBreakBefore w:val="0"/>
                    <w:widowControl w:val="0"/>
                    <w:kinsoku/>
                    <w:wordWrap/>
                    <w:overflowPunct/>
                    <w:topLinePunct w:val="0"/>
                    <w:autoSpaceDE/>
                    <w:autoSpaceDN/>
                    <w:bidi w:val="0"/>
                    <w:adjustRightInd/>
                    <w:snapToGrid w:val="0"/>
                    <w:textAlignment w:val="auto"/>
                    <w:rPr>
                      <w:rFonts w:hint="default"/>
                      <w:lang w:val="en-US" w:eastAsia="zh-CN"/>
                    </w:rPr>
                  </w:pPr>
                  <w:r>
                    <w:rPr>
                      <w:rFonts w:hint="eastAsia" w:ascii="Times New Roman" w:hAnsi="Times New Roman" w:eastAsia="宋体" w:cs="宋体"/>
                      <w:color w:val="000000" w:themeColor="text1"/>
                      <w:kern w:val="0"/>
                      <w:szCs w:val="21"/>
                      <w14:textFill>
                        <w14:solidFill>
                          <w14:schemeClr w14:val="tx1"/>
                        </w14:solidFill>
                      </w14:textFill>
                    </w:rPr>
                    <w:t>加强管理</w:t>
                  </w:r>
                </w:p>
              </w:tc>
              <w:tc>
                <w:tcPr>
                  <w:tcW w:w="666" w:type="pct"/>
                  <w:vAlign w:val="center"/>
                </w:tcPr>
                <w:p w14:paraId="00C22051">
                  <w:pPr>
                    <w:pStyle w:val="49"/>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r>
                    <w:rPr>
                      <w:rFonts w:hint="default" w:ascii="Times New Roman" w:hAnsi="Times New Roman" w:cs="Times New Roman"/>
                    </w:rPr>
                    <w:t>≥</w:t>
                  </w:r>
                  <w:r>
                    <w:rPr>
                      <w:rFonts w:hint="eastAsia" w:ascii="Times New Roman" w:hAnsi="Times New Roman" w:cs="Times New Roman"/>
                      <w:lang w:val="en-US" w:eastAsia="zh-CN"/>
                    </w:rPr>
                    <w:t>20</w:t>
                  </w:r>
                </w:p>
              </w:tc>
              <w:tc>
                <w:tcPr>
                  <w:tcW w:w="666" w:type="pct"/>
                  <w:vAlign w:val="center"/>
                </w:tcPr>
                <w:p w14:paraId="5C249C1C">
                  <w:pPr>
                    <w:pStyle w:val="49"/>
                    <w:keepNext w:val="0"/>
                    <w:keepLines w:val="0"/>
                    <w:pageBreakBefore w:val="0"/>
                    <w:widowControl w:val="0"/>
                    <w:kinsoku/>
                    <w:wordWrap/>
                    <w:overflowPunct/>
                    <w:topLinePunct w:val="0"/>
                    <w:autoSpaceDE/>
                    <w:autoSpaceDN/>
                    <w:bidi w:val="0"/>
                    <w:adjustRightInd/>
                    <w:snapToGrid w:val="0"/>
                    <w:textAlignment w:val="auto"/>
                    <w:rPr>
                      <w:rFonts w:hint="default"/>
                      <w:lang w:val="en-US" w:eastAsia="zh-CN"/>
                    </w:rPr>
                  </w:pPr>
                  <w:r>
                    <w:rPr>
                      <w:rFonts w:hint="eastAsia"/>
                      <w:lang w:val="en-US" w:eastAsia="zh-CN"/>
                    </w:rPr>
                    <w:t>50-60</w:t>
                  </w:r>
                </w:p>
              </w:tc>
              <w:tc>
                <w:tcPr>
                  <w:tcW w:w="444" w:type="pct"/>
                  <w:vAlign w:val="center"/>
                </w:tcPr>
                <w:p w14:paraId="6E15DBA8">
                  <w:pPr>
                    <w:pStyle w:val="49"/>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r>
                    <w:rPr>
                      <w:rFonts w:hint="eastAsia"/>
                      <w:lang w:val="en-US" w:eastAsia="zh-CN"/>
                    </w:rPr>
                    <w:t>24h/d</w:t>
                  </w:r>
                </w:p>
              </w:tc>
            </w:tr>
          </w:tbl>
          <w:p w14:paraId="46D6ABC9">
            <w:pPr>
              <w:pStyle w:val="54"/>
              <w:numPr>
                <w:ilvl w:val="0"/>
                <w:numId w:val="0"/>
              </w:numPr>
              <w:ind w:left="420" w:leftChars="0"/>
              <w:rPr>
                <w:b/>
              </w:rPr>
            </w:pPr>
            <w:r>
              <w:rPr>
                <w:rFonts w:hint="eastAsia"/>
                <w:b/>
                <w:lang w:eastAsia="zh-CN"/>
              </w:rPr>
              <w:t>（</w:t>
            </w:r>
            <w:r>
              <w:rPr>
                <w:rFonts w:hint="eastAsia"/>
                <w:b/>
                <w:lang w:val="en-US" w:eastAsia="zh-CN"/>
              </w:rPr>
              <w:t>2</w:t>
            </w:r>
            <w:r>
              <w:rPr>
                <w:rFonts w:hint="eastAsia"/>
                <w:b/>
                <w:lang w:eastAsia="zh-CN"/>
              </w:rPr>
              <w:t>）</w:t>
            </w:r>
            <w:r>
              <w:rPr>
                <w:rFonts w:hint="eastAsia"/>
                <w:b/>
              </w:rPr>
              <w:t>降噪措施</w:t>
            </w:r>
          </w:p>
          <w:p w14:paraId="291F3A79">
            <w:pPr>
              <w:pStyle w:val="74"/>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ascii="Times New Roman" w:cs="Times New Roman"/>
                <w:szCs w:val="21"/>
              </w:rPr>
            </w:pPr>
            <w:r>
              <w:rPr>
                <w:rFonts w:ascii="Times New Roman" w:cs="Times New Roman"/>
                <w:szCs w:val="21"/>
              </w:rPr>
              <w:t>为减少高噪声设备噪声对周围环境产生的影响，同时为了使厂界噪声达标排放，本次</w:t>
            </w:r>
            <w:r>
              <w:rPr>
                <w:rFonts w:hint="eastAsia" w:ascii="Times New Roman" w:cs="Times New Roman"/>
                <w:szCs w:val="21"/>
                <w:lang w:val="en-US" w:eastAsia="zh-CN"/>
              </w:rPr>
              <w:t>评价</w:t>
            </w:r>
            <w:r>
              <w:rPr>
                <w:rFonts w:ascii="Times New Roman" w:cs="Times New Roman"/>
                <w:szCs w:val="21"/>
              </w:rPr>
              <w:t>建议采取如下治理措施：</w:t>
            </w:r>
          </w:p>
          <w:p w14:paraId="696E5EBE">
            <w:pPr>
              <w:pStyle w:val="54"/>
              <w:keepNext w:val="0"/>
              <w:keepLines w:val="0"/>
              <w:pageBreakBefore w:val="0"/>
              <w:widowControl w:val="0"/>
              <w:numPr>
                <w:ilvl w:val="0"/>
                <w:numId w:val="0"/>
              </w:numPr>
              <w:tabs>
                <w:tab w:val="left" w:pos="7821"/>
              </w:tabs>
              <w:kinsoku/>
              <w:wordWrap/>
              <w:overflowPunct/>
              <w:topLinePunct w:val="0"/>
              <w:autoSpaceDE/>
              <w:autoSpaceDN/>
              <w:bidi w:val="0"/>
              <w:adjustRightInd/>
              <w:snapToGrid/>
              <w:ind w:firstLine="496" w:firstLineChars="200"/>
              <w:textAlignment w:val="auto"/>
              <w:rPr>
                <w:spacing w:val="4"/>
                <w:kern w:val="0"/>
              </w:rPr>
            </w:pPr>
            <w:r>
              <w:rPr>
                <w:rFonts w:hint="eastAsia"/>
                <w:spacing w:val="4"/>
                <w:kern w:val="0"/>
                <w:lang w:val="en-US" w:eastAsia="zh-CN"/>
              </w:rPr>
              <w:t>1）</w:t>
            </w:r>
            <w:r>
              <w:rPr>
                <w:spacing w:val="4"/>
                <w:kern w:val="0"/>
              </w:rPr>
              <w:t>在保证工艺生产的同时注意选用低噪声的设备，同时对设备进行经常性维护，保持设备处于良好的运转状态，同时加强内部管理，合理作业，避免不必要的突发性噪声</w:t>
            </w:r>
            <w:r>
              <w:rPr>
                <w:rFonts w:hint="eastAsia"/>
                <w:spacing w:val="4"/>
                <w:kern w:val="0"/>
                <w:lang w:eastAsia="zh-CN"/>
              </w:rPr>
              <w:t>；</w:t>
            </w:r>
          </w:p>
          <w:p w14:paraId="62D9C700">
            <w:pPr>
              <w:pStyle w:val="54"/>
              <w:keepNext w:val="0"/>
              <w:keepLines w:val="0"/>
              <w:pageBreakBefore w:val="0"/>
              <w:widowControl w:val="0"/>
              <w:numPr>
                <w:ilvl w:val="0"/>
                <w:numId w:val="0"/>
              </w:numPr>
              <w:tabs>
                <w:tab w:val="left" w:pos="7821"/>
              </w:tabs>
              <w:kinsoku/>
              <w:wordWrap/>
              <w:overflowPunct/>
              <w:topLinePunct w:val="0"/>
              <w:autoSpaceDE/>
              <w:autoSpaceDN/>
              <w:bidi w:val="0"/>
              <w:adjustRightInd/>
              <w:snapToGrid/>
              <w:ind w:firstLine="496" w:firstLineChars="200"/>
              <w:textAlignment w:val="auto"/>
              <w:rPr>
                <w:spacing w:val="4"/>
                <w:kern w:val="0"/>
              </w:rPr>
            </w:pPr>
            <w:r>
              <w:rPr>
                <w:rFonts w:hint="eastAsia"/>
                <w:spacing w:val="4"/>
                <w:kern w:val="0"/>
                <w:lang w:val="en-US" w:eastAsia="zh-CN"/>
              </w:rPr>
              <w:t>2）</w:t>
            </w:r>
            <w:r>
              <w:rPr>
                <w:spacing w:val="4"/>
                <w:kern w:val="0"/>
              </w:rPr>
              <w:t>对产生强噪声的设备，在设备与基础之间安装橡胶减振设施</w:t>
            </w:r>
            <w:r>
              <w:rPr>
                <w:rFonts w:hint="eastAsia"/>
                <w:spacing w:val="4"/>
                <w:kern w:val="0"/>
                <w:lang w:eastAsia="zh-CN"/>
              </w:rPr>
              <w:t>；</w:t>
            </w:r>
          </w:p>
          <w:p w14:paraId="6D252036">
            <w:pPr>
              <w:pStyle w:val="54"/>
              <w:keepNext w:val="0"/>
              <w:keepLines w:val="0"/>
              <w:pageBreakBefore w:val="0"/>
              <w:widowControl w:val="0"/>
              <w:numPr>
                <w:ilvl w:val="0"/>
                <w:numId w:val="0"/>
              </w:numPr>
              <w:tabs>
                <w:tab w:val="left" w:pos="7821"/>
              </w:tabs>
              <w:kinsoku/>
              <w:wordWrap/>
              <w:overflowPunct/>
              <w:topLinePunct w:val="0"/>
              <w:autoSpaceDE/>
              <w:autoSpaceDN/>
              <w:bidi w:val="0"/>
              <w:adjustRightInd/>
              <w:snapToGrid/>
              <w:ind w:firstLine="496" w:firstLineChars="200"/>
              <w:textAlignment w:val="auto"/>
              <w:rPr>
                <w:spacing w:val="4"/>
                <w:kern w:val="0"/>
              </w:rPr>
            </w:pPr>
            <w:r>
              <w:rPr>
                <w:rFonts w:hint="eastAsia"/>
                <w:spacing w:val="4"/>
                <w:kern w:val="0"/>
                <w:lang w:val="en-US" w:eastAsia="zh-CN"/>
              </w:rPr>
              <w:t>3）</w:t>
            </w:r>
            <w:r>
              <w:rPr>
                <w:spacing w:val="4"/>
                <w:kern w:val="0"/>
              </w:rPr>
              <w:t>在出入口位置设置减速带，用于限制进站车辆行驶速度，加强交通管理，合理疏导，禁止鸣笛</w:t>
            </w:r>
            <w:r>
              <w:rPr>
                <w:rFonts w:hint="eastAsia"/>
                <w:spacing w:val="4"/>
                <w:kern w:val="0"/>
                <w:lang w:eastAsia="zh-CN"/>
              </w:rPr>
              <w:t>；</w:t>
            </w:r>
          </w:p>
          <w:p w14:paraId="3ED756B6">
            <w:pPr>
              <w:pStyle w:val="54"/>
              <w:keepNext w:val="0"/>
              <w:keepLines w:val="0"/>
              <w:pageBreakBefore w:val="0"/>
              <w:widowControl w:val="0"/>
              <w:numPr>
                <w:ilvl w:val="0"/>
                <w:numId w:val="0"/>
              </w:numPr>
              <w:tabs>
                <w:tab w:val="left" w:pos="7821"/>
              </w:tabs>
              <w:kinsoku/>
              <w:wordWrap/>
              <w:overflowPunct/>
              <w:topLinePunct w:val="0"/>
              <w:autoSpaceDE/>
              <w:autoSpaceDN/>
              <w:bidi w:val="0"/>
              <w:adjustRightInd/>
              <w:snapToGrid/>
              <w:ind w:firstLine="496" w:firstLineChars="200"/>
              <w:textAlignment w:val="auto"/>
              <w:rPr>
                <w:spacing w:val="4"/>
                <w:kern w:val="0"/>
              </w:rPr>
            </w:pPr>
            <w:r>
              <w:rPr>
                <w:rFonts w:hint="eastAsia"/>
                <w:spacing w:val="4"/>
                <w:kern w:val="0"/>
                <w:lang w:val="en-US" w:eastAsia="zh-CN"/>
              </w:rPr>
              <w:t>4）厂界</w:t>
            </w:r>
            <w:r>
              <w:rPr>
                <w:rFonts w:hint="eastAsia"/>
                <w:spacing w:val="4"/>
                <w:kern w:val="0"/>
              </w:rPr>
              <w:t>东</w:t>
            </w:r>
            <w:r>
              <w:rPr>
                <w:rFonts w:hint="eastAsia"/>
                <w:spacing w:val="4"/>
                <w:kern w:val="0"/>
                <w:lang w:eastAsia="zh-CN"/>
              </w:rPr>
              <w:t>、</w:t>
            </w:r>
            <w:r>
              <w:rPr>
                <w:spacing w:val="4"/>
                <w:kern w:val="0"/>
              </w:rPr>
              <w:t>西</w:t>
            </w:r>
            <w:r>
              <w:rPr>
                <w:rFonts w:hint="eastAsia"/>
                <w:spacing w:val="4"/>
                <w:kern w:val="0"/>
                <w:lang w:eastAsia="zh-CN"/>
              </w:rPr>
              <w:t>、</w:t>
            </w:r>
            <w:r>
              <w:rPr>
                <w:rFonts w:hint="eastAsia"/>
                <w:spacing w:val="4"/>
                <w:kern w:val="0"/>
                <w:lang w:val="en-US" w:eastAsia="zh-CN"/>
              </w:rPr>
              <w:t>南</w:t>
            </w:r>
            <w:r>
              <w:rPr>
                <w:spacing w:val="4"/>
                <w:kern w:val="0"/>
              </w:rPr>
              <w:t>面均建设</w:t>
            </w:r>
            <w:r>
              <w:rPr>
                <w:rFonts w:hint="eastAsia"/>
                <w:spacing w:val="4"/>
                <w:kern w:val="0"/>
                <w:lang w:val="en-US" w:eastAsia="zh-CN"/>
              </w:rPr>
              <w:t>实体</w:t>
            </w:r>
            <w:r>
              <w:rPr>
                <w:spacing w:val="4"/>
                <w:kern w:val="0"/>
              </w:rPr>
              <w:t>围墙，可有效隔声。</w:t>
            </w:r>
          </w:p>
          <w:p w14:paraId="637E89C5">
            <w:pPr>
              <w:pStyle w:val="54"/>
              <w:numPr>
                <w:ilvl w:val="0"/>
                <w:numId w:val="0"/>
              </w:numPr>
              <w:ind w:left="420" w:leftChars="0"/>
              <w:rPr>
                <w:b/>
              </w:rPr>
            </w:pPr>
            <w:r>
              <w:rPr>
                <w:rFonts w:hint="eastAsia"/>
                <w:b/>
                <w:lang w:eastAsia="zh-CN"/>
              </w:rPr>
              <w:t>（</w:t>
            </w:r>
            <w:r>
              <w:rPr>
                <w:rFonts w:hint="eastAsia"/>
                <w:b/>
                <w:lang w:val="en-US" w:eastAsia="zh-CN"/>
              </w:rPr>
              <w:t>3</w:t>
            </w:r>
            <w:r>
              <w:rPr>
                <w:rFonts w:hint="eastAsia"/>
                <w:b/>
                <w:lang w:eastAsia="zh-CN"/>
              </w:rPr>
              <w:t>）</w:t>
            </w:r>
            <w:r>
              <w:rPr>
                <w:rFonts w:hint="eastAsia"/>
                <w:b/>
              </w:rPr>
              <w:t>环境影响分析</w:t>
            </w:r>
          </w:p>
          <w:p w14:paraId="4814FFF4">
            <w:pPr>
              <w:spacing w:line="360" w:lineRule="auto"/>
              <w:ind w:firstLine="482" w:firstLineChars="200"/>
              <w:rPr>
                <w:b/>
                <w:bCs/>
                <w:sz w:val="24"/>
              </w:rPr>
            </w:pPr>
            <w:bookmarkStart w:id="8" w:name="_Toc329264019"/>
            <w:r>
              <w:rPr>
                <w:rFonts w:hint="eastAsia"/>
                <w:b/>
                <w:bCs/>
                <w:sz w:val="24"/>
              </w:rPr>
              <w:t>1）室内点声源的预测</w:t>
            </w:r>
          </w:p>
          <w:p w14:paraId="61E7196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rPr>
            </w:pPr>
            <w:r>
              <w:rPr>
                <w:rFonts w:hint="eastAsia"/>
                <w:sz w:val="24"/>
              </w:rPr>
              <w:t>声源位于室内</w:t>
            </w:r>
            <w:r>
              <w:rPr>
                <w:rFonts w:hint="eastAsia"/>
                <w:sz w:val="24"/>
                <w:lang w:eastAsia="zh-CN"/>
              </w:rPr>
              <w:t>、</w:t>
            </w:r>
            <w:r>
              <w:rPr>
                <w:rFonts w:hint="eastAsia"/>
                <w:sz w:val="24"/>
              </w:rPr>
              <w:t>室内声源可采用等效室外声源声功率级法进行计算。设靠近开口处（或窗户）室内、室外某倍频带的声压级或A声级分别为L</w:t>
            </w:r>
            <w:r>
              <w:rPr>
                <w:rFonts w:hint="eastAsia"/>
                <w:sz w:val="24"/>
                <w:vertAlign w:val="subscript"/>
              </w:rPr>
              <w:t>p1</w:t>
            </w:r>
            <w:r>
              <w:rPr>
                <w:rFonts w:hint="eastAsia"/>
                <w:sz w:val="24"/>
              </w:rPr>
              <w:t>和L</w:t>
            </w:r>
            <w:r>
              <w:rPr>
                <w:rFonts w:hint="eastAsia"/>
                <w:sz w:val="24"/>
                <w:vertAlign w:val="subscript"/>
              </w:rPr>
              <w:t>p2</w:t>
            </w:r>
            <w:r>
              <w:rPr>
                <w:rFonts w:hint="eastAsia"/>
                <w:sz w:val="24"/>
              </w:rPr>
              <w:t>。若声源所在室内声场为近似扩散声场，则室外的倍频带声压级可按式（B.3）计算出所有室内声源在围护结构处产生的i倍频带叠加声压级：</w:t>
            </w:r>
          </w:p>
          <w:p w14:paraId="0F59F1A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sz w:val="24"/>
              </w:rPr>
            </w:pPr>
            <w:r>
              <w:rPr>
                <w:position w:val="-32"/>
                <w:sz w:val="24"/>
                <w:lang w:bidi="ar"/>
              </w:rPr>
              <w:object>
                <v:shape id="_x0000_i1029" o:spt="75" type="#_x0000_t75" style="height:38.5pt;width:128pt;" o:ole="t" filled="f" o:preferrelative="t" stroked="f" coordsize="21600,21600">
                  <v:path/>
                  <v:fill on="f" focussize="0,0"/>
                  <v:stroke on="f"/>
                  <v:imagedata r:id="rId35" o:title=""/>
                  <o:lock v:ext="edit" aspectratio="t"/>
                  <w10:wrap type="none"/>
                  <w10:anchorlock/>
                </v:shape>
                <o:OLEObject Type="Embed" ProgID="Equation.3" ShapeID="_x0000_i1029" DrawAspect="Content" ObjectID="_1468075729" r:id="rId34">
                  <o:LockedField>false</o:LockedField>
                </o:OLEObject>
              </w:object>
            </w:r>
            <w:r>
              <w:rPr>
                <w:rFonts w:hint="eastAsia"/>
                <w:sz w:val="24"/>
                <w:lang w:bidi="ar"/>
              </w:rPr>
              <w:t xml:space="preserve">              </w:t>
            </w:r>
            <w:r>
              <w:rPr>
                <w:sz w:val="24"/>
              </w:rPr>
              <w:t>（</w:t>
            </w:r>
            <w:r>
              <w:rPr>
                <w:rFonts w:eastAsia="Times New Roman"/>
                <w:position w:val="1"/>
                <w:sz w:val="24"/>
              </w:rPr>
              <w:t>B.</w:t>
            </w:r>
            <w:r>
              <w:rPr>
                <w:rFonts w:hint="eastAsia"/>
                <w:position w:val="1"/>
                <w:sz w:val="24"/>
              </w:rPr>
              <w:t>3</w:t>
            </w:r>
            <w:r>
              <w:rPr>
                <w:sz w:val="24"/>
              </w:rPr>
              <w:t>）</w:t>
            </w:r>
          </w:p>
          <w:p w14:paraId="5154E7A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rPr>
            </w:pPr>
            <w:r>
              <w:rPr>
                <w:rFonts w:hint="eastAsia"/>
                <w:sz w:val="24"/>
              </w:rPr>
              <w:t>式中：L</w:t>
            </w:r>
            <w:r>
              <w:rPr>
                <w:rFonts w:hint="eastAsia"/>
                <w:sz w:val="24"/>
                <w:vertAlign w:val="subscript"/>
              </w:rPr>
              <w:t>p1i</w:t>
            </w:r>
            <w:r>
              <w:rPr>
                <w:rFonts w:hint="eastAsia"/>
                <w:sz w:val="24"/>
              </w:rPr>
              <w:t>（T）——靠近围护结构处室内N个声源i倍频带的叠加声压级，dB；</w:t>
            </w:r>
          </w:p>
          <w:p w14:paraId="7D6B9865">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sz w:val="24"/>
              </w:rPr>
            </w:pPr>
            <w:r>
              <w:rPr>
                <w:rFonts w:hint="eastAsia"/>
                <w:sz w:val="24"/>
              </w:rPr>
              <w:t>L</w:t>
            </w:r>
            <w:r>
              <w:rPr>
                <w:rFonts w:hint="eastAsia"/>
                <w:sz w:val="24"/>
                <w:vertAlign w:val="subscript"/>
              </w:rPr>
              <w:t>p1ij</w:t>
            </w:r>
            <w:r>
              <w:rPr>
                <w:rFonts w:hint="eastAsia"/>
                <w:sz w:val="24"/>
              </w:rPr>
              <w:t>——室内j声源i倍频带的声压级，dB；</w:t>
            </w:r>
          </w:p>
          <w:p w14:paraId="42CDCA8E">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sz w:val="24"/>
              </w:rPr>
            </w:pPr>
            <w:r>
              <w:rPr>
                <w:rFonts w:hint="eastAsia"/>
                <w:sz w:val="24"/>
              </w:rPr>
              <w:t>N——室内声源总数。</w:t>
            </w:r>
          </w:p>
          <w:p w14:paraId="5D85E81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rPr>
            </w:pPr>
            <w:r>
              <w:rPr>
                <w:rFonts w:hint="eastAsia"/>
                <w:sz w:val="24"/>
              </w:rPr>
              <w:t>在室内近似为扩散声场时，按式（B.4）计算出靠近室外围护结构处的声压级：</w:t>
            </w:r>
          </w:p>
          <w:p w14:paraId="336FD70D">
            <w:pPr>
              <w:keepNext w:val="0"/>
              <w:keepLines w:val="0"/>
              <w:pageBreakBefore w:val="0"/>
              <w:widowControl w:val="0"/>
              <w:kinsoku/>
              <w:wordWrap w:val="0"/>
              <w:overflowPunct/>
              <w:topLinePunct w:val="0"/>
              <w:autoSpaceDE/>
              <w:autoSpaceDN/>
              <w:bidi w:val="0"/>
              <w:adjustRightInd/>
              <w:snapToGrid/>
              <w:spacing w:line="360" w:lineRule="auto"/>
              <w:ind w:firstLine="0" w:firstLineChars="0"/>
              <w:jc w:val="center"/>
              <w:textAlignment w:val="auto"/>
              <w:rPr>
                <w:sz w:val="24"/>
              </w:rPr>
            </w:pPr>
            <w:r>
              <w:rPr>
                <w:position w:val="-14"/>
                <w:sz w:val="24"/>
                <w:lang w:bidi="ar"/>
              </w:rPr>
              <w:object>
                <v:shape id="_x0000_i1030" o:spt="75" type="#_x0000_t75" style="height:19.5pt;width:134.5pt;" o:ole="t" filled="f" o:preferrelative="t" stroked="f" coordsize="21600,21600">
                  <v:path/>
                  <v:fill on="f" focussize="0,0"/>
                  <v:stroke on="f"/>
                  <v:imagedata r:id="rId37" o:title=""/>
                  <o:lock v:ext="edit" aspectratio="t"/>
                  <w10:wrap type="none"/>
                  <w10:anchorlock/>
                </v:shape>
                <o:OLEObject Type="Embed" ProgID="Equation.3" ShapeID="_x0000_i1030" DrawAspect="Content" ObjectID="_1468075730" r:id="rId36">
                  <o:LockedField>false</o:LockedField>
                </o:OLEObject>
              </w:object>
            </w:r>
            <w:r>
              <w:rPr>
                <w:rFonts w:hint="eastAsia"/>
                <w:sz w:val="24"/>
                <w:lang w:bidi="ar"/>
              </w:rPr>
              <w:t xml:space="preserve">                    </w:t>
            </w:r>
            <w:r>
              <w:rPr>
                <w:sz w:val="24"/>
              </w:rPr>
              <w:t>（</w:t>
            </w:r>
            <w:r>
              <w:rPr>
                <w:rFonts w:eastAsia="Times New Roman"/>
                <w:position w:val="1"/>
                <w:sz w:val="24"/>
              </w:rPr>
              <w:t>B.</w:t>
            </w:r>
            <w:r>
              <w:rPr>
                <w:rFonts w:hint="eastAsia"/>
                <w:position w:val="1"/>
                <w:sz w:val="24"/>
              </w:rPr>
              <w:t>4</w:t>
            </w:r>
            <w:r>
              <w:rPr>
                <w:sz w:val="24"/>
              </w:rPr>
              <w:t>）</w:t>
            </w:r>
          </w:p>
          <w:p w14:paraId="76087EE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rPr>
            </w:pPr>
            <w:r>
              <w:rPr>
                <w:rFonts w:hint="eastAsia"/>
                <w:sz w:val="24"/>
              </w:rPr>
              <w:t>式中：L</w:t>
            </w:r>
            <w:r>
              <w:rPr>
                <w:rFonts w:hint="eastAsia"/>
                <w:sz w:val="24"/>
                <w:vertAlign w:val="subscript"/>
              </w:rPr>
              <w:t>p2i</w:t>
            </w:r>
            <w:r>
              <w:rPr>
                <w:rFonts w:hint="eastAsia"/>
                <w:sz w:val="24"/>
                <w:lang w:eastAsia="zh-CN"/>
              </w:rPr>
              <w:t>（</w:t>
            </w:r>
            <w:r>
              <w:rPr>
                <w:rFonts w:hint="eastAsia"/>
                <w:sz w:val="24"/>
              </w:rPr>
              <w:t>T</w:t>
            </w:r>
            <w:r>
              <w:rPr>
                <w:rFonts w:hint="eastAsia"/>
                <w:sz w:val="24"/>
                <w:lang w:eastAsia="zh-CN"/>
              </w:rPr>
              <w:t>）</w:t>
            </w:r>
            <w:r>
              <w:rPr>
                <w:rFonts w:hint="eastAsia"/>
                <w:sz w:val="24"/>
              </w:rPr>
              <w:t>——靠近围护结构处室外N个声源i倍频带的叠加声压级，dB；</w:t>
            </w:r>
          </w:p>
          <w:p w14:paraId="62BB33C3">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sz w:val="24"/>
              </w:rPr>
            </w:pPr>
            <w:r>
              <w:rPr>
                <w:rFonts w:hint="eastAsia"/>
                <w:sz w:val="24"/>
              </w:rPr>
              <w:t>L</w:t>
            </w:r>
            <w:r>
              <w:rPr>
                <w:rFonts w:hint="eastAsia"/>
                <w:sz w:val="24"/>
                <w:vertAlign w:val="subscript"/>
              </w:rPr>
              <w:t>p1i</w:t>
            </w:r>
            <w:r>
              <w:rPr>
                <w:rFonts w:hint="eastAsia"/>
                <w:sz w:val="24"/>
                <w:lang w:eastAsia="zh-CN"/>
              </w:rPr>
              <w:t>（</w:t>
            </w:r>
            <w:r>
              <w:rPr>
                <w:rFonts w:hint="eastAsia"/>
                <w:sz w:val="24"/>
              </w:rPr>
              <w:t>T</w:t>
            </w:r>
            <w:r>
              <w:rPr>
                <w:rFonts w:hint="eastAsia"/>
                <w:sz w:val="24"/>
                <w:lang w:eastAsia="zh-CN"/>
              </w:rPr>
              <w:t>）</w:t>
            </w:r>
            <w:r>
              <w:rPr>
                <w:rFonts w:hint="eastAsia"/>
                <w:sz w:val="24"/>
              </w:rPr>
              <w:t>——靠近围护结构处室内N个声源i倍频带的叠加声压级dB；</w:t>
            </w:r>
          </w:p>
          <w:p w14:paraId="0B49A89D">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sz w:val="24"/>
              </w:rPr>
            </w:pPr>
            <w:r>
              <w:rPr>
                <w:rFonts w:hint="eastAsia"/>
                <w:sz w:val="24"/>
              </w:rPr>
              <w:t>TL</w:t>
            </w:r>
            <w:r>
              <w:rPr>
                <w:rFonts w:hint="eastAsia"/>
                <w:sz w:val="24"/>
                <w:vertAlign w:val="subscript"/>
              </w:rPr>
              <w:t>i</w:t>
            </w:r>
            <w:r>
              <w:rPr>
                <w:rFonts w:hint="eastAsia"/>
                <w:sz w:val="24"/>
              </w:rPr>
              <w:t>——围护结构i倍频带的隔声量，dB。</w:t>
            </w:r>
          </w:p>
          <w:p w14:paraId="3EBC122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rPr>
            </w:pPr>
            <w:r>
              <w:rPr>
                <w:rFonts w:hint="eastAsia"/>
                <w:sz w:val="24"/>
              </w:rPr>
              <w:t>然后按室外声源预测方法计算预测点处的A声级。</w:t>
            </w:r>
          </w:p>
          <w:p w14:paraId="75E14533">
            <w:pPr>
              <w:spacing w:line="360" w:lineRule="auto"/>
              <w:ind w:firstLine="482" w:firstLineChars="200"/>
              <w:rPr>
                <w:b/>
                <w:bCs/>
                <w:sz w:val="24"/>
              </w:rPr>
            </w:pPr>
            <w:r>
              <w:rPr>
                <w:rFonts w:hint="eastAsia"/>
                <w:b/>
                <w:bCs/>
                <w:sz w:val="24"/>
              </w:rPr>
              <w:t>2）室外点声源的预测</w:t>
            </w:r>
          </w:p>
          <w:p w14:paraId="224E292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rPr>
            </w:pPr>
            <w:r>
              <w:rPr>
                <w:rFonts w:hint="eastAsia"/>
                <w:sz w:val="24"/>
              </w:rPr>
              <w:t>在环境影响评价中，应根据声源声功率级或参考位置处的声压级、户外声传播衰减，计算预测点的声级，按式（A.2）计算。</w:t>
            </w:r>
          </w:p>
          <w:p w14:paraId="1CA5B51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sz w:val="24"/>
              </w:rPr>
            </w:pPr>
            <w:r>
              <w:rPr>
                <w:sz w:val="24"/>
              </w:rPr>
              <w:t>L</w:t>
            </w:r>
            <w:r>
              <w:rPr>
                <w:sz w:val="24"/>
                <w:vertAlign w:val="subscript"/>
              </w:rPr>
              <w:t>p</w:t>
            </w:r>
            <w:r>
              <w:rPr>
                <w:rFonts w:hint="eastAsia"/>
                <w:sz w:val="24"/>
                <w:vertAlign w:val="subscript"/>
                <w:lang w:eastAsia="zh-CN"/>
              </w:rPr>
              <w:t>（</w:t>
            </w:r>
            <w:r>
              <w:rPr>
                <w:sz w:val="24"/>
                <w:vertAlign w:val="subscript"/>
              </w:rPr>
              <w:t>r</w:t>
            </w:r>
            <w:r>
              <w:rPr>
                <w:rFonts w:hint="eastAsia"/>
                <w:sz w:val="24"/>
                <w:vertAlign w:val="subscript"/>
                <w:lang w:eastAsia="zh-CN"/>
              </w:rPr>
              <w:t>）</w:t>
            </w:r>
            <w:r>
              <w:rPr>
                <w:sz w:val="24"/>
              </w:rPr>
              <w:t>＝L</w:t>
            </w:r>
            <w:r>
              <w:rPr>
                <w:sz w:val="24"/>
                <w:vertAlign w:val="subscript"/>
              </w:rPr>
              <w:t>p</w:t>
            </w:r>
            <w:r>
              <w:rPr>
                <w:rFonts w:hint="eastAsia"/>
                <w:sz w:val="24"/>
                <w:vertAlign w:val="subscript"/>
                <w:lang w:eastAsia="zh-CN"/>
              </w:rPr>
              <w:t>（</w:t>
            </w:r>
            <w:r>
              <w:rPr>
                <w:sz w:val="24"/>
                <w:vertAlign w:val="subscript"/>
              </w:rPr>
              <w:t>r0</w:t>
            </w:r>
            <w:r>
              <w:rPr>
                <w:rFonts w:hint="eastAsia"/>
                <w:sz w:val="24"/>
                <w:vertAlign w:val="subscript"/>
                <w:lang w:eastAsia="zh-CN"/>
              </w:rPr>
              <w:t>）</w:t>
            </w:r>
            <w:r>
              <w:rPr>
                <w:sz w:val="24"/>
              </w:rPr>
              <w:t>+D</w:t>
            </w:r>
            <w:r>
              <w:rPr>
                <w:sz w:val="24"/>
                <w:vertAlign w:val="subscript"/>
              </w:rPr>
              <w:t>C</w:t>
            </w:r>
            <w:r>
              <w:rPr>
                <w:sz w:val="24"/>
              </w:rPr>
              <w:t>－</w:t>
            </w:r>
            <w:r>
              <w:rPr>
                <w:rFonts w:hint="eastAsia"/>
                <w:sz w:val="24"/>
                <w:lang w:eastAsia="zh-CN"/>
              </w:rPr>
              <w:t>（</w:t>
            </w:r>
            <w:r>
              <w:rPr>
                <w:sz w:val="24"/>
              </w:rPr>
              <w:t>A</w:t>
            </w:r>
            <w:r>
              <w:rPr>
                <w:sz w:val="24"/>
                <w:vertAlign w:val="subscript"/>
              </w:rPr>
              <w:t>div</w:t>
            </w:r>
            <w:r>
              <w:rPr>
                <w:sz w:val="24"/>
              </w:rPr>
              <w:t>＋A</w:t>
            </w:r>
            <w:r>
              <w:rPr>
                <w:sz w:val="24"/>
                <w:vertAlign w:val="subscript"/>
              </w:rPr>
              <w:t>atm</w:t>
            </w:r>
            <w:r>
              <w:rPr>
                <w:sz w:val="24"/>
              </w:rPr>
              <w:t>＋A</w:t>
            </w:r>
            <w:r>
              <w:rPr>
                <w:sz w:val="24"/>
                <w:vertAlign w:val="subscript"/>
              </w:rPr>
              <w:t>gr</w:t>
            </w:r>
            <w:r>
              <w:rPr>
                <w:sz w:val="24"/>
              </w:rPr>
              <w:t>＋A</w:t>
            </w:r>
            <w:r>
              <w:rPr>
                <w:sz w:val="24"/>
                <w:vertAlign w:val="subscript"/>
              </w:rPr>
              <w:t>bar</w:t>
            </w:r>
            <w:r>
              <w:rPr>
                <w:sz w:val="24"/>
              </w:rPr>
              <w:t>＋A</w:t>
            </w:r>
            <w:r>
              <w:rPr>
                <w:sz w:val="24"/>
                <w:vertAlign w:val="subscript"/>
              </w:rPr>
              <w:t>misc</w:t>
            </w:r>
            <w:r>
              <w:rPr>
                <w:rFonts w:hint="eastAsia"/>
                <w:sz w:val="24"/>
                <w:lang w:eastAsia="zh-CN"/>
              </w:rPr>
              <w:t>）</w:t>
            </w:r>
            <w:r>
              <w:rPr>
                <w:sz w:val="24"/>
              </w:rPr>
              <w:t xml:space="preserve">      （A.2）</w:t>
            </w:r>
          </w:p>
          <w:p w14:paraId="1D1F3E3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rPr>
            </w:pPr>
            <w:r>
              <w:rPr>
                <w:sz w:val="24"/>
              </w:rPr>
              <w:t>式中：L</w:t>
            </w:r>
            <w:r>
              <w:rPr>
                <w:sz w:val="24"/>
                <w:vertAlign w:val="subscript"/>
              </w:rPr>
              <w:t>p</w:t>
            </w:r>
            <w:r>
              <w:rPr>
                <w:rFonts w:hint="eastAsia"/>
                <w:sz w:val="24"/>
                <w:vertAlign w:val="subscript"/>
                <w:lang w:eastAsia="zh-CN"/>
              </w:rPr>
              <w:t>（</w:t>
            </w:r>
            <w:r>
              <w:rPr>
                <w:sz w:val="24"/>
                <w:vertAlign w:val="subscript"/>
              </w:rPr>
              <w:t>r</w:t>
            </w:r>
            <w:r>
              <w:rPr>
                <w:rFonts w:hint="eastAsia"/>
                <w:sz w:val="24"/>
                <w:vertAlign w:val="subscript"/>
                <w:lang w:eastAsia="zh-CN"/>
              </w:rPr>
              <w:t>）</w:t>
            </w:r>
            <w:r>
              <w:rPr>
                <w:sz w:val="24"/>
              </w:rPr>
              <w:t>——预测点处声压级，dB；</w:t>
            </w:r>
          </w:p>
          <w:p w14:paraId="129C8096">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sz w:val="24"/>
              </w:rPr>
            </w:pPr>
            <w:r>
              <w:rPr>
                <w:sz w:val="24"/>
              </w:rPr>
              <w:t>L</w:t>
            </w:r>
            <w:r>
              <w:rPr>
                <w:sz w:val="24"/>
                <w:vertAlign w:val="subscript"/>
              </w:rPr>
              <w:t>p</w:t>
            </w:r>
            <w:r>
              <w:rPr>
                <w:rFonts w:hint="eastAsia"/>
                <w:sz w:val="24"/>
                <w:vertAlign w:val="subscript"/>
                <w:lang w:eastAsia="zh-CN"/>
              </w:rPr>
              <w:t>（</w:t>
            </w:r>
            <w:r>
              <w:rPr>
                <w:sz w:val="24"/>
                <w:vertAlign w:val="subscript"/>
              </w:rPr>
              <w:t>r0</w:t>
            </w:r>
            <w:r>
              <w:rPr>
                <w:rFonts w:hint="eastAsia"/>
                <w:sz w:val="24"/>
                <w:vertAlign w:val="subscript"/>
                <w:lang w:eastAsia="zh-CN"/>
              </w:rPr>
              <w:t>）</w:t>
            </w:r>
            <w:r>
              <w:rPr>
                <w:sz w:val="24"/>
              </w:rPr>
              <w:t>——参考位置r0处的声压级，dB；</w:t>
            </w:r>
          </w:p>
          <w:p w14:paraId="7D8B3241">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sz w:val="24"/>
              </w:rPr>
            </w:pPr>
            <w:r>
              <w:rPr>
                <w:sz w:val="24"/>
              </w:rPr>
              <w:t>D</w:t>
            </w:r>
            <w:r>
              <w:rPr>
                <w:sz w:val="24"/>
                <w:vertAlign w:val="subscript"/>
              </w:rPr>
              <w:t>C</w:t>
            </w:r>
            <w:r>
              <w:rPr>
                <w:sz w:val="24"/>
              </w:rPr>
              <w:t>——指向性校正，它描述点声源的等效连续声压级与产生声功率级Lw的全向点声源在规定方向的声级的偏差程度，dB；</w:t>
            </w:r>
          </w:p>
          <w:p w14:paraId="16BD4BFD">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sz w:val="24"/>
              </w:rPr>
            </w:pPr>
            <w:r>
              <w:rPr>
                <w:sz w:val="24"/>
              </w:rPr>
              <w:t>A</w:t>
            </w:r>
            <w:r>
              <w:rPr>
                <w:sz w:val="24"/>
                <w:vertAlign w:val="subscript"/>
              </w:rPr>
              <w:t>div</w:t>
            </w:r>
            <w:r>
              <w:rPr>
                <w:sz w:val="24"/>
              </w:rPr>
              <w:t>——几何发散引起的衰减，dB；</w:t>
            </w:r>
          </w:p>
          <w:p w14:paraId="68549766">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sz w:val="24"/>
              </w:rPr>
            </w:pPr>
            <w:r>
              <w:rPr>
                <w:sz w:val="24"/>
              </w:rPr>
              <w:t>A</w:t>
            </w:r>
            <w:r>
              <w:rPr>
                <w:sz w:val="24"/>
                <w:vertAlign w:val="subscript"/>
              </w:rPr>
              <w:t>atm</w:t>
            </w:r>
            <w:r>
              <w:rPr>
                <w:sz w:val="24"/>
              </w:rPr>
              <w:t>——大气吸收引起的衰减，dB；</w:t>
            </w:r>
          </w:p>
          <w:p w14:paraId="16C4ED81">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sz w:val="24"/>
              </w:rPr>
            </w:pPr>
            <w:r>
              <w:rPr>
                <w:sz w:val="24"/>
              </w:rPr>
              <w:t>A</w:t>
            </w:r>
            <w:r>
              <w:rPr>
                <w:sz w:val="24"/>
                <w:vertAlign w:val="subscript"/>
              </w:rPr>
              <w:t>gr</w:t>
            </w:r>
            <w:r>
              <w:rPr>
                <w:sz w:val="24"/>
              </w:rPr>
              <w:t>——地面效应引起的衰减，dB；</w:t>
            </w:r>
          </w:p>
          <w:p w14:paraId="4F1369C3">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sz w:val="24"/>
              </w:rPr>
            </w:pPr>
            <w:r>
              <w:rPr>
                <w:sz w:val="24"/>
              </w:rPr>
              <w:t>A</w:t>
            </w:r>
            <w:r>
              <w:rPr>
                <w:sz w:val="24"/>
                <w:vertAlign w:val="subscript"/>
              </w:rPr>
              <w:t>bar</w:t>
            </w:r>
            <w:r>
              <w:rPr>
                <w:sz w:val="24"/>
              </w:rPr>
              <w:t>——障碍物屏蔽引起的衰减，dB；</w:t>
            </w:r>
          </w:p>
          <w:p w14:paraId="6D6408A1">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sz w:val="24"/>
              </w:rPr>
            </w:pPr>
            <w:r>
              <w:rPr>
                <w:sz w:val="24"/>
              </w:rPr>
              <w:t>A</w:t>
            </w:r>
            <w:r>
              <w:rPr>
                <w:sz w:val="24"/>
                <w:vertAlign w:val="subscript"/>
              </w:rPr>
              <w:t>misc</w:t>
            </w:r>
            <w:r>
              <w:rPr>
                <w:sz w:val="24"/>
              </w:rPr>
              <w:t>——其他多方面效应引起的衰减，dB。</w:t>
            </w:r>
          </w:p>
          <w:p w14:paraId="2059752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rPr>
            </w:pPr>
            <w:r>
              <w:rPr>
                <w:sz w:val="24"/>
              </w:rPr>
              <w:t>在只考虑几何发散衰减时，可按式（A.4）计算。</w:t>
            </w:r>
          </w:p>
          <w:p w14:paraId="54D847F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sz w:val="24"/>
                <w:lang w:bidi="ar"/>
              </w:rPr>
            </w:pPr>
            <w:r>
              <w:rPr>
                <w:position w:val="-12"/>
                <w:sz w:val="24"/>
                <w:lang w:bidi="ar"/>
              </w:rPr>
              <w:object>
                <v:shape id="_x0000_i1031" o:spt="75" type="#_x0000_t75" style="height:18.5pt;width:96pt;" o:ole="t" filled="f" o:preferrelative="t" stroked="f" coordsize="21600,21600">
                  <v:path/>
                  <v:fill on="f" focussize="0,0"/>
                  <v:stroke on="f"/>
                  <v:imagedata r:id="rId39" o:title=""/>
                  <o:lock v:ext="edit" aspectratio="t"/>
                  <w10:wrap type="none"/>
                  <w10:anchorlock/>
                </v:shape>
                <o:OLEObject Type="Embed" ProgID="Equation.3" ShapeID="_x0000_i1031" DrawAspect="Content" ObjectID="_1468075731" r:id="rId38">
                  <o:LockedField>false</o:LockedField>
                </o:OLEObject>
              </w:object>
            </w:r>
            <w:r>
              <w:rPr>
                <w:iCs/>
                <w:sz w:val="24"/>
                <w:lang w:bidi="ar"/>
              </w:rPr>
              <w:t xml:space="preserve">                 </w:t>
            </w:r>
            <w:r>
              <w:rPr>
                <w:iCs/>
                <w:sz w:val="24"/>
              </w:rPr>
              <w:t>（</w:t>
            </w:r>
            <w:r>
              <w:rPr>
                <w:iCs/>
                <w:position w:val="1"/>
                <w:sz w:val="24"/>
              </w:rPr>
              <w:t>A.4</w:t>
            </w:r>
            <w:r>
              <w:rPr>
                <w:iCs/>
                <w:sz w:val="24"/>
              </w:rPr>
              <w:t>）</w:t>
            </w:r>
          </w:p>
          <w:p w14:paraId="19E4A77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lang w:bidi="ar"/>
              </w:rPr>
            </w:pPr>
            <w:r>
              <w:rPr>
                <w:sz w:val="24"/>
                <w:lang w:bidi="ar"/>
              </w:rPr>
              <w:t>式中：L</w:t>
            </w:r>
            <w:r>
              <w:rPr>
                <w:sz w:val="24"/>
                <w:vertAlign w:val="subscript"/>
                <w:lang w:bidi="ar"/>
              </w:rPr>
              <w:t>A</w:t>
            </w:r>
            <w:r>
              <w:rPr>
                <w:rFonts w:hint="eastAsia"/>
                <w:sz w:val="24"/>
                <w:lang w:eastAsia="zh-CN" w:bidi="ar"/>
              </w:rPr>
              <w:t>（</w:t>
            </w:r>
            <w:r>
              <w:rPr>
                <w:sz w:val="24"/>
                <w:lang w:bidi="ar"/>
              </w:rPr>
              <w:t>r</w:t>
            </w:r>
            <w:r>
              <w:rPr>
                <w:rFonts w:hint="eastAsia"/>
                <w:sz w:val="24"/>
                <w:lang w:eastAsia="zh-CN" w:bidi="ar"/>
              </w:rPr>
              <w:t>）</w:t>
            </w:r>
            <w:r>
              <w:rPr>
                <w:sz w:val="24"/>
                <w:lang w:bidi="ar"/>
              </w:rPr>
              <w:t>——距声源r处的A声级，dB</w:t>
            </w:r>
            <w:r>
              <w:rPr>
                <w:rFonts w:hint="eastAsia"/>
                <w:sz w:val="24"/>
                <w:lang w:eastAsia="zh-CN" w:bidi="ar"/>
              </w:rPr>
              <w:t>（</w:t>
            </w:r>
            <w:r>
              <w:rPr>
                <w:sz w:val="24"/>
                <w:lang w:bidi="ar"/>
              </w:rPr>
              <w:t>A</w:t>
            </w:r>
            <w:r>
              <w:rPr>
                <w:rFonts w:hint="eastAsia"/>
                <w:sz w:val="24"/>
                <w:lang w:eastAsia="zh-CN" w:bidi="ar"/>
              </w:rPr>
              <w:t>）</w:t>
            </w:r>
            <w:r>
              <w:rPr>
                <w:sz w:val="24"/>
                <w:lang w:bidi="ar"/>
              </w:rPr>
              <w:t>；</w:t>
            </w:r>
          </w:p>
          <w:p w14:paraId="33FD39DF">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cs="宋体"/>
                <w:sz w:val="24"/>
                <w:lang w:bidi="ar"/>
              </w:rPr>
            </w:pPr>
            <w:r>
              <w:rPr>
                <w:sz w:val="24"/>
                <w:lang w:bidi="ar"/>
              </w:rPr>
              <w:t>L</w:t>
            </w:r>
            <w:r>
              <w:rPr>
                <w:sz w:val="24"/>
                <w:vertAlign w:val="subscript"/>
                <w:lang w:bidi="ar"/>
              </w:rPr>
              <w:t>A</w:t>
            </w:r>
            <w:r>
              <w:rPr>
                <w:rFonts w:hint="eastAsia"/>
                <w:sz w:val="24"/>
                <w:lang w:eastAsia="zh-CN" w:bidi="ar"/>
              </w:rPr>
              <w:t>（</w:t>
            </w:r>
            <w:r>
              <w:rPr>
                <w:sz w:val="24"/>
                <w:lang w:bidi="ar"/>
              </w:rPr>
              <w:t>r</w:t>
            </w:r>
            <w:r>
              <w:rPr>
                <w:sz w:val="24"/>
                <w:vertAlign w:val="subscript"/>
                <w:lang w:bidi="ar"/>
              </w:rPr>
              <w:t>0</w:t>
            </w:r>
            <w:r>
              <w:rPr>
                <w:rFonts w:hint="eastAsia"/>
                <w:sz w:val="24"/>
                <w:lang w:eastAsia="zh-CN" w:bidi="ar"/>
              </w:rPr>
              <w:t>）</w:t>
            </w:r>
            <w:r>
              <w:rPr>
                <w:sz w:val="24"/>
                <w:lang w:bidi="ar"/>
              </w:rPr>
              <w:t>——参考位置r</w:t>
            </w:r>
            <w:r>
              <w:rPr>
                <w:sz w:val="24"/>
                <w:vertAlign w:val="subscript"/>
                <w:lang w:bidi="ar"/>
              </w:rPr>
              <w:t>0</w:t>
            </w:r>
            <w:r>
              <w:rPr>
                <w:sz w:val="24"/>
                <w:lang w:bidi="ar"/>
              </w:rPr>
              <w:t>处的A声级，dB</w:t>
            </w:r>
            <w:r>
              <w:rPr>
                <w:rFonts w:hint="eastAsia"/>
                <w:sz w:val="24"/>
                <w:lang w:eastAsia="zh-CN" w:bidi="ar"/>
              </w:rPr>
              <w:t>（</w:t>
            </w:r>
            <w:r>
              <w:rPr>
                <w:sz w:val="24"/>
                <w:lang w:bidi="ar"/>
              </w:rPr>
              <w:t>A</w:t>
            </w:r>
            <w:r>
              <w:rPr>
                <w:rFonts w:hint="eastAsia"/>
                <w:sz w:val="24"/>
                <w:lang w:eastAsia="zh-CN" w:bidi="ar"/>
              </w:rPr>
              <w:t>）</w:t>
            </w:r>
            <w:r>
              <w:rPr>
                <w:rFonts w:hint="eastAsia" w:cs="宋体"/>
                <w:sz w:val="24"/>
                <w:lang w:bidi="ar"/>
              </w:rPr>
              <w:t>；</w:t>
            </w:r>
          </w:p>
          <w:p w14:paraId="0EC7438E">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cs="宋体"/>
                <w:sz w:val="24"/>
                <w:lang w:bidi="ar"/>
              </w:rPr>
            </w:pPr>
            <w:r>
              <w:rPr>
                <w:rFonts w:hint="eastAsia" w:cs="宋体"/>
                <w:sz w:val="24"/>
                <w:lang w:bidi="ar"/>
              </w:rPr>
              <w:t>A</w:t>
            </w:r>
            <w:r>
              <w:rPr>
                <w:rFonts w:hint="eastAsia" w:cs="宋体"/>
                <w:sz w:val="24"/>
                <w:vertAlign w:val="subscript"/>
                <w:lang w:bidi="ar"/>
              </w:rPr>
              <w:t>div</w:t>
            </w:r>
            <w:r>
              <w:rPr>
                <w:rFonts w:hint="eastAsia" w:cs="宋体"/>
                <w:sz w:val="24"/>
                <w:lang w:bidi="ar"/>
              </w:rPr>
              <w:t>——几何发散引起的衰减，dB。</w:t>
            </w:r>
          </w:p>
          <w:bookmarkEnd w:id="8"/>
          <w:p w14:paraId="36142EC6">
            <w:pPr>
              <w:spacing w:line="360" w:lineRule="auto"/>
              <w:ind w:firstLine="482" w:firstLineChars="200"/>
              <w:rPr>
                <w:b/>
                <w:bCs/>
                <w:sz w:val="24"/>
              </w:rPr>
            </w:pPr>
            <w:r>
              <w:rPr>
                <w:rFonts w:hint="eastAsia"/>
                <w:b/>
                <w:bCs/>
                <w:sz w:val="24"/>
              </w:rPr>
              <w:t>3）</w:t>
            </w:r>
            <w:r>
              <w:rPr>
                <w:b/>
                <w:bCs/>
                <w:sz w:val="24"/>
              </w:rPr>
              <w:t>预测结果</w:t>
            </w:r>
          </w:p>
          <w:p w14:paraId="67E06DAF">
            <w:pPr>
              <w:ind w:firstLine="480"/>
              <w:rPr>
                <w:kern w:val="0"/>
                <w:sz w:val="24"/>
              </w:rPr>
            </w:pPr>
            <w:r>
              <w:rPr>
                <w:sz w:val="24"/>
              </w:rPr>
              <w:t>根据上述公式计算</w:t>
            </w:r>
            <w:r>
              <w:rPr>
                <w:rFonts w:hint="eastAsia"/>
                <w:sz w:val="24"/>
                <w:lang w:eastAsia="zh-CN"/>
              </w:rPr>
              <w:t>本</w:t>
            </w:r>
            <w:r>
              <w:rPr>
                <w:sz w:val="24"/>
              </w:rPr>
              <w:t>项目对厂界的噪声贡献值，根据《环境影响评价技术导则</w:t>
            </w:r>
            <w:r>
              <w:rPr>
                <w:rFonts w:hint="eastAsia"/>
                <w:sz w:val="24"/>
                <w:lang w:val="en-US" w:eastAsia="zh-CN"/>
              </w:rPr>
              <w:t xml:space="preserve"> </w:t>
            </w:r>
            <w:r>
              <w:rPr>
                <w:sz w:val="24"/>
              </w:rPr>
              <w:t>声环境》（HJ2.4-20</w:t>
            </w:r>
            <w:r>
              <w:rPr>
                <w:rFonts w:hint="eastAsia"/>
                <w:sz w:val="24"/>
              </w:rPr>
              <w:t>21</w:t>
            </w:r>
            <w:r>
              <w:rPr>
                <w:sz w:val="24"/>
              </w:rPr>
              <w:t>）</w:t>
            </w:r>
            <w:r>
              <w:rPr>
                <w:rFonts w:hint="eastAsia"/>
                <w:sz w:val="24"/>
              </w:rPr>
              <w:t>，项目需预测运营期厂界噪声贡献值</w:t>
            </w:r>
            <w:r>
              <w:rPr>
                <w:rFonts w:hint="eastAsia"/>
                <w:sz w:val="24"/>
                <w:lang w:val="en-US" w:eastAsia="zh-CN"/>
              </w:rPr>
              <w:t>及</w:t>
            </w:r>
            <w:r>
              <w:rPr>
                <w:rFonts w:hint="eastAsia"/>
                <w:sz w:val="24"/>
              </w:rPr>
              <w:t>所有声环境保护目标处的噪声贡献值和预测值</w:t>
            </w:r>
            <w:r>
              <w:rPr>
                <w:sz w:val="24"/>
              </w:rPr>
              <w:t>。</w:t>
            </w:r>
            <w:r>
              <w:rPr>
                <w:rFonts w:hint="eastAsia"/>
                <w:sz w:val="24"/>
              </w:rPr>
              <w:t>项目声环境评价范围内</w:t>
            </w:r>
            <w:r>
              <w:rPr>
                <w:rFonts w:hint="eastAsia"/>
                <w:sz w:val="24"/>
                <w:lang w:val="en-US" w:eastAsia="zh-CN"/>
              </w:rPr>
              <w:t>存在</w:t>
            </w:r>
            <w:r>
              <w:rPr>
                <w:rFonts w:hint="eastAsia"/>
                <w:sz w:val="24"/>
              </w:rPr>
              <w:t>无声环境保护目标，因此本次评价对厂界</w:t>
            </w:r>
            <w:r>
              <w:rPr>
                <w:rFonts w:hint="eastAsia"/>
                <w:sz w:val="24"/>
                <w:lang w:val="en-US" w:eastAsia="zh-CN"/>
              </w:rPr>
              <w:t>和</w:t>
            </w:r>
            <w:r>
              <w:rPr>
                <w:rFonts w:hint="eastAsia" w:ascii="Times New Roman" w:hAnsi="Times New Roman" w:eastAsia="宋体" w:cs="Times New Roman"/>
                <w:color w:val="auto"/>
                <w:sz w:val="24"/>
                <w:highlight w:val="none"/>
                <w:lang w:val="en-US" w:eastAsia="zh-CN"/>
              </w:rPr>
              <w:t>声环境保护目标噪声</w:t>
            </w:r>
            <w:r>
              <w:rPr>
                <w:rFonts w:hint="eastAsia" w:ascii="Times New Roman" w:hAnsi="Times New Roman" w:eastAsia="宋体" w:cs="Times New Roman"/>
                <w:color w:val="auto"/>
                <w:sz w:val="24"/>
                <w:highlight w:val="none"/>
                <w:lang w:eastAsia="zh-CN"/>
              </w:rPr>
              <w:t>进行预测</w:t>
            </w:r>
            <w:r>
              <w:rPr>
                <w:rFonts w:hint="default" w:ascii="Times New Roman" w:hAnsi="Times New Roman" w:eastAsia="宋体" w:cs="Times New Roman"/>
                <w:color w:val="auto"/>
                <w:sz w:val="24"/>
                <w:highlight w:val="none"/>
              </w:rPr>
              <w:t>，</w:t>
            </w:r>
            <w:r>
              <w:rPr>
                <w:kern w:val="0"/>
                <w:sz w:val="24"/>
              </w:rPr>
              <w:t>噪声预测结果</w:t>
            </w:r>
            <w:r>
              <w:rPr>
                <w:rFonts w:hint="eastAsia"/>
                <w:kern w:val="0"/>
                <w:sz w:val="24"/>
                <w:lang w:val="en-US" w:eastAsia="zh-CN"/>
              </w:rPr>
              <w:t>详</w:t>
            </w:r>
            <w:r>
              <w:rPr>
                <w:kern w:val="0"/>
                <w:sz w:val="24"/>
              </w:rPr>
              <w:t>见表4</w:t>
            </w:r>
            <w:r>
              <w:rPr>
                <w:rFonts w:hint="eastAsia"/>
                <w:kern w:val="0"/>
                <w:sz w:val="24"/>
              </w:rPr>
              <w:t>.3-2</w:t>
            </w:r>
            <w:r>
              <w:rPr>
                <w:kern w:val="0"/>
                <w:sz w:val="24"/>
              </w:rPr>
              <w:t>。</w:t>
            </w:r>
          </w:p>
          <w:p w14:paraId="70CBF7C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kern w:val="0"/>
                <w:sz w:val="24"/>
              </w:rPr>
            </w:pPr>
            <w:r>
              <w:rPr>
                <w:b/>
                <w:sz w:val="21"/>
                <w:szCs w:val="21"/>
              </w:rPr>
              <w:t>表</w:t>
            </w:r>
            <w:r>
              <w:rPr>
                <w:rFonts w:hint="eastAsia"/>
                <w:b/>
                <w:sz w:val="21"/>
                <w:szCs w:val="21"/>
              </w:rPr>
              <w:t>4.3-2</w:t>
            </w:r>
            <w:r>
              <w:rPr>
                <w:b/>
                <w:sz w:val="21"/>
                <w:szCs w:val="21"/>
              </w:rPr>
              <w:t xml:space="preserve">   </w:t>
            </w:r>
            <w:r>
              <w:rPr>
                <w:rFonts w:hint="eastAsia"/>
                <w:b/>
                <w:sz w:val="21"/>
                <w:szCs w:val="21"/>
                <w:lang w:val="en-US" w:eastAsia="zh-CN"/>
              </w:rPr>
              <w:t>项目</w:t>
            </w:r>
            <w:r>
              <w:rPr>
                <w:b/>
                <w:sz w:val="21"/>
                <w:szCs w:val="21"/>
              </w:rPr>
              <w:t>厂界</w:t>
            </w:r>
            <w:r>
              <w:rPr>
                <w:rFonts w:hint="eastAsia"/>
                <w:b/>
                <w:sz w:val="21"/>
                <w:szCs w:val="21"/>
                <w:lang w:val="en-US" w:eastAsia="zh-CN"/>
              </w:rPr>
              <w:t>和声环境保护目标</w:t>
            </w:r>
            <w:r>
              <w:rPr>
                <w:b/>
                <w:sz w:val="21"/>
                <w:szCs w:val="21"/>
              </w:rPr>
              <w:t>噪声预测结果    Leq：dB</w:t>
            </w:r>
            <w:r>
              <w:rPr>
                <w:rFonts w:hint="eastAsia"/>
                <w:b/>
                <w:sz w:val="21"/>
                <w:szCs w:val="21"/>
              </w:rPr>
              <w:t>（A）</w:t>
            </w:r>
          </w:p>
          <w:tbl>
            <w:tblPr>
              <w:tblStyle w:val="36"/>
              <w:tblW w:w="499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20"/>
              <w:gridCol w:w="969"/>
              <w:gridCol w:w="969"/>
              <w:gridCol w:w="965"/>
              <w:gridCol w:w="965"/>
              <w:gridCol w:w="969"/>
              <w:gridCol w:w="969"/>
              <w:gridCol w:w="961"/>
              <w:gridCol w:w="965"/>
            </w:tblGrid>
            <w:tr w14:paraId="0FE276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20" w:type="dxa"/>
                  <w:vMerge w:val="restart"/>
                  <w:tcBorders>
                    <w:tl2br w:val="nil"/>
                    <w:tr2bl w:val="nil"/>
                  </w:tcBorders>
                  <w:noWrap w:val="0"/>
                  <w:vAlign w:val="center"/>
                </w:tcPr>
                <w:p w14:paraId="45960F8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color w:val="auto"/>
                      <w:sz w:val="21"/>
                      <w:szCs w:val="21"/>
                      <w:vertAlign w:val="baseline"/>
                    </w:rPr>
                  </w:pPr>
                  <w:r>
                    <w:rPr>
                      <w:rFonts w:hint="default" w:ascii="Times New Roman" w:hAnsi="Times New Roman" w:cs="Times New Roman"/>
                      <w:b/>
                      <w:color w:val="auto"/>
                      <w:sz w:val="21"/>
                      <w:szCs w:val="21"/>
                    </w:rPr>
                    <w:t>预测点</w:t>
                  </w:r>
                </w:p>
              </w:tc>
              <w:tc>
                <w:tcPr>
                  <w:tcW w:w="1938" w:type="dxa"/>
                  <w:gridSpan w:val="2"/>
                  <w:tcBorders>
                    <w:tl2br w:val="nil"/>
                    <w:tr2bl w:val="nil"/>
                  </w:tcBorders>
                  <w:noWrap w:val="0"/>
                  <w:vAlign w:val="center"/>
                </w:tcPr>
                <w:p w14:paraId="5A7B21F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color w:val="auto"/>
                      <w:sz w:val="21"/>
                      <w:szCs w:val="21"/>
                      <w:vertAlign w:val="baseline"/>
                    </w:rPr>
                  </w:pPr>
                  <w:r>
                    <w:rPr>
                      <w:rFonts w:hint="default" w:ascii="Times New Roman" w:hAnsi="Times New Roman" w:cs="Times New Roman"/>
                      <w:b/>
                      <w:color w:val="auto"/>
                      <w:sz w:val="21"/>
                      <w:szCs w:val="21"/>
                    </w:rPr>
                    <w:t>项目贡献值</w:t>
                  </w:r>
                </w:p>
              </w:tc>
              <w:tc>
                <w:tcPr>
                  <w:tcW w:w="1930" w:type="dxa"/>
                  <w:gridSpan w:val="2"/>
                  <w:tcBorders>
                    <w:tl2br w:val="nil"/>
                    <w:tr2bl w:val="nil"/>
                  </w:tcBorders>
                  <w:noWrap w:val="0"/>
                  <w:vAlign w:val="center"/>
                </w:tcPr>
                <w:p w14:paraId="67588A9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color w:val="auto"/>
                      <w:sz w:val="21"/>
                      <w:szCs w:val="21"/>
                      <w:lang w:val="en-US" w:eastAsia="zh-CN"/>
                    </w:rPr>
                  </w:pPr>
                  <w:r>
                    <w:rPr>
                      <w:rFonts w:hint="eastAsia" w:ascii="Times New Roman" w:hAnsi="Times New Roman" w:cs="Times New Roman"/>
                      <w:b/>
                      <w:color w:val="auto"/>
                      <w:sz w:val="21"/>
                      <w:szCs w:val="21"/>
                      <w:lang w:val="en-US" w:eastAsia="zh-CN"/>
                    </w:rPr>
                    <w:t>背景值</w:t>
                  </w:r>
                </w:p>
              </w:tc>
              <w:tc>
                <w:tcPr>
                  <w:tcW w:w="1938" w:type="dxa"/>
                  <w:gridSpan w:val="2"/>
                  <w:tcBorders>
                    <w:tl2br w:val="nil"/>
                    <w:tr2bl w:val="nil"/>
                  </w:tcBorders>
                  <w:noWrap w:val="0"/>
                  <w:vAlign w:val="center"/>
                </w:tcPr>
                <w:p w14:paraId="56F82A2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color w:val="auto"/>
                      <w:sz w:val="21"/>
                      <w:szCs w:val="21"/>
                      <w:vertAlign w:val="baseline"/>
                    </w:rPr>
                  </w:pPr>
                  <w:r>
                    <w:rPr>
                      <w:rFonts w:hint="default" w:ascii="Times New Roman" w:hAnsi="Times New Roman" w:cs="Times New Roman"/>
                      <w:b/>
                      <w:color w:val="auto"/>
                      <w:sz w:val="21"/>
                      <w:szCs w:val="21"/>
                    </w:rPr>
                    <w:t>环境噪声评价量</w:t>
                  </w:r>
                </w:p>
              </w:tc>
              <w:tc>
                <w:tcPr>
                  <w:tcW w:w="1924" w:type="dxa"/>
                  <w:gridSpan w:val="2"/>
                  <w:tcBorders>
                    <w:tl2br w:val="nil"/>
                    <w:tr2bl w:val="nil"/>
                  </w:tcBorders>
                  <w:noWrap w:val="0"/>
                  <w:vAlign w:val="center"/>
                </w:tcPr>
                <w:p w14:paraId="54AE3AE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color w:val="auto"/>
                      <w:sz w:val="21"/>
                      <w:szCs w:val="21"/>
                      <w:vertAlign w:val="baseline"/>
                    </w:rPr>
                  </w:pPr>
                  <w:r>
                    <w:rPr>
                      <w:rFonts w:hint="default" w:ascii="Times New Roman" w:hAnsi="Times New Roman" w:cs="Times New Roman"/>
                      <w:b/>
                      <w:color w:val="auto"/>
                      <w:sz w:val="21"/>
                      <w:szCs w:val="21"/>
                    </w:rPr>
                    <w:t>环境标准</w:t>
                  </w:r>
                </w:p>
              </w:tc>
            </w:tr>
            <w:tr w14:paraId="031F86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20" w:type="dxa"/>
                  <w:vMerge w:val="continue"/>
                  <w:tcBorders>
                    <w:tl2br w:val="nil"/>
                    <w:tr2bl w:val="nil"/>
                  </w:tcBorders>
                  <w:noWrap w:val="0"/>
                  <w:vAlign w:val="center"/>
                </w:tcPr>
                <w:p w14:paraId="2F04CC3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color w:val="auto"/>
                      <w:sz w:val="21"/>
                      <w:szCs w:val="21"/>
                      <w:vertAlign w:val="baseline"/>
                    </w:rPr>
                  </w:pPr>
                </w:p>
              </w:tc>
              <w:tc>
                <w:tcPr>
                  <w:tcW w:w="969" w:type="dxa"/>
                  <w:tcBorders>
                    <w:tl2br w:val="nil"/>
                    <w:tr2bl w:val="nil"/>
                  </w:tcBorders>
                  <w:noWrap w:val="0"/>
                  <w:vAlign w:val="center"/>
                </w:tcPr>
                <w:p w14:paraId="1B8E3E9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color w:val="auto"/>
                      <w:sz w:val="21"/>
                      <w:szCs w:val="21"/>
                      <w:vertAlign w:val="baseline"/>
                    </w:rPr>
                  </w:pPr>
                  <w:r>
                    <w:rPr>
                      <w:rFonts w:hint="default" w:ascii="Times New Roman" w:hAnsi="Times New Roman" w:cs="Times New Roman"/>
                      <w:b/>
                      <w:color w:val="auto"/>
                      <w:sz w:val="21"/>
                      <w:szCs w:val="21"/>
                    </w:rPr>
                    <w:t>昼</w:t>
                  </w:r>
                  <w:r>
                    <w:rPr>
                      <w:rFonts w:hint="eastAsia" w:ascii="Times New Roman" w:hAnsi="Times New Roman" w:cs="Times New Roman"/>
                      <w:b/>
                      <w:color w:val="auto"/>
                      <w:sz w:val="21"/>
                      <w:szCs w:val="21"/>
                      <w:lang w:val="en-US" w:eastAsia="zh-CN"/>
                    </w:rPr>
                    <w:t>间</w:t>
                  </w:r>
                </w:p>
              </w:tc>
              <w:tc>
                <w:tcPr>
                  <w:tcW w:w="969" w:type="dxa"/>
                  <w:tcBorders>
                    <w:tl2br w:val="nil"/>
                    <w:tr2bl w:val="nil"/>
                  </w:tcBorders>
                  <w:noWrap w:val="0"/>
                  <w:vAlign w:val="center"/>
                </w:tcPr>
                <w:p w14:paraId="5825949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color w:val="auto"/>
                      <w:sz w:val="21"/>
                      <w:szCs w:val="21"/>
                      <w:vertAlign w:val="baseline"/>
                    </w:rPr>
                  </w:pPr>
                  <w:r>
                    <w:rPr>
                      <w:rFonts w:hint="default" w:ascii="Times New Roman" w:hAnsi="Times New Roman" w:cs="Times New Roman"/>
                      <w:b/>
                      <w:color w:val="auto"/>
                      <w:sz w:val="21"/>
                      <w:szCs w:val="21"/>
                    </w:rPr>
                    <w:t>夜</w:t>
                  </w:r>
                  <w:r>
                    <w:rPr>
                      <w:rFonts w:hint="eastAsia" w:ascii="Times New Roman" w:hAnsi="Times New Roman" w:cs="Times New Roman"/>
                      <w:b/>
                      <w:color w:val="auto"/>
                      <w:sz w:val="21"/>
                      <w:szCs w:val="21"/>
                      <w:lang w:val="en-US" w:eastAsia="zh-CN"/>
                    </w:rPr>
                    <w:t>间</w:t>
                  </w:r>
                </w:p>
              </w:tc>
              <w:tc>
                <w:tcPr>
                  <w:tcW w:w="965" w:type="dxa"/>
                  <w:tcBorders>
                    <w:tl2br w:val="nil"/>
                    <w:tr2bl w:val="nil"/>
                  </w:tcBorders>
                  <w:noWrap w:val="0"/>
                  <w:vAlign w:val="center"/>
                </w:tcPr>
                <w:p w14:paraId="7AF9B73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昼</w:t>
                  </w:r>
                  <w:r>
                    <w:rPr>
                      <w:rFonts w:hint="eastAsia" w:ascii="Times New Roman" w:hAnsi="Times New Roman" w:cs="Times New Roman"/>
                      <w:b/>
                      <w:color w:val="auto"/>
                      <w:sz w:val="21"/>
                      <w:szCs w:val="21"/>
                      <w:lang w:val="en-US" w:eastAsia="zh-CN"/>
                    </w:rPr>
                    <w:t>间</w:t>
                  </w:r>
                </w:p>
              </w:tc>
              <w:tc>
                <w:tcPr>
                  <w:tcW w:w="965" w:type="dxa"/>
                  <w:tcBorders>
                    <w:tl2br w:val="nil"/>
                    <w:tr2bl w:val="nil"/>
                  </w:tcBorders>
                  <w:noWrap w:val="0"/>
                  <w:vAlign w:val="center"/>
                </w:tcPr>
                <w:p w14:paraId="00ABAD5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夜</w:t>
                  </w:r>
                  <w:r>
                    <w:rPr>
                      <w:rFonts w:hint="eastAsia" w:ascii="Times New Roman" w:hAnsi="Times New Roman" w:cs="Times New Roman"/>
                      <w:b/>
                      <w:color w:val="auto"/>
                      <w:sz w:val="21"/>
                      <w:szCs w:val="21"/>
                      <w:lang w:val="en-US" w:eastAsia="zh-CN"/>
                    </w:rPr>
                    <w:t>间</w:t>
                  </w:r>
                </w:p>
              </w:tc>
              <w:tc>
                <w:tcPr>
                  <w:tcW w:w="969" w:type="dxa"/>
                  <w:tcBorders>
                    <w:tl2br w:val="nil"/>
                    <w:tr2bl w:val="nil"/>
                  </w:tcBorders>
                  <w:noWrap w:val="0"/>
                  <w:vAlign w:val="center"/>
                </w:tcPr>
                <w:p w14:paraId="3936BD0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color w:val="auto"/>
                      <w:sz w:val="21"/>
                      <w:szCs w:val="21"/>
                      <w:vertAlign w:val="baseline"/>
                    </w:rPr>
                  </w:pPr>
                  <w:r>
                    <w:rPr>
                      <w:rFonts w:hint="default" w:ascii="Times New Roman" w:hAnsi="Times New Roman" w:cs="Times New Roman"/>
                      <w:b/>
                      <w:color w:val="auto"/>
                      <w:sz w:val="21"/>
                      <w:szCs w:val="21"/>
                    </w:rPr>
                    <w:t>昼</w:t>
                  </w:r>
                  <w:r>
                    <w:rPr>
                      <w:rFonts w:hint="eastAsia" w:ascii="Times New Roman" w:hAnsi="Times New Roman" w:cs="Times New Roman"/>
                      <w:b/>
                      <w:color w:val="auto"/>
                      <w:sz w:val="21"/>
                      <w:szCs w:val="21"/>
                      <w:lang w:val="en-US" w:eastAsia="zh-CN"/>
                    </w:rPr>
                    <w:t>间</w:t>
                  </w:r>
                </w:p>
              </w:tc>
              <w:tc>
                <w:tcPr>
                  <w:tcW w:w="969" w:type="dxa"/>
                  <w:tcBorders>
                    <w:tl2br w:val="nil"/>
                    <w:tr2bl w:val="nil"/>
                  </w:tcBorders>
                  <w:noWrap w:val="0"/>
                  <w:vAlign w:val="center"/>
                </w:tcPr>
                <w:p w14:paraId="6425696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color w:val="auto"/>
                      <w:sz w:val="21"/>
                      <w:szCs w:val="21"/>
                      <w:vertAlign w:val="baseline"/>
                    </w:rPr>
                  </w:pPr>
                  <w:r>
                    <w:rPr>
                      <w:rFonts w:hint="default" w:ascii="Times New Roman" w:hAnsi="Times New Roman" w:cs="Times New Roman"/>
                      <w:b/>
                      <w:color w:val="auto"/>
                      <w:sz w:val="21"/>
                      <w:szCs w:val="21"/>
                    </w:rPr>
                    <w:t>夜</w:t>
                  </w:r>
                  <w:r>
                    <w:rPr>
                      <w:rFonts w:hint="eastAsia" w:ascii="Times New Roman" w:hAnsi="Times New Roman" w:cs="Times New Roman"/>
                      <w:b/>
                      <w:color w:val="auto"/>
                      <w:sz w:val="21"/>
                      <w:szCs w:val="21"/>
                      <w:lang w:val="en-US" w:eastAsia="zh-CN"/>
                    </w:rPr>
                    <w:t>间</w:t>
                  </w:r>
                </w:p>
              </w:tc>
              <w:tc>
                <w:tcPr>
                  <w:tcW w:w="960" w:type="dxa"/>
                  <w:tcBorders>
                    <w:tl2br w:val="nil"/>
                    <w:tr2bl w:val="nil"/>
                  </w:tcBorders>
                  <w:noWrap w:val="0"/>
                  <w:vAlign w:val="center"/>
                </w:tcPr>
                <w:p w14:paraId="78BB0C7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color w:val="auto"/>
                      <w:sz w:val="21"/>
                      <w:szCs w:val="21"/>
                      <w:vertAlign w:val="baseline"/>
                    </w:rPr>
                  </w:pPr>
                  <w:r>
                    <w:rPr>
                      <w:rFonts w:hint="default" w:ascii="Times New Roman" w:hAnsi="Times New Roman" w:cs="Times New Roman"/>
                      <w:b/>
                      <w:color w:val="auto"/>
                      <w:sz w:val="21"/>
                      <w:szCs w:val="21"/>
                    </w:rPr>
                    <w:t>昼</w:t>
                  </w:r>
                  <w:r>
                    <w:rPr>
                      <w:rFonts w:hint="eastAsia" w:ascii="Times New Roman" w:hAnsi="Times New Roman" w:cs="Times New Roman"/>
                      <w:b/>
                      <w:color w:val="auto"/>
                      <w:sz w:val="21"/>
                      <w:szCs w:val="21"/>
                      <w:lang w:val="en-US" w:eastAsia="zh-CN"/>
                    </w:rPr>
                    <w:t>间</w:t>
                  </w:r>
                </w:p>
              </w:tc>
              <w:tc>
                <w:tcPr>
                  <w:tcW w:w="964" w:type="dxa"/>
                  <w:tcBorders>
                    <w:tl2br w:val="nil"/>
                    <w:tr2bl w:val="nil"/>
                  </w:tcBorders>
                  <w:noWrap w:val="0"/>
                  <w:vAlign w:val="center"/>
                </w:tcPr>
                <w:p w14:paraId="6686AEF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color w:val="auto"/>
                      <w:sz w:val="21"/>
                      <w:szCs w:val="21"/>
                      <w:vertAlign w:val="baseline"/>
                    </w:rPr>
                  </w:pPr>
                  <w:r>
                    <w:rPr>
                      <w:rFonts w:hint="default" w:ascii="Times New Roman" w:hAnsi="Times New Roman" w:cs="Times New Roman"/>
                      <w:b/>
                      <w:color w:val="auto"/>
                      <w:sz w:val="21"/>
                      <w:szCs w:val="21"/>
                    </w:rPr>
                    <w:t>夜</w:t>
                  </w:r>
                  <w:r>
                    <w:rPr>
                      <w:rFonts w:hint="eastAsia" w:ascii="Times New Roman" w:hAnsi="Times New Roman" w:cs="Times New Roman"/>
                      <w:b/>
                      <w:color w:val="auto"/>
                      <w:sz w:val="21"/>
                      <w:szCs w:val="21"/>
                      <w:lang w:val="en-US" w:eastAsia="zh-CN"/>
                    </w:rPr>
                    <w:t>间</w:t>
                  </w:r>
                </w:p>
              </w:tc>
            </w:tr>
            <w:tr w14:paraId="763FC5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20" w:type="dxa"/>
                  <w:tcBorders>
                    <w:tl2br w:val="nil"/>
                    <w:tr2bl w:val="nil"/>
                  </w:tcBorders>
                  <w:noWrap w:val="0"/>
                  <w:vAlign w:val="center"/>
                </w:tcPr>
                <w:p w14:paraId="2061254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cs="Times New Roman"/>
                      <w:b w:val="0"/>
                      <w:bCs w:val="0"/>
                      <w:color w:val="auto"/>
                      <w:sz w:val="21"/>
                      <w:szCs w:val="21"/>
                    </w:rPr>
                    <w:t>东厂界</w:t>
                  </w:r>
                </w:p>
              </w:tc>
              <w:tc>
                <w:tcPr>
                  <w:tcW w:w="969" w:type="dxa"/>
                  <w:tcBorders>
                    <w:tl2br w:val="nil"/>
                    <w:tr2bl w:val="nil"/>
                  </w:tcBorders>
                  <w:noWrap w:val="0"/>
                  <w:vAlign w:val="center"/>
                </w:tcPr>
                <w:p w14:paraId="53E29E0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rPr>
                  </w:pPr>
                  <w:r>
                    <w:rPr>
                      <w:rFonts w:hint="eastAsia" w:cs="Times New Roman"/>
                      <w:b w:val="0"/>
                      <w:bCs w:val="0"/>
                      <w:color w:val="auto"/>
                      <w:sz w:val="21"/>
                      <w:szCs w:val="21"/>
                      <w:vertAlign w:val="baseline"/>
                      <w:lang w:val="en-US" w:eastAsia="zh-CN"/>
                    </w:rPr>
                    <w:t>29</w:t>
                  </w:r>
                  <w:r>
                    <w:rPr>
                      <w:rFonts w:hint="default" w:ascii="Times New Roman" w:hAnsi="Times New Roman" w:eastAsia="宋体" w:cs="Times New Roman"/>
                      <w:b w:val="0"/>
                      <w:bCs w:val="0"/>
                      <w:color w:val="auto"/>
                      <w:sz w:val="21"/>
                      <w:szCs w:val="21"/>
                      <w:vertAlign w:val="baseline"/>
                      <w:lang w:val="en-US"/>
                    </w:rPr>
                    <w:t>.</w:t>
                  </w:r>
                  <w:r>
                    <w:rPr>
                      <w:rFonts w:hint="eastAsia" w:cs="Times New Roman"/>
                      <w:b w:val="0"/>
                      <w:bCs w:val="0"/>
                      <w:color w:val="auto"/>
                      <w:sz w:val="21"/>
                      <w:szCs w:val="21"/>
                      <w:vertAlign w:val="baseline"/>
                      <w:lang w:val="en-US" w:eastAsia="zh-CN"/>
                    </w:rPr>
                    <w:t>4</w:t>
                  </w:r>
                  <w:r>
                    <w:rPr>
                      <w:rFonts w:hint="default" w:ascii="Times New Roman" w:hAnsi="Times New Roman" w:eastAsia="宋体" w:cs="Times New Roman"/>
                      <w:b w:val="0"/>
                      <w:bCs w:val="0"/>
                      <w:color w:val="auto"/>
                      <w:sz w:val="21"/>
                      <w:szCs w:val="21"/>
                      <w:vertAlign w:val="baseline"/>
                      <w:lang w:val="en-US"/>
                    </w:rPr>
                    <w:t>5</w:t>
                  </w:r>
                </w:p>
              </w:tc>
              <w:tc>
                <w:tcPr>
                  <w:tcW w:w="969" w:type="dxa"/>
                  <w:tcBorders>
                    <w:tl2br w:val="nil"/>
                    <w:tr2bl w:val="nil"/>
                  </w:tcBorders>
                  <w:noWrap w:val="0"/>
                  <w:vAlign w:val="center"/>
                </w:tcPr>
                <w:p w14:paraId="31532D0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29</w:t>
                  </w:r>
                  <w:r>
                    <w:rPr>
                      <w:rFonts w:hint="default" w:ascii="Times New Roman" w:hAnsi="Times New Roman" w:eastAsia="宋体" w:cs="Times New Roman"/>
                      <w:b w:val="0"/>
                      <w:bCs w:val="0"/>
                      <w:color w:val="auto"/>
                      <w:sz w:val="21"/>
                      <w:szCs w:val="21"/>
                      <w:vertAlign w:val="baseline"/>
                      <w:lang w:val="en-US"/>
                    </w:rPr>
                    <w:t>.</w:t>
                  </w:r>
                  <w:r>
                    <w:rPr>
                      <w:rFonts w:hint="eastAsia" w:cs="Times New Roman"/>
                      <w:b w:val="0"/>
                      <w:bCs w:val="0"/>
                      <w:color w:val="auto"/>
                      <w:sz w:val="21"/>
                      <w:szCs w:val="21"/>
                      <w:vertAlign w:val="baseline"/>
                      <w:lang w:val="en-US" w:eastAsia="zh-CN"/>
                    </w:rPr>
                    <w:t>4</w:t>
                  </w:r>
                  <w:r>
                    <w:rPr>
                      <w:rFonts w:hint="default" w:ascii="Times New Roman" w:hAnsi="Times New Roman" w:eastAsia="宋体" w:cs="Times New Roman"/>
                      <w:b w:val="0"/>
                      <w:bCs w:val="0"/>
                      <w:color w:val="auto"/>
                      <w:sz w:val="21"/>
                      <w:szCs w:val="21"/>
                      <w:vertAlign w:val="baseline"/>
                      <w:lang w:val="en-US"/>
                    </w:rPr>
                    <w:t>5</w:t>
                  </w:r>
                </w:p>
              </w:tc>
              <w:tc>
                <w:tcPr>
                  <w:tcW w:w="965" w:type="dxa"/>
                  <w:tcBorders>
                    <w:tl2br w:val="nil"/>
                    <w:tr2bl w:val="nil"/>
                  </w:tcBorders>
                  <w:noWrap w:val="0"/>
                  <w:vAlign w:val="center"/>
                </w:tcPr>
                <w:p w14:paraId="3A37863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w:t>
                  </w:r>
                </w:p>
              </w:tc>
              <w:tc>
                <w:tcPr>
                  <w:tcW w:w="965" w:type="dxa"/>
                  <w:tcBorders>
                    <w:tl2br w:val="nil"/>
                    <w:tr2bl w:val="nil"/>
                  </w:tcBorders>
                  <w:noWrap w:val="0"/>
                  <w:vAlign w:val="center"/>
                </w:tcPr>
                <w:p w14:paraId="1F78E57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w:t>
                  </w:r>
                </w:p>
              </w:tc>
              <w:tc>
                <w:tcPr>
                  <w:tcW w:w="969" w:type="dxa"/>
                  <w:tcBorders>
                    <w:tl2br w:val="nil"/>
                    <w:tr2bl w:val="nil"/>
                  </w:tcBorders>
                  <w:noWrap w:val="0"/>
                  <w:vAlign w:val="center"/>
                </w:tcPr>
                <w:p w14:paraId="3265022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rPr>
                  </w:pPr>
                  <w:r>
                    <w:rPr>
                      <w:rFonts w:hint="eastAsia" w:cs="Times New Roman"/>
                      <w:b w:val="0"/>
                      <w:bCs w:val="0"/>
                      <w:color w:val="auto"/>
                      <w:sz w:val="21"/>
                      <w:szCs w:val="21"/>
                      <w:vertAlign w:val="baseline"/>
                      <w:lang w:val="en-US" w:eastAsia="zh-CN"/>
                    </w:rPr>
                    <w:t>29</w:t>
                  </w:r>
                  <w:r>
                    <w:rPr>
                      <w:rFonts w:hint="default" w:ascii="Times New Roman" w:hAnsi="Times New Roman" w:eastAsia="宋体" w:cs="Times New Roman"/>
                      <w:b w:val="0"/>
                      <w:bCs w:val="0"/>
                      <w:color w:val="auto"/>
                      <w:sz w:val="21"/>
                      <w:szCs w:val="21"/>
                      <w:vertAlign w:val="baseline"/>
                      <w:lang w:val="en-US"/>
                    </w:rPr>
                    <w:t>.</w:t>
                  </w:r>
                  <w:r>
                    <w:rPr>
                      <w:rFonts w:hint="eastAsia" w:cs="Times New Roman"/>
                      <w:b w:val="0"/>
                      <w:bCs w:val="0"/>
                      <w:color w:val="auto"/>
                      <w:sz w:val="21"/>
                      <w:szCs w:val="21"/>
                      <w:vertAlign w:val="baseline"/>
                      <w:lang w:val="en-US" w:eastAsia="zh-CN"/>
                    </w:rPr>
                    <w:t>4</w:t>
                  </w:r>
                  <w:r>
                    <w:rPr>
                      <w:rFonts w:hint="default" w:ascii="Times New Roman" w:hAnsi="Times New Roman" w:eastAsia="宋体" w:cs="Times New Roman"/>
                      <w:b w:val="0"/>
                      <w:bCs w:val="0"/>
                      <w:color w:val="auto"/>
                      <w:sz w:val="21"/>
                      <w:szCs w:val="21"/>
                      <w:vertAlign w:val="baseline"/>
                      <w:lang w:val="en-US"/>
                    </w:rPr>
                    <w:t>5</w:t>
                  </w:r>
                </w:p>
              </w:tc>
              <w:tc>
                <w:tcPr>
                  <w:tcW w:w="969" w:type="dxa"/>
                  <w:tcBorders>
                    <w:tl2br w:val="nil"/>
                    <w:tr2bl w:val="nil"/>
                  </w:tcBorders>
                  <w:noWrap w:val="0"/>
                  <w:vAlign w:val="center"/>
                </w:tcPr>
                <w:p w14:paraId="048A15D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rPr>
                  </w:pPr>
                  <w:r>
                    <w:rPr>
                      <w:rFonts w:hint="eastAsia" w:cs="Times New Roman"/>
                      <w:b w:val="0"/>
                      <w:bCs w:val="0"/>
                      <w:color w:val="auto"/>
                      <w:sz w:val="21"/>
                      <w:szCs w:val="21"/>
                      <w:vertAlign w:val="baseline"/>
                      <w:lang w:val="en-US" w:eastAsia="zh-CN"/>
                    </w:rPr>
                    <w:t>29</w:t>
                  </w:r>
                  <w:r>
                    <w:rPr>
                      <w:rFonts w:hint="default" w:ascii="Times New Roman" w:hAnsi="Times New Roman" w:eastAsia="宋体" w:cs="Times New Roman"/>
                      <w:b w:val="0"/>
                      <w:bCs w:val="0"/>
                      <w:color w:val="auto"/>
                      <w:sz w:val="21"/>
                      <w:szCs w:val="21"/>
                      <w:vertAlign w:val="baseline"/>
                      <w:lang w:val="en-US"/>
                    </w:rPr>
                    <w:t>.</w:t>
                  </w:r>
                  <w:r>
                    <w:rPr>
                      <w:rFonts w:hint="eastAsia" w:cs="Times New Roman"/>
                      <w:b w:val="0"/>
                      <w:bCs w:val="0"/>
                      <w:color w:val="auto"/>
                      <w:sz w:val="21"/>
                      <w:szCs w:val="21"/>
                      <w:vertAlign w:val="baseline"/>
                      <w:lang w:val="en-US" w:eastAsia="zh-CN"/>
                    </w:rPr>
                    <w:t>4</w:t>
                  </w:r>
                  <w:r>
                    <w:rPr>
                      <w:rFonts w:hint="default" w:ascii="Times New Roman" w:hAnsi="Times New Roman" w:eastAsia="宋体" w:cs="Times New Roman"/>
                      <w:b w:val="0"/>
                      <w:bCs w:val="0"/>
                      <w:color w:val="auto"/>
                      <w:sz w:val="21"/>
                      <w:szCs w:val="21"/>
                      <w:vertAlign w:val="baseline"/>
                      <w:lang w:val="en-US"/>
                    </w:rPr>
                    <w:t>5</w:t>
                  </w:r>
                </w:p>
              </w:tc>
              <w:tc>
                <w:tcPr>
                  <w:tcW w:w="960" w:type="dxa"/>
                  <w:tcBorders>
                    <w:tl2br w:val="nil"/>
                    <w:tr2bl w:val="nil"/>
                  </w:tcBorders>
                  <w:noWrap w:val="0"/>
                  <w:vAlign w:val="center"/>
                </w:tcPr>
                <w:p w14:paraId="592BC01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70</w:t>
                  </w:r>
                </w:p>
              </w:tc>
              <w:tc>
                <w:tcPr>
                  <w:tcW w:w="964" w:type="dxa"/>
                  <w:tcBorders>
                    <w:tl2br w:val="nil"/>
                    <w:tr2bl w:val="nil"/>
                  </w:tcBorders>
                  <w:noWrap w:val="0"/>
                  <w:vAlign w:val="center"/>
                </w:tcPr>
                <w:p w14:paraId="09EA326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55</w:t>
                  </w:r>
                </w:p>
              </w:tc>
            </w:tr>
            <w:tr w14:paraId="3CF073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20" w:type="dxa"/>
                  <w:tcBorders>
                    <w:tl2br w:val="nil"/>
                    <w:tr2bl w:val="nil"/>
                  </w:tcBorders>
                  <w:noWrap w:val="0"/>
                  <w:vAlign w:val="center"/>
                </w:tcPr>
                <w:p w14:paraId="521EF5B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cs="Times New Roman"/>
                      <w:b w:val="0"/>
                      <w:bCs w:val="0"/>
                      <w:color w:val="auto"/>
                      <w:sz w:val="21"/>
                      <w:szCs w:val="21"/>
                    </w:rPr>
                    <w:t>南厂界</w:t>
                  </w:r>
                </w:p>
              </w:tc>
              <w:tc>
                <w:tcPr>
                  <w:tcW w:w="969" w:type="dxa"/>
                  <w:tcBorders>
                    <w:tl2br w:val="nil"/>
                    <w:tr2bl w:val="nil"/>
                  </w:tcBorders>
                  <w:noWrap w:val="0"/>
                  <w:vAlign w:val="center"/>
                </w:tcPr>
                <w:p w14:paraId="1C8E454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rPr>
                  </w:pPr>
                  <w:r>
                    <w:rPr>
                      <w:rFonts w:hint="eastAsia" w:cs="Times New Roman"/>
                      <w:b w:val="0"/>
                      <w:bCs w:val="0"/>
                      <w:color w:val="auto"/>
                      <w:sz w:val="21"/>
                      <w:szCs w:val="21"/>
                      <w:vertAlign w:val="baseline"/>
                      <w:lang w:val="en-US" w:eastAsia="zh-CN"/>
                    </w:rPr>
                    <w:t>38.26</w:t>
                  </w:r>
                </w:p>
              </w:tc>
              <w:tc>
                <w:tcPr>
                  <w:tcW w:w="969" w:type="dxa"/>
                  <w:tcBorders>
                    <w:tl2br w:val="nil"/>
                    <w:tr2bl w:val="nil"/>
                  </w:tcBorders>
                  <w:noWrap w:val="0"/>
                  <w:vAlign w:val="center"/>
                </w:tcPr>
                <w:p w14:paraId="5E14AA0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38.26</w:t>
                  </w:r>
                </w:p>
              </w:tc>
              <w:tc>
                <w:tcPr>
                  <w:tcW w:w="965" w:type="dxa"/>
                  <w:tcBorders>
                    <w:tl2br w:val="nil"/>
                    <w:tr2bl w:val="nil"/>
                  </w:tcBorders>
                  <w:noWrap w:val="0"/>
                  <w:vAlign w:val="center"/>
                </w:tcPr>
                <w:p w14:paraId="5EF003D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highlight w:val="none"/>
                      <w:lang w:val="en-US" w:eastAsia="zh-CN"/>
                    </w:rPr>
                    <w:t>/</w:t>
                  </w:r>
                </w:p>
              </w:tc>
              <w:tc>
                <w:tcPr>
                  <w:tcW w:w="965" w:type="dxa"/>
                  <w:tcBorders>
                    <w:tl2br w:val="nil"/>
                    <w:tr2bl w:val="nil"/>
                  </w:tcBorders>
                  <w:noWrap w:val="0"/>
                  <w:vAlign w:val="center"/>
                </w:tcPr>
                <w:p w14:paraId="4E593AE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highlight w:val="none"/>
                      <w:lang w:val="en-US" w:eastAsia="zh-CN"/>
                    </w:rPr>
                    <w:t>/</w:t>
                  </w:r>
                </w:p>
              </w:tc>
              <w:tc>
                <w:tcPr>
                  <w:tcW w:w="969" w:type="dxa"/>
                  <w:tcBorders>
                    <w:tl2br w:val="nil"/>
                    <w:tr2bl w:val="nil"/>
                  </w:tcBorders>
                  <w:noWrap w:val="0"/>
                  <w:vAlign w:val="center"/>
                </w:tcPr>
                <w:p w14:paraId="3CB1528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rPr>
                  </w:pPr>
                  <w:r>
                    <w:rPr>
                      <w:rFonts w:hint="eastAsia" w:cs="Times New Roman"/>
                      <w:b w:val="0"/>
                      <w:bCs w:val="0"/>
                      <w:color w:val="auto"/>
                      <w:sz w:val="21"/>
                      <w:szCs w:val="21"/>
                      <w:vertAlign w:val="baseline"/>
                      <w:lang w:val="en-US" w:eastAsia="zh-CN"/>
                    </w:rPr>
                    <w:t>38.26</w:t>
                  </w:r>
                </w:p>
              </w:tc>
              <w:tc>
                <w:tcPr>
                  <w:tcW w:w="969" w:type="dxa"/>
                  <w:tcBorders>
                    <w:tl2br w:val="nil"/>
                    <w:tr2bl w:val="nil"/>
                  </w:tcBorders>
                  <w:noWrap w:val="0"/>
                  <w:vAlign w:val="center"/>
                </w:tcPr>
                <w:p w14:paraId="59F85C2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rPr>
                  </w:pPr>
                  <w:r>
                    <w:rPr>
                      <w:rFonts w:hint="eastAsia" w:cs="Times New Roman"/>
                      <w:b w:val="0"/>
                      <w:bCs w:val="0"/>
                      <w:color w:val="auto"/>
                      <w:sz w:val="21"/>
                      <w:szCs w:val="21"/>
                      <w:vertAlign w:val="baseline"/>
                      <w:lang w:val="en-US" w:eastAsia="zh-CN"/>
                    </w:rPr>
                    <w:t>38.26</w:t>
                  </w:r>
                </w:p>
              </w:tc>
              <w:tc>
                <w:tcPr>
                  <w:tcW w:w="960" w:type="dxa"/>
                  <w:vMerge w:val="restart"/>
                  <w:tcBorders>
                    <w:tl2br w:val="nil"/>
                    <w:tr2bl w:val="nil"/>
                  </w:tcBorders>
                  <w:noWrap w:val="0"/>
                  <w:vAlign w:val="center"/>
                </w:tcPr>
                <w:p w14:paraId="3022688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60</w:t>
                  </w:r>
                </w:p>
              </w:tc>
              <w:tc>
                <w:tcPr>
                  <w:tcW w:w="964" w:type="dxa"/>
                  <w:vMerge w:val="restart"/>
                  <w:tcBorders>
                    <w:tl2br w:val="nil"/>
                    <w:tr2bl w:val="nil"/>
                  </w:tcBorders>
                  <w:noWrap w:val="0"/>
                  <w:vAlign w:val="center"/>
                </w:tcPr>
                <w:p w14:paraId="3A35C8D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50</w:t>
                  </w:r>
                </w:p>
              </w:tc>
            </w:tr>
            <w:tr w14:paraId="49C89E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20" w:type="dxa"/>
                  <w:tcBorders>
                    <w:tl2br w:val="nil"/>
                    <w:tr2bl w:val="nil"/>
                  </w:tcBorders>
                  <w:noWrap w:val="0"/>
                  <w:vAlign w:val="center"/>
                </w:tcPr>
                <w:p w14:paraId="7F95ACF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cs="Times New Roman"/>
                      <w:b w:val="0"/>
                      <w:bCs w:val="0"/>
                      <w:color w:val="auto"/>
                      <w:sz w:val="21"/>
                      <w:szCs w:val="21"/>
                    </w:rPr>
                    <w:t>西厂界</w:t>
                  </w:r>
                </w:p>
              </w:tc>
              <w:tc>
                <w:tcPr>
                  <w:tcW w:w="969" w:type="dxa"/>
                  <w:tcBorders>
                    <w:tl2br w:val="nil"/>
                    <w:tr2bl w:val="nil"/>
                  </w:tcBorders>
                  <w:noWrap w:val="0"/>
                  <w:vAlign w:val="center"/>
                </w:tcPr>
                <w:p w14:paraId="732277F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rPr>
                  </w:pPr>
                  <w:r>
                    <w:rPr>
                      <w:rFonts w:hint="default" w:ascii="Times New Roman" w:hAnsi="Times New Roman" w:eastAsia="宋体" w:cs="Times New Roman"/>
                      <w:b w:val="0"/>
                      <w:bCs w:val="0"/>
                      <w:color w:val="auto"/>
                      <w:sz w:val="21"/>
                      <w:szCs w:val="21"/>
                      <w:vertAlign w:val="baseline"/>
                      <w:lang w:val="en-US" w:eastAsia="zh-CN"/>
                    </w:rPr>
                    <w:t>2</w:t>
                  </w:r>
                  <w:r>
                    <w:rPr>
                      <w:rFonts w:hint="eastAsia" w:cs="Times New Roman"/>
                      <w:b w:val="0"/>
                      <w:bCs w:val="0"/>
                      <w:color w:val="auto"/>
                      <w:sz w:val="21"/>
                      <w:szCs w:val="21"/>
                      <w:vertAlign w:val="baseline"/>
                      <w:lang w:val="en-US" w:eastAsia="zh-CN"/>
                    </w:rPr>
                    <w:t>2</w:t>
                  </w:r>
                  <w:r>
                    <w:rPr>
                      <w:rFonts w:hint="default" w:ascii="Times New Roman" w:hAnsi="Times New Roman" w:eastAsia="宋体" w:cs="Times New Roman"/>
                      <w:b w:val="0"/>
                      <w:bCs w:val="0"/>
                      <w:color w:val="auto"/>
                      <w:sz w:val="21"/>
                      <w:szCs w:val="21"/>
                      <w:vertAlign w:val="baseline"/>
                      <w:lang w:val="en-US" w:eastAsia="zh-CN"/>
                    </w:rPr>
                    <w:t>.</w:t>
                  </w:r>
                  <w:r>
                    <w:rPr>
                      <w:rFonts w:hint="eastAsia" w:cs="Times New Roman"/>
                      <w:b w:val="0"/>
                      <w:bCs w:val="0"/>
                      <w:color w:val="auto"/>
                      <w:sz w:val="21"/>
                      <w:szCs w:val="21"/>
                      <w:vertAlign w:val="baseline"/>
                      <w:lang w:val="en-US" w:eastAsia="zh-CN"/>
                    </w:rPr>
                    <w:t>24</w:t>
                  </w:r>
                </w:p>
              </w:tc>
              <w:tc>
                <w:tcPr>
                  <w:tcW w:w="969" w:type="dxa"/>
                  <w:tcBorders>
                    <w:tl2br w:val="nil"/>
                    <w:tr2bl w:val="nil"/>
                  </w:tcBorders>
                  <w:noWrap w:val="0"/>
                  <w:vAlign w:val="center"/>
                </w:tcPr>
                <w:p w14:paraId="14AB552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w:t>
                  </w:r>
                  <w:r>
                    <w:rPr>
                      <w:rFonts w:hint="eastAsia" w:cs="Times New Roman"/>
                      <w:b w:val="0"/>
                      <w:bCs w:val="0"/>
                      <w:color w:val="auto"/>
                      <w:sz w:val="21"/>
                      <w:szCs w:val="21"/>
                      <w:vertAlign w:val="baseline"/>
                      <w:lang w:val="en-US" w:eastAsia="zh-CN"/>
                    </w:rPr>
                    <w:t>2</w:t>
                  </w:r>
                  <w:r>
                    <w:rPr>
                      <w:rFonts w:hint="default" w:ascii="Times New Roman" w:hAnsi="Times New Roman" w:eastAsia="宋体" w:cs="Times New Roman"/>
                      <w:b w:val="0"/>
                      <w:bCs w:val="0"/>
                      <w:color w:val="auto"/>
                      <w:sz w:val="21"/>
                      <w:szCs w:val="21"/>
                      <w:vertAlign w:val="baseline"/>
                      <w:lang w:val="en-US" w:eastAsia="zh-CN"/>
                    </w:rPr>
                    <w:t>.</w:t>
                  </w:r>
                  <w:r>
                    <w:rPr>
                      <w:rFonts w:hint="eastAsia" w:cs="Times New Roman"/>
                      <w:b w:val="0"/>
                      <w:bCs w:val="0"/>
                      <w:color w:val="auto"/>
                      <w:sz w:val="21"/>
                      <w:szCs w:val="21"/>
                      <w:vertAlign w:val="baseline"/>
                      <w:lang w:val="en-US" w:eastAsia="zh-CN"/>
                    </w:rPr>
                    <w:t>24</w:t>
                  </w:r>
                </w:p>
              </w:tc>
              <w:tc>
                <w:tcPr>
                  <w:tcW w:w="965" w:type="dxa"/>
                  <w:tcBorders>
                    <w:tl2br w:val="nil"/>
                    <w:tr2bl w:val="nil"/>
                  </w:tcBorders>
                  <w:noWrap w:val="0"/>
                  <w:vAlign w:val="center"/>
                </w:tcPr>
                <w:p w14:paraId="0187E44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w:t>
                  </w:r>
                </w:p>
              </w:tc>
              <w:tc>
                <w:tcPr>
                  <w:tcW w:w="965" w:type="dxa"/>
                  <w:tcBorders>
                    <w:tl2br w:val="nil"/>
                    <w:tr2bl w:val="nil"/>
                  </w:tcBorders>
                  <w:noWrap w:val="0"/>
                  <w:vAlign w:val="center"/>
                </w:tcPr>
                <w:p w14:paraId="6F539DE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w:t>
                  </w:r>
                </w:p>
              </w:tc>
              <w:tc>
                <w:tcPr>
                  <w:tcW w:w="969" w:type="dxa"/>
                  <w:tcBorders>
                    <w:tl2br w:val="nil"/>
                    <w:tr2bl w:val="nil"/>
                  </w:tcBorders>
                  <w:noWrap w:val="0"/>
                  <w:vAlign w:val="center"/>
                </w:tcPr>
                <w:p w14:paraId="08F3DD1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rPr>
                  </w:pPr>
                  <w:r>
                    <w:rPr>
                      <w:rFonts w:hint="default" w:ascii="Times New Roman" w:hAnsi="Times New Roman" w:eastAsia="宋体" w:cs="Times New Roman"/>
                      <w:b w:val="0"/>
                      <w:bCs w:val="0"/>
                      <w:color w:val="auto"/>
                      <w:sz w:val="21"/>
                      <w:szCs w:val="21"/>
                      <w:vertAlign w:val="baseline"/>
                      <w:lang w:val="en-US" w:eastAsia="zh-CN"/>
                    </w:rPr>
                    <w:t>2</w:t>
                  </w:r>
                  <w:r>
                    <w:rPr>
                      <w:rFonts w:hint="eastAsia" w:cs="Times New Roman"/>
                      <w:b w:val="0"/>
                      <w:bCs w:val="0"/>
                      <w:color w:val="auto"/>
                      <w:sz w:val="21"/>
                      <w:szCs w:val="21"/>
                      <w:vertAlign w:val="baseline"/>
                      <w:lang w:val="en-US" w:eastAsia="zh-CN"/>
                    </w:rPr>
                    <w:t>2</w:t>
                  </w:r>
                  <w:r>
                    <w:rPr>
                      <w:rFonts w:hint="default" w:ascii="Times New Roman" w:hAnsi="Times New Roman" w:eastAsia="宋体" w:cs="Times New Roman"/>
                      <w:b w:val="0"/>
                      <w:bCs w:val="0"/>
                      <w:color w:val="auto"/>
                      <w:sz w:val="21"/>
                      <w:szCs w:val="21"/>
                      <w:vertAlign w:val="baseline"/>
                      <w:lang w:val="en-US" w:eastAsia="zh-CN"/>
                    </w:rPr>
                    <w:t>.</w:t>
                  </w:r>
                  <w:r>
                    <w:rPr>
                      <w:rFonts w:hint="eastAsia" w:cs="Times New Roman"/>
                      <w:b w:val="0"/>
                      <w:bCs w:val="0"/>
                      <w:color w:val="auto"/>
                      <w:sz w:val="21"/>
                      <w:szCs w:val="21"/>
                      <w:vertAlign w:val="baseline"/>
                      <w:lang w:val="en-US" w:eastAsia="zh-CN"/>
                    </w:rPr>
                    <w:t>24</w:t>
                  </w:r>
                </w:p>
              </w:tc>
              <w:tc>
                <w:tcPr>
                  <w:tcW w:w="969" w:type="dxa"/>
                  <w:tcBorders>
                    <w:tl2br w:val="nil"/>
                    <w:tr2bl w:val="nil"/>
                  </w:tcBorders>
                  <w:noWrap w:val="0"/>
                  <w:vAlign w:val="center"/>
                </w:tcPr>
                <w:p w14:paraId="5B80FA1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lang w:val="en-US" w:eastAsia="zh-CN"/>
                    </w:rPr>
                    <w:t>2</w:t>
                  </w:r>
                  <w:r>
                    <w:rPr>
                      <w:rFonts w:hint="eastAsia" w:cs="Times New Roman"/>
                      <w:b w:val="0"/>
                      <w:bCs w:val="0"/>
                      <w:color w:val="auto"/>
                      <w:sz w:val="21"/>
                      <w:szCs w:val="21"/>
                      <w:vertAlign w:val="baseline"/>
                      <w:lang w:val="en-US" w:eastAsia="zh-CN"/>
                    </w:rPr>
                    <w:t>2</w:t>
                  </w:r>
                  <w:r>
                    <w:rPr>
                      <w:rFonts w:hint="default" w:ascii="Times New Roman" w:hAnsi="Times New Roman" w:eastAsia="宋体" w:cs="Times New Roman"/>
                      <w:b w:val="0"/>
                      <w:bCs w:val="0"/>
                      <w:color w:val="auto"/>
                      <w:sz w:val="21"/>
                      <w:szCs w:val="21"/>
                      <w:vertAlign w:val="baseline"/>
                      <w:lang w:val="en-US" w:eastAsia="zh-CN"/>
                    </w:rPr>
                    <w:t>.</w:t>
                  </w:r>
                  <w:r>
                    <w:rPr>
                      <w:rFonts w:hint="eastAsia" w:cs="Times New Roman"/>
                      <w:b w:val="0"/>
                      <w:bCs w:val="0"/>
                      <w:color w:val="auto"/>
                      <w:sz w:val="21"/>
                      <w:szCs w:val="21"/>
                      <w:vertAlign w:val="baseline"/>
                      <w:lang w:val="en-US" w:eastAsia="zh-CN"/>
                    </w:rPr>
                    <w:t>24</w:t>
                  </w:r>
                </w:p>
              </w:tc>
              <w:tc>
                <w:tcPr>
                  <w:tcW w:w="960" w:type="dxa"/>
                  <w:vMerge w:val="continue"/>
                  <w:tcBorders>
                    <w:tl2br w:val="nil"/>
                    <w:tr2bl w:val="nil"/>
                  </w:tcBorders>
                  <w:noWrap w:val="0"/>
                  <w:vAlign w:val="center"/>
                </w:tcPr>
                <w:p w14:paraId="3FEEDEA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rPr>
                  </w:pPr>
                </w:p>
              </w:tc>
              <w:tc>
                <w:tcPr>
                  <w:tcW w:w="964" w:type="dxa"/>
                  <w:vMerge w:val="continue"/>
                  <w:tcBorders>
                    <w:tl2br w:val="nil"/>
                    <w:tr2bl w:val="nil"/>
                  </w:tcBorders>
                  <w:noWrap w:val="0"/>
                  <w:vAlign w:val="center"/>
                </w:tcPr>
                <w:p w14:paraId="3188B5B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rPr>
                  </w:pPr>
                </w:p>
              </w:tc>
            </w:tr>
            <w:tr w14:paraId="5263CD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1520" w:type="dxa"/>
                  <w:tcBorders>
                    <w:tl2br w:val="nil"/>
                    <w:tr2bl w:val="nil"/>
                  </w:tcBorders>
                  <w:noWrap w:val="0"/>
                  <w:vAlign w:val="center"/>
                </w:tcPr>
                <w:p w14:paraId="72870DF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cs="Times New Roman"/>
                      <w:b w:val="0"/>
                      <w:bCs w:val="0"/>
                      <w:color w:val="auto"/>
                      <w:sz w:val="21"/>
                      <w:szCs w:val="21"/>
                    </w:rPr>
                    <w:t>北厂界</w:t>
                  </w:r>
                </w:p>
              </w:tc>
              <w:tc>
                <w:tcPr>
                  <w:tcW w:w="969" w:type="dxa"/>
                  <w:tcBorders>
                    <w:tl2br w:val="nil"/>
                    <w:tr2bl w:val="nil"/>
                  </w:tcBorders>
                  <w:noWrap w:val="0"/>
                  <w:vAlign w:val="center"/>
                </w:tcPr>
                <w:p w14:paraId="7581935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29.80</w:t>
                  </w:r>
                </w:p>
              </w:tc>
              <w:tc>
                <w:tcPr>
                  <w:tcW w:w="969" w:type="dxa"/>
                  <w:tcBorders>
                    <w:tl2br w:val="nil"/>
                    <w:tr2bl w:val="nil"/>
                  </w:tcBorders>
                  <w:noWrap w:val="0"/>
                  <w:vAlign w:val="center"/>
                </w:tcPr>
                <w:p w14:paraId="6EF4019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29.80</w:t>
                  </w:r>
                </w:p>
              </w:tc>
              <w:tc>
                <w:tcPr>
                  <w:tcW w:w="965" w:type="dxa"/>
                  <w:tcBorders>
                    <w:tl2br w:val="nil"/>
                    <w:tr2bl w:val="nil"/>
                  </w:tcBorders>
                  <w:noWrap w:val="0"/>
                  <w:vAlign w:val="center"/>
                </w:tcPr>
                <w:p w14:paraId="0B9B75F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w:t>
                  </w:r>
                </w:p>
              </w:tc>
              <w:tc>
                <w:tcPr>
                  <w:tcW w:w="965" w:type="dxa"/>
                  <w:tcBorders>
                    <w:tl2br w:val="nil"/>
                    <w:tr2bl w:val="nil"/>
                  </w:tcBorders>
                  <w:noWrap w:val="0"/>
                  <w:vAlign w:val="center"/>
                </w:tcPr>
                <w:p w14:paraId="4241877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w:t>
                  </w:r>
                </w:p>
              </w:tc>
              <w:tc>
                <w:tcPr>
                  <w:tcW w:w="969" w:type="dxa"/>
                  <w:tcBorders>
                    <w:tl2br w:val="nil"/>
                    <w:tr2bl w:val="nil"/>
                  </w:tcBorders>
                  <w:noWrap w:val="0"/>
                  <w:vAlign w:val="center"/>
                </w:tcPr>
                <w:p w14:paraId="200276D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rPr>
                  </w:pPr>
                  <w:r>
                    <w:rPr>
                      <w:rFonts w:hint="eastAsia" w:cs="Times New Roman"/>
                      <w:b w:val="0"/>
                      <w:bCs w:val="0"/>
                      <w:color w:val="auto"/>
                      <w:sz w:val="21"/>
                      <w:szCs w:val="21"/>
                      <w:vertAlign w:val="baseline"/>
                      <w:lang w:val="en-US" w:eastAsia="zh-CN"/>
                    </w:rPr>
                    <w:t>29.80</w:t>
                  </w:r>
                </w:p>
              </w:tc>
              <w:tc>
                <w:tcPr>
                  <w:tcW w:w="969" w:type="dxa"/>
                  <w:tcBorders>
                    <w:tl2br w:val="nil"/>
                    <w:tr2bl w:val="nil"/>
                  </w:tcBorders>
                  <w:noWrap w:val="0"/>
                  <w:vAlign w:val="center"/>
                </w:tcPr>
                <w:p w14:paraId="3FC1094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rPr>
                  </w:pPr>
                  <w:r>
                    <w:rPr>
                      <w:rFonts w:hint="eastAsia" w:cs="Times New Roman"/>
                      <w:b w:val="0"/>
                      <w:bCs w:val="0"/>
                      <w:color w:val="auto"/>
                      <w:sz w:val="21"/>
                      <w:szCs w:val="21"/>
                      <w:vertAlign w:val="baseline"/>
                      <w:lang w:val="en-US" w:eastAsia="zh-CN"/>
                    </w:rPr>
                    <w:t>29.80</w:t>
                  </w:r>
                </w:p>
              </w:tc>
              <w:tc>
                <w:tcPr>
                  <w:tcW w:w="960" w:type="dxa"/>
                  <w:vMerge w:val="continue"/>
                  <w:tcBorders>
                    <w:tl2br w:val="nil"/>
                    <w:tr2bl w:val="nil"/>
                  </w:tcBorders>
                  <w:noWrap w:val="0"/>
                  <w:vAlign w:val="center"/>
                </w:tcPr>
                <w:p w14:paraId="07E18C9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rPr>
                  </w:pPr>
                </w:p>
              </w:tc>
              <w:tc>
                <w:tcPr>
                  <w:tcW w:w="964" w:type="dxa"/>
                  <w:vMerge w:val="continue"/>
                  <w:tcBorders>
                    <w:tl2br w:val="nil"/>
                    <w:tr2bl w:val="nil"/>
                  </w:tcBorders>
                  <w:noWrap w:val="0"/>
                  <w:vAlign w:val="center"/>
                </w:tcPr>
                <w:p w14:paraId="3B0779F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rPr>
                  </w:pPr>
                </w:p>
              </w:tc>
            </w:tr>
            <w:tr w14:paraId="5651CE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1520" w:type="dxa"/>
                  <w:tcBorders>
                    <w:tl2br w:val="nil"/>
                    <w:tr2bl w:val="nil"/>
                  </w:tcBorders>
                  <w:noWrap w:val="0"/>
                  <w:vAlign w:val="center"/>
                </w:tcPr>
                <w:p w14:paraId="43823BC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val="0"/>
                      <w:bCs w:val="0"/>
                      <w:color w:val="auto"/>
                      <w:sz w:val="21"/>
                      <w:szCs w:val="21"/>
                      <w:lang w:val="en-US"/>
                    </w:rPr>
                  </w:pPr>
                  <w:r>
                    <w:rPr>
                      <w:rFonts w:hint="eastAsia"/>
                      <w:color w:val="auto"/>
                      <w:sz w:val="21"/>
                      <w:szCs w:val="21"/>
                      <w:lang w:val="en-US" w:eastAsia="zh-CN"/>
                    </w:rPr>
                    <w:t>红心村</w:t>
                  </w:r>
                </w:p>
              </w:tc>
              <w:tc>
                <w:tcPr>
                  <w:tcW w:w="969" w:type="dxa"/>
                  <w:tcBorders>
                    <w:tl2br w:val="nil"/>
                    <w:tr2bl w:val="nil"/>
                  </w:tcBorders>
                  <w:noWrap w:val="0"/>
                  <w:vAlign w:val="center"/>
                </w:tcPr>
                <w:p w14:paraId="6F91D95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val="0"/>
                      <w:bCs w:val="0"/>
                      <w:color w:val="auto"/>
                      <w:sz w:val="21"/>
                      <w:szCs w:val="21"/>
                      <w:lang w:val="en-US"/>
                    </w:rPr>
                  </w:pPr>
                  <w:r>
                    <w:rPr>
                      <w:rFonts w:hint="eastAsia" w:cs="Times New Roman"/>
                      <w:b w:val="0"/>
                      <w:bCs w:val="0"/>
                      <w:color w:val="auto"/>
                      <w:sz w:val="21"/>
                      <w:szCs w:val="21"/>
                      <w:lang w:val="en-US" w:eastAsia="zh-CN"/>
                    </w:rPr>
                    <w:t>19.23</w:t>
                  </w:r>
                </w:p>
              </w:tc>
              <w:tc>
                <w:tcPr>
                  <w:tcW w:w="969" w:type="dxa"/>
                  <w:tcBorders>
                    <w:tl2br w:val="nil"/>
                    <w:tr2bl w:val="nil"/>
                  </w:tcBorders>
                  <w:noWrap w:val="0"/>
                  <w:vAlign w:val="center"/>
                </w:tcPr>
                <w:p w14:paraId="2DE7264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19.23</w:t>
                  </w:r>
                </w:p>
              </w:tc>
              <w:tc>
                <w:tcPr>
                  <w:tcW w:w="965" w:type="dxa"/>
                  <w:tcBorders>
                    <w:tl2br w:val="nil"/>
                    <w:tr2bl w:val="nil"/>
                  </w:tcBorders>
                  <w:noWrap w:val="0"/>
                  <w:vAlign w:val="center"/>
                </w:tcPr>
                <w:p w14:paraId="698F047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52.8</w:t>
                  </w:r>
                </w:p>
              </w:tc>
              <w:tc>
                <w:tcPr>
                  <w:tcW w:w="965" w:type="dxa"/>
                  <w:tcBorders>
                    <w:tl2br w:val="nil"/>
                    <w:tr2bl w:val="nil"/>
                  </w:tcBorders>
                  <w:noWrap w:val="0"/>
                  <w:vAlign w:val="center"/>
                </w:tcPr>
                <w:p w14:paraId="05ADF94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42.4</w:t>
                  </w:r>
                </w:p>
              </w:tc>
              <w:tc>
                <w:tcPr>
                  <w:tcW w:w="969" w:type="dxa"/>
                  <w:tcBorders>
                    <w:tl2br w:val="nil"/>
                    <w:tr2bl w:val="nil"/>
                  </w:tcBorders>
                  <w:noWrap w:val="0"/>
                  <w:vAlign w:val="center"/>
                </w:tcPr>
                <w:p w14:paraId="62378BB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52.8</w:t>
                  </w:r>
                  <w:r>
                    <w:rPr>
                      <w:rFonts w:hint="eastAsia" w:cs="Times New Roman"/>
                      <w:b w:val="0"/>
                      <w:bCs w:val="0"/>
                      <w:color w:val="auto"/>
                      <w:sz w:val="21"/>
                      <w:szCs w:val="21"/>
                      <w:lang w:val="en-US" w:eastAsia="zh-CN"/>
                    </w:rPr>
                    <w:t>0</w:t>
                  </w:r>
                </w:p>
              </w:tc>
              <w:tc>
                <w:tcPr>
                  <w:tcW w:w="969" w:type="dxa"/>
                  <w:tcBorders>
                    <w:tl2br w:val="nil"/>
                    <w:tr2bl w:val="nil"/>
                  </w:tcBorders>
                  <w:noWrap w:val="0"/>
                  <w:vAlign w:val="center"/>
                </w:tcPr>
                <w:p w14:paraId="63657B9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42.4</w:t>
                  </w:r>
                  <w:r>
                    <w:rPr>
                      <w:rFonts w:hint="eastAsia" w:cs="Times New Roman"/>
                      <w:b w:val="0"/>
                      <w:bCs w:val="0"/>
                      <w:color w:val="auto"/>
                      <w:sz w:val="21"/>
                      <w:szCs w:val="21"/>
                      <w:lang w:val="en-US" w:eastAsia="zh-CN"/>
                    </w:rPr>
                    <w:t>2</w:t>
                  </w:r>
                </w:p>
              </w:tc>
              <w:tc>
                <w:tcPr>
                  <w:tcW w:w="960" w:type="dxa"/>
                  <w:tcBorders>
                    <w:tl2br w:val="nil"/>
                    <w:tr2bl w:val="nil"/>
                  </w:tcBorders>
                  <w:noWrap w:val="0"/>
                  <w:vAlign w:val="center"/>
                </w:tcPr>
                <w:p w14:paraId="4E2141D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60</w:t>
                  </w:r>
                </w:p>
              </w:tc>
              <w:tc>
                <w:tcPr>
                  <w:tcW w:w="964" w:type="dxa"/>
                  <w:tcBorders>
                    <w:tl2br w:val="nil"/>
                    <w:tr2bl w:val="nil"/>
                  </w:tcBorders>
                  <w:noWrap w:val="0"/>
                  <w:vAlign w:val="center"/>
                </w:tcPr>
                <w:p w14:paraId="33A5E9A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50</w:t>
                  </w:r>
                </w:p>
              </w:tc>
            </w:tr>
          </w:tbl>
          <w:p w14:paraId="338E262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pPr>
          </w:p>
          <w:p w14:paraId="026C0481">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hint="eastAsia"/>
                <w:lang w:val="en-US" w:eastAsia="zh-CN"/>
              </w:rPr>
            </w:pPr>
            <w:r>
              <w:drawing>
                <wp:inline distT="0" distB="0" distL="114300" distR="114300">
                  <wp:extent cx="5880100" cy="3115945"/>
                  <wp:effectExtent l="0" t="0" r="6350" b="8255"/>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40"/>
                          <a:stretch>
                            <a:fillRect/>
                          </a:stretch>
                        </pic:blipFill>
                        <pic:spPr>
                          <a:xfrm>
                            <a:off x="0" y="0"/>
                            <a:ext cx="5880100" cy="3115945"/>
                          </a:xfrm>
                          <a:prstGeom prst="rect">
                            <a:avLst/>
                          </a:prstGeom>
                          <a:noFill/>
                          <a:ln>
                            <a:noFill/>
                          </a:ln>
                        </pic:spPr>
                      </pic:pic>
                    </a:graphicData>
                  </a:graphic>
                </wp:inline>
              </w:drawing>
            </w:r>
          </w:p>
          <w:p w14:paraId="5C667B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color w:val="FF0000"/>
                <w:sz w:val="21"/>
                <w:szCs w:val="21"/>
                <w:lang w:val="en-US" w:eastAsia="zh-CN"/>
              </w:rPr>
            </w:pPr>
            <w:r>
              <w:rPr>
                <w:rFonts w:hint="eastAsia"/>
                <w:b/>
                <w:bCs/>
                <w:color w:val="FF0000"/>
                <w:sz w:val="21"/>
                <w:szCs w:val="21"/>
                <w:lang w:val="en-US" w:eastAsia="zh-CN"/>
              </w:rPr>
              <w:t>图4.3-1   项目噪声影响预测等声级线图</w:t>
            </w:r>
          </w:p>
          <w:p w14:paraId="777C2897">
            <w:pPr>
              <w:keepNext w:val="0"/>
              <w:keepLines w:val="0"/>
              <w:pageBreakBefore w:val="0"/>
              <w:widowControl w:val="0"/>
              <w:kinsoku/>
              <w:wordWrap/>
              <w:overflowPunct/>
              <w:topLinePunct w:val="0"/>
              <w:autoSpaceDE/>
              <w:autoSpaceDN/>
              <w:bidi w:val="0"/>
              <w:adjustRightInd/>
              <w:snapToGrid/>
              <w:ind w:firstLine="480"/>
              <w:textAlignment w:val="auto"/>
              <w:rPr>
                <w:rFonts w:hint="eastAsia"/>
              </w:rPr>
            </w:pPr>
            <w:r>
              <w:rPr>
                <w:rFonts w:hint="eastAsia"/>
                <w:lang w:val="en-US" w:eastAsia="zh-CN"/>
              </w:rPr>
              <w:t>本项</w:t>
            </w:r>
            <w:r>
              <w:rPr>
                <w:rFonts w:hint="eastAsia"/>
              </w:rPr>
              <w:t>目建成运营后，项目厂界东</w:t>
            </w:r>
            <w:r>
              <w:rPr>
                <w:rFonts w:hint="eastAsia"/>
                <w:lang w:val="en-US" w:eastAsia="zh-CN"/>
              </w:rPr>
              <w:t>面</w:t>
            </w:r>
            <w:r>
              <w:rPr>
                <w:rFonts w:hint="eastAsia"/>
              </w:rPr>
              <w:t>昼</w:t>
            </w:r>
            <w:r>
              <w:rPr>
                <w:rFonts w:hint="eastAsia"/>
                <w:lang w:val="en-US" w:eastAsia="zh-CN"/>
              </w:rPr>
              <w:t>间</w:t>
            </w:r>
            <w:r>
              <w:rPr>
                <w:rFonts w:hint="eastAsia"/>
              </w:rPr>
              <w:t>、夜间噪声预测值满足《工业企业厂界环境噪声排放标准》（GB12348-2008）中</w:t>
            </w:r>
            <w:r>
              <w:rPr>
                <w:rFonts w:hint="eastAsia"/>
                <w:lang w:val="en-US" w:eastAsia="zh-CN"/>
              </w:rPr>
              <w:t>4</w:t>
            </w:r>
            <w:r>
              <w:rPr>
                <w:rFonts w:hint="eastAsia"/>
              </w:rPr>
              <w:t>类标准要求</w:t>
            </w:r>
            <w:r>
              <w:rPr>
                <w:rFonts w:hint="eastAsia"/>
                <w:lang w:eastAsia="zh-CN"/>
              </w:rPr>
              <w:t>，</w:t>
            </w:r>
            <w:r>
              <w:rPr>
                <w:rFonts w:hint="eastAsia"/>
              </w:rPr>
              <w:t>项目厂界南</w:t>
            </w:r>
            <w:r>
              <w:rPr>
                <w:rFonts w:hint="eastAsia"/>
                <w:lang w:eastAsia="zh-CN"/>
              </w:rPr>
              <w:t>、</w:t>
            </w:r>
            <w:r>
              <w:rPr>
                <w:rFonts w:hint="eastAsia"/>
              </w:rPr>
              <w:t>西</w:t>
            </w:r>
            <w:r>
              <w:rPr>
                <w:rFonts w:hint="eastAsia"/>
                <w:lang w:eastAsia="zh-CN"/>
              </w:rPr>
              <w:t>、</w:t>
            </w:r>
            <w:r>
              <w:rPr>
                <w:rFonts w:hint="eastAsia"/>
                <w:lang w:val="en-US" w:eastAsia="zh-CN"/>
              </w:rPr>
              <w:t>北</w:t>
            </w:r>
            <w:r>
              <w:rPr>
                <w:rFonts w:hint="eastAsia"/>
              </w:rPr>
              <w:t>面昼间、夜间噪声预测值满足《工业企业厂界环境噪声排放标准》（GB12348-2008）中2类标准要求，</w:t>
            </w:r>
            <w:r>
              <w:rPr>
                <w:rFonts w:hint="eastAsia" w:cs="Times New Roman"/>
                <w:color w:val="auto"/>
                <w:sz w:val="24"/>
                <w:lang w:val="en-US" w:eastAsia="zh-CN"/>
              </w:rPr>
              <w:t>声环境保护目标昼间</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夜间</w:t>
            </w:r>
            <w:r>
              <w:rPr>
                <w:rFonts w:hint="eastAsia" w:cs="Times New Roman"/>
                <w:color w:val="auto"/>
                <w:sz w:val="24"/>
                <w:lang w:val="en-US" w:eastAsia="zh-CN"/>
              </w:rPr>
              <w:t>噪声预测值满足《声环境质量标准》（GB3096-2008）中2类区标准</w:t>
            </w:r>
            <w:r>
              <w:rPr>
                <w:color w:val="auto"/>
                <w:sz w:val="24"/>
              </w:rPr>
              <w:t>，</w:t>
            </w:r>
            <w:r>
              <w:rPr>
                <w:rFonts w:hint="eastAsia"/>
                <w:color w:val="auto"/>
                <w:sz w:val="24"/>
                <w:lang w:val="en-US" w:eastAsia="zh-CN"/>
              </w:rPr>
              <w:t>因此，</w:t>
            </w:r>
            <w:r>
              <w:rPr>
                <w:rFonts w:hint="eastAsia"/>
              </w:rPr>
              <w:t>项目生产噪声对周边声环境影响较小。</w:t>
            </w:r>
          </w:p>
          <w:p w14:paraId="64FAC5D8">
            <w:pPr>
              <w:pStyle w:val="31"/>
              <w:keepNext w:val="0"/>
              <w:keepLines w:val="0"/>
              <w:pageBreakBefore w:val="0"/>
              <w:widowControl w:val="0"/>
              <w:tabs>
                <w:tab w:val="left" w:pos="1110"/>
              </w:tabs>
              <w:kinsoku/>
              <w:wordWrap/>
              <w:overflowPunct/>
              <w:topLinePunct w:val="0"/>
              <w:autoSpaceDE/>
              <w:autoSpaceDN/>
              <w:bidi w:val="0"/>
              <w:adjustRightInd/>
              <w:snapToGrid/>
              <w:spacing w:line="360" w:lineRule="auto"/>
              <w:ind w:firstLine="482" w:firstLineChars="200"/>
              <w:textAlignment w:val="auto"/>
              <w:rPr>
                <w:rFonts w:hint="eastAsia" w:eastAsia="宋体"/>
                <w:b/>
                <w:color w:val="1F497D" w:themeColor="text2"/>
                <w:sz w:val="24"/>
                <w14:textFill>
                  <w14:solidFill>
                    <w14:schemeClr w14:val="tx2"/>
                  </w14:solidFill>
                </w14:textFill>
              </w:rPr>
            </w:pPr>
            <w:r>
              <w:rPr>
                <w:rFonts w:hint="eastAsia" w:eastAsia="宋体"/>
                <w:b/>
                <w:color w:val="1F497D" w:themeColor="text2"/>
                <w:sz w:val="24"/>
                <w14:textFill>
                  <w14:solidFill>
                    <w14:schemeClr w14:val="tx2"/>
                  </w14:solidFill>
                </w14:textFill>
              </w:rPr>
              <w:t>（4）噪声监测要求</w:t>
            </w:r>
          </w:p>
          <w:p w14:paraId="1A195301">
            <w:pPr>
              <w:keepNext w:val="0"/>
              <w:keepLines w:val="0"/>
              <w:pageBreakBefore w:val="0"/>
              <w:widowControl w:val="0"/>
              <w:kinsoku/>
              <w:wordWrap/>
              <w:overflowPunct/>
              <w:topLinePunct w:val="0"/>
              <w:autoSpaceDE/>
              <w:autoSpaceDN/>
              <w:bidi w:val="0"/>
              <w:adjustRightInd/>
              <w:snapToGrid/>
              <w:spacing w:line="360" w:lineRule="auto"/>
              <w:ind w:firstLine="496" w:firstLineChars="200"/>
              <w:textAlignment w:val="auto"/>
              <w:rPr>
                <w:color w:val="1F497D" w:themeColor="text2"/>
                <w:sz w:val="24"/>
                <w14:textFill>
                  <w14:solidFill>
                    <w14:schemeClr w14:val="tx2"/>
                  </w14:solidFill>
                </w14:textFill>
              </w:rPr>
            </w:pPr>
            <w:r>
              <w:rPr>
                <w:rFonts w:hint="eastAsia"/>
                <w:color w:val="1F497D" w:themeColor="text2"/>
                <w:spacing w:val="4"/>
                <w:kern w:val="0"/>
                <w:sz w:val="24"/>
                <w:lang w:val="en-US" w:eastAsia="zh-CN"/>
                <w14:textFill>
                  <w14:solidFill>
                    <w14:schemeClr w14:val="tx2"/>
                  </w14:solidFill>
                </w14:textFill>
              </w:rPr>
              <w:t>根</w:t>
            </w:r>
            <w:r>
              <w:rPr>
                <w:rFonts w:hint="eastAsia"/>
                <w:color w:val="1F497D" w:themeColor="text2"/>
                <w:spacing w:val="4"/>
                <w:kern w:val="0"/>
                <w:sz w:val="24"/>
                <w14:textFill>
                  <w14:solidFill>
                    <w14:schemeClr w14:val="tx2"/>
                  </w14:solidFill>
                </w14:textFill>
              </w:rPr>
              <w:t>据《国民经济行业分类》</w:t>
            </w:r>
            <w:r>
              <w:rPr>
                <w:rFonts w:hint="default"/>
                <w:b w:val="0"/>
                <w:bCs/>
                <w:color w:val="1F497D" w:themeColor="text2"/>
                <w:highlight w:val="none"/>
                <w:lang w:val="en-US" w:eastAsia="zh-CN"/>
                <w14:textFill>
                  <w14:solidFill>
                    <w14:schemeClr w14:val="tx2"/>
                  </w14:solidFill>
                </w14:textFill>
              </w:rPr>
              <w:t>（GB/T4754-2017）及国家标准第1号修改单</w:t>
            </w:r>
            <w:r>
              <w:rPr>
                <w:rFonts w:hint="eastAsia"/>
                <w:color w:val="1F497D" w:themeColor="text2"/>
                <w:spacing w:val="4"/>
                <w:kern w:val="0"/>
                <w:sz w:val="24"/>
                <w:lang w:eastAsia="zh-CN"/>
                <w14:textFill>
                  <w14:solidFill>
                    <w14:schemeClr w14:val="tx2"/>
                  </w14:solidFill>
                </w14:textFill>
              </w:rPr>
              <w:t>，</w:t>
            </w:r>
            <w:r>
              <w:rPr>
                <w:rFonts w:hint="eastAsia"/>
                <w:color w:val="1F497D" w:themeColor="text2"/>
                <w:spacing w:val="4"/>
                <w:kern w:val="0"/>
                <w:sz w:val="24"/>
                <w14:textFill>
                  <w14:solidFill>
                    <w14:schemeClr w14:val="tx2"/>
                  </w14:solidFill>
                </w14:textFill>
              </w:rPr>
              <w:t>属于工业行业的行业门类为B、C、D，加油站（行业门类为F）不属于工业行业</w:t>
            </w:r>
            <w:r>
              <w:rPr>
                <w:rFonts w:hint="eastAsia"/>
                <w:color w:val="1F497D" w:themeColor="text2"/>
                <w:spacing w:val="4"/>
                <w:kern w:val="0"/>
                <w:sz w:val="24"/>
                <w:lang w:eastAsia="zh-CN"/>
                <w14:textFill>
                  <w14:solidFill>
                    <w14:schemeClr w14:val="tx2"/>
                  </w14:solidFill>
                </w14:textFill>
              </w:rPr>
              <w:t>。</w:t>
            </w:r>
            <w:r>
              <w:rPr>
                <w:rFonts w:hint="eastAsia"/>
                <w:color w:val="1F497D" w:themeColor="text2"/>
                <w:spacing w:val="4"/>
                <w:kern w:val="0"/>
                <w:sz w:val="24"/>
                <w:lang w:val="en-US" w:eastAsia="zh-CN"/>
                <w14:textFill>
                  <w14:solidFill>
                    <w14:schemeClr w14:val="tx2"/>
                  </w14:solidFill>
                </w14:textFill>
              </w:rPr>
              <w:t>根</w:t>
            </w:r>
            <w:r>
              <w:rPr>
                <w:rFonts w:hint="eastAsia"/>
                <w:color w:val="1F497D" w:themeColor="text2"/>
                <w:spacing w:val="4"/>
                <w:kern w:val="0"/>
                <w:sz w:val="24"/>
                <w14:textFill>
                  <w14:solidFill>
                    <w14:schemeClr w14:val="tx2"/>
                  </w14:solidFill>
                </w14:textFill>
              </w:rPr>
              <w:t>据《固定污染源排污许可分类管理名录（2019年版）》属于第3至99类应当纳入排污许可管理的排污单位（含重点管理、简化管理、排污登记），须填报工业噪声。加油站（行业门类为F）不属于工业行业（工业行业门类为B、C、D）或者不属于《固定污染源排污许可分类管理名录（2019年版）》第3至99类应当纳入排污许可管理的排污单位（含重点管理、简化管理、排污登记），且</w:t>
            </w:r>
            <w:r>
              <w:rPr>
                <w:rFonts w:hint="eastAsia"/>
                <w:color w:val="1F497D" w:themeColor="text2"/>
                <w:spacing w:val="4"/>
                <w:kern w:val="0"/>
                <w:sz w:val="24"/>
                <w:lang w:val="en-US" w:eastAsia="zh-CN"/>
                <w14:textFill>
                  <w14:solidFill>
                    <w14:schemeClr w14:val="tx2"/>
                  </w14:solidFill>
                </w14:textFill>
              </w:rPr>
              <w:t>根</w:t>
            </w:r>
            <w:r>
              <w:rPr>
                <w:rFonts w:hint="eastAsia"/>
                <w:color w:val="1F497D" w:themeColor="text2"/>
                <w:spacing w:val="4"/>
                <w:kern w:val="0"/>
                <w:sz w:val="24"/>
                <w14:textFill>
                  <w14:solidFill>
                    <w14:schemeClr w14:val="tx2"/>
                  </w14:solidFill>
                </w14:textFill>
              </w:rPr>
              <w:t>据《关于开展工业噪声排污许可管理工作的通知》（环办环评</w:t>
            </w:r>
            <w:r>
              <w:rPr>
                <w:rFonts w:hint="eastAsia" w:eastAsia="宋体"/>
                <w:color w:val="1F497D" w:themeColor="text2"/>
                <w:lang w:eastAsia="zh-CN"/>
                <w14:textFill>
                  <w14:solidFill>
                    <w14:schemeClr w14:val="tx2"/>
                  </w14:solidFill>
                </w14:textFill>
              </w:rPr>
              <w:t>〔</w:t>
            </w:r>
            <w:r>
              <w:rPr>
                <w:rFonts w:hint="eastAsia" w:eastAsia="宋体"/>
                <w:color w:val="1F497D" w:themeColor="text2"/>
                <w:lang w:val="en-US" w:eastAsia="zh-CN"/>
                <w14:textFill>
                  <w14:solidFill>
                    <w14:schemeClr w14:val="tx2"/>
                  </w14:solidFill>
                </w14:textFill>
              </w:rPr>
              <w:t>2023</w:t>
            </w:r>
            <w:r>
              <w:rPr>
                <w:rFonts w:hint="eastAsia" w:eastAsia="宋体"/>
                <w:color w:val="1F497D" w:themeColor="text2"/>
                <w:lang w:eastAsia="zh-CN"/>
                <w14:textFill>
                  <w14:solidFill>
                    <w14:schemeClr w14:val="tx2"/>
                  </w14:solidFill>
                </w14:textFill>
              </w:rPr>
              <w:t>〕</w:t>
            </w:r>
            <w:r>
              <w:rPr>
                <w:rFonts w:hint="eastAsia"/>
                <w:color w:val="1F497D" w:themeColor="text2"/>
                <w:spacing w:val="4"/>
                <w:kern w:val="0"/>
                <w:sz w:val="24"/>
                <w14:textFill>
                  <w14:solidFill>
                    <w14:schemeClr w14:val="tx2"/>
                  </w14:solidFill>
                </w14:textFill>
              </w:rPr>
              <w:t>14号），无须填报工业噪声相关内容。</w:t>
            </w:r>
            <w:r>
              <w:rPr>
                <w:rFonts w:hint="eastAsia"/>
                <w:color w:val="1F497D" w:themeColor="text2"/>
                <w:spacing w:val="4"/>
                <w:kern w:val="0"/>
                <w:sz w:val="24"/>
                <w:lang w:val="en-US" w:eastAsia="zh-CN"/>
                <w14:textFill>
                  <w14:solidFill>
                    <w14:schemeClr w14:val="tx2"/>
                  </w14:solidFill>
                </w14:textFill>
              </w:rPr>
              <w:t>因此</w:t>
            </w:r>
            <w:r>
              <w:rPr>
                <w:rFonts w:hint="eastAsia"/>
                <w:color w:val="1F497D" w:themeColor="text2"/>
                <w:spacing w:val="4"/>
                <w:kern w:val="0"/>
                <w:sz w:val="24"/>
                <w14:textFill>
                  <w14:solidFill>
                    <w14:schemeClr w14:val="tx2"/>
                  </w14:solidFill>
                </w14:textFill>
              </w:rPr>
              <w:t>，</w:t>
            </w:r>
            <w:r>
              <w:rPr>
                <w:rFonts w:hint="eastAsia"/>
                <w:color w:val="1F497D" w:themeColor="text2"/>
                <w:spacing w:val="4"/>
                <w:kern w:val="0"/>
                <w:sz w:val="24"/>
                <w:lang w:val="en-US" w:eastAsia="zh-CN"/>
                <w14:textFill>
                  <w14:solidFill>
                    <w14:schemeClr w14:val="tx2"/>
                  </w14:solidFill>
                </w14:textFill>
              </w:rPr>
              <w:t>本项目</w:t>
            </w:r>
            <w:r>
              <w:rPr>
                <w:color w:val="1F497D" w:themeColor="text2"/>
                <w:sz w:val="24"/>
                <w14:textFill>
                  <w14:solidFill>
                    <w14:schemeClr w14:val="tx2"/>
                  </w14:solidFill>
                </w14:textFill>
              </w:rPr>
              <w:t>噪声污染源</w:t>
            </w:r>
            <w:r>
              <w:rPr>
                <w:rFonts w:hint="eastAsia"/>
                <w:color w:val="1F497D" w:themeColor="text2"/>
                <w:sz w:val="24"/>
                <w:lang w:val="en-US" w:eastAsia="zh-CN"/>
                <w14:textFill>
                  <w14:solidFill>
                    <w14:schemeClr w14:val="tx2"/>
                  </w14:solidFill>
                </w14:textFill>
              </w:rPr>
              <w:t>无需进行自行</w:t>
            </w:r>
            <w:r>
              <w:rPr>
                <w:color w:val="1F497D" w:themeColor="text2"/>
                <w:sz w:val="24"/>
                <w14:textFill>
                  <w14:solidFill>
                    <w14:schemeClr w14:val="tx2"/>
                  </w14:solidFill>
                </w14:textFill>
              </w:rPr>
              <w:t>监测。</w:t>
            </w:r>
          </w:p>
          <w:p w14:paraId="660CE835">
            <w:pPr>
              <w:pStyle w:val="54"/>
              <w:numPr>
                <w:ilvl w:val="0"/>
                <w:numId w:val="0"/>
              </w:numPr>
              <w:ind w:leftChars="0" w:firstLine="482" w:firstLineChars="200"/>
              <w:rPr>
                <w:b/>
              </w:rPr>
            </w:pPr>
            <w:r>
              <w:rPr>
                <w:rFonts w:hint="eastAsia"/>
                <w:b/>
                <w:lang w:val="en-US" w:eastAsia="zh-CN"/>
              </w:rPr>
              <w:t>4、</w:t>
            </w:r>
            <w:r>
              <w:rPr>
                <w:b/>
              </w:rPr>
              <w:t>固体废物</w:t>
            </w:r>
          </w:p>
          <w:p w14:paraId="7C76B338">
            <w:pPr>
              <w:pStyle w:val="54"/>
              <w:numPr>
                <w:ilvl w:val="0"/>
                <w:numId w:val="0"/>
              </w:numPr>
              <w:ind w:left="420" w:leftChars="0"/>
              <w:rPr>
                <w:rFonts w:hint="default"/>
                <w:b/>
                <w:lang w:val="en-US"/>
              </w:rPr>
            </w:pPr>
            <w:r>
              <w:rPr>
                <w:rFonts w:hint="eastAsia"/>
                <w:b/>
                <w:lang w:eastAsia="zh-CN"/>
              </w:rPr>
              <w:t>（</w:t>
            </w:r>
            <w:r>
              <w:rPr>
                <w:rFonts w:hint="eastAsia"/>
                <w:b/>
                <w:lang w:val="en-US" w:eastAsia="zh-CN"/>
              </w:rPr>
              <w:t>1</w:t>
            </w:r>
            <w:r>
              <w:rPr>
                <w:rFonts w:hint="eastAsia"/>
                <w:b/>
                <w:lang w:eastAsia="zh-CN"/>
              </w:rPr>
              <w:t>）</w:t>
            </w:r>
            <w:r>
              <w:rPr>
                <w:rFonts w:hint="eastAsia"/>
                <w:b/>
                <w:lang w:val="en-US" w:eastAsia="zh-CN"/>
              </w:rPr>
              <w:t>源强核算</w:t>
            </w:r>
          </w:p>
          <w:p w14:paraId="0D117580">
            <w:pPr>
              <w:ind w:firstLine="480"/>
              <w:rPr>
                <w:color w:val="000000"/>
              </w:rPr>
            </w:pPr>
            <w:r>
              <w:rPr>
                <w:color w:val="000000"/>
              </w:rPr>
              <w:t>本项目运营期固体废物主要</w:t>
            </w:r>
            <w:r>
              <w:rPr>
                <w:rFonts w:hint="eastAsia"/>
                <w:color w:val="000000"/>
                <w:lang w:val="en-US" w:eastAsia="zh-CN"/>
              </w:rPr>
              <w:t>为</w:t>
            </w:r>
            <w:r>
              <w:rPr>
                <w:rFonts w:hint="eastAsia"/>
                <w:color w:val="000000"/>
              </w:rPr>
              <w:t>清罐废液、</w:t>
            </w:r>
            <w:r>
              <w:rPr>
                <w:rFonts w:hint="eastAsia"/>
                <w:color w:val="000000"/>
                <w:lang w:val="en-US" w:eastAsia="zh-CN"/>
              </w:rPr>
              <w:t>含油污泥、化粪池污泥、废吸油毡、废滤芯、废含油抹布手套</w:t>
            </w:r>
            <w:r>
              <w:rPr>
                <w:color w:val="000000"/>
              </w:rPr>
              <w:t>及生活垃圾。</w:t>
            </w:r>
          </w:p>
          <w:p w14:paraId="0F161A88">
            <w:pPr>
              <w:pStyle w:val="54"/>
              <w:numPr>
                <w:ilvl w:val="0"/>
                <w:numId w:val="0"/>
              </w:numPr>
              <w:tabs>
                <w:tab w:val="left" w:pos="7821"/>
              </w:tabs>
              <w:ind w:leftChars="200"/>
              <w:rPr>
                <w:spacing w:val="4"/>
                <w:kern w:val="0"/>
              </w:rPr>
            </w:pPr>
            <w:r>
              <w:rPr>
                <w:rFonts w:hint="eastAsia"/>
                <w:spacing w:val="4"/>
                <w:kern w:val="0"/>
                <w:lang w:val="en-US" w:eastAsia="zh-CN"/>
              </w:rPr>
              <w:t>1）</w:t>
            </w:r>
            <w:r>
              <w:rPr>
                <w:rFonts w:hint="eastAsia"/>
                <w:spacing w:val="4"/>
                <w:kern w:val="0"/>
              </w:rPr>
              <w:t>清罐废液</w:t>
            </w:r>
          </w:p>
          <w:p w14:paraId="471E51D1">
            <w:pPr>
              <w:ind w:firstLine="480"/>
              <w:rPr>
                <w:rFonts w:hint="eastAsia"/>
                <w:lang w:eastAsia="zh-CN"/>
              </w:rPr>
            </w:pPr>
            <w:r>
              <w:rPr>
                <w:rFonts w:hint="eastAsia"/>
                <w:lang w:val="en-US" w:eastAsia="zh-CN"/>
              </w:rPr>
              <w:t>本项目</w:t>
            </w:r>
            <w:r>
              <w:t>储油罐经过一段时间（约2年）的使用后，因冷热温差的变化，冷凝水顺罐流入罐底，加快燃油的乳化，其黑油泥会逐渐增加</w:t>
            </w:r>
            <w:r>
              <w:rPr>
                <w:rFonts w:hint="eastAsia"/>
                <w:lang w:eastAsia="zh-CN"/>
              </w:rPr>
              <w:t>，</w:t>
            </w:r>
            <w:r>
              <w:t>导致油品质量下降、腐蚀罐壁，还会给车辆及设备造成不应有的损失，故储油罐必须定时定期做好清理工作。</w:t>
            </w:r>
            <w:r>
              <w:rPr>
                <w:color w:val="auto"/>
              </w:rPr>
              <w:t>储油罐的清理需委托具</w:t>
            </w:r>
            <w:r>
              <w:rPr>
                <w:rFonts w:hint="eastAsia"/>
                <w:color w:val="auto"/>
                <w:lang w:val="en-US" w:eastAsia="zh-CN"/>
              </w:rPr>
              <w:t>有</w:t>
            </w:r>
            <w:r>
              <w:rPr>
                <w:color w:val="auto"/>
              </w:rPr>
              <w:t>危险废物处理资质</w:t>
            </w:r>
            <w:r>
              <w:rPr>
                <w:rFonts w:hint="eastAsia"/>
                <w:color w:val="auto"/>
                <w:lang w:val="en-US" w:eastAsia="zh-CN"/>
              </w:rPr>
              <w:t>的</w:t>
            </w:r>
            <w:r>
              <w:rPr>
                <w:color w:val="auto"/>
              </w:rPr>
              <w:t>单位</w:t>
            </w:r>
            <w:r>
              <w:rPr>
                <w:rFonts w:hint="eastAsia"/>
                <w:color w:val="auto"/>
                <w:lang w:val="en-US" w:eastAsia="zh-CN"/>
              </w:rPr>
              <w:t>进行</w:t>
            </w:r>
            <w:r>
              <w:rPr>
                <w:color w:val="auto"/>
              </w:rPr>
              <w:t>，清理过程中会有</w:t>
            </w:r>
            <w:r>
              <w:rPr>
                <w:rFonts w:hint="eastAsia"/>
                <w:color w:val="auto"/>
                <w:lang w:val="en-US" w:eastAsia="zh-CN"/>
              </w:rPr>
              <w:t>清罐废</w:t>
            </w:r>
            <w:r>
              <w:rPr>
                <w:color w:val="auto"/>
              </w:rPr>
              <w:t>液产生</w:t>
            </w:r>
            <w:r>
              <w:rPr>
                <w:rFonts w:hint="eastAsia"/>
                <w:lang w:eastAsia="zh-CN"/>
              </w:rPr>
              <w:t>。</w:t>
            </w:r>
          </w:p>
          <w:p w14:paraId="7FC5126A">
            <w:pPr>
              <w:ind w:firstLine="480"/>
              <w:rPr>
                <w:color w:val="FF0000"/>
              </w:rPr>
            </w:pPr>
            <w:r>
              <w:rPr>
                <w:rFonts w:hint="eastAsia" w:ascii="Times New Roman" w:hAnsi="Times New Roman" w:eastAsia="宋体"/>
                <w:color w:val="000000" w:themeColor="text1"/>
                <w:sz w:val="24"/>
                <w14:textFill>
                  <w14:solidFill>
                    <w14:schemeClr w14:val="tx1"/>
                  </w14:solidFill>
                </w14:textFill>
              </w:rPr>
              <w:t>本项目设置</w:t>
            </w:r>
            <w:r>
              <w:rPr>
                <w:rFonts w:hint="eastAsia" w:ascii="Times New Roman" w:hAnsi="Times New Roman" w:eastAsia="宋体"/>
                <w:color w:val="000000" w:themeColor="text1"/>
                <w:sz w:val="24"/>
                <w:lang w:val="en-US" w:eastAsia="zh-CN"/>
                <w14:textFill>
                  <w14:solidFill>
                    <w14:schemeClr w14:val="tx1"/>
                  </w14:solidFill>
                </w14:textFill>
              </w:rPr>
              <w:t>4</w:t>
            </w:r>
            <w:r>
              <w:rPr>
                <w:rFonts w:hint="eastAsia"/>
                <w:color w:val="000000" w:themeColor="text1"/>
                <w:sz w:val="24"/>
                <w:lang w:val="en-US" w:eastAsia="zh-CN"/>
                <w14:textFill>
                  <w14:solidFill>
                    <w14:schemeClr w14:val="tx1"/>
                  </w14:solidFill>
                </w14:textFill>
              </w:rPr>
              <w:t>座</w:t>
            </w:r>
            <w:r>
              <w:rPr>
                <w:rFonts w:ascii="Times New Roman" w:hAnsi="Times New Roman" w:eastAsia="宋体"/>
                <w:color w:val="000000" w:themeColor="text1"/>
                <w:sz w:val="24"/>
                <w14:textFill>
                  <w14:solidFill>
                    <w14:schemeClr w14:val="tx1"/>
                  </w14:solidFill>
                </w14:textFill>
              </w:rPr>
              <w:t>油罐</w:t>
            </w:r>
            <w:r>
              <w:rPr>
                <w:rFonts w:hint="eastAsia" w:ascii="Times New Roman" w:hAnsi="Times New Roman" w:eastAsia="宋体"/>
                <w:color w:val="000000" w:themeColor="text1"/>
                <w:sz w:val="24"/>
                <w14:textFill>
                  <w14:solidFill>
                    <w14:schemeClr w14:val="tx1"/>
                  </w14:solidFill>
                </w14:textFill>
              </w:rPr>
              <w:t>，</w:t>
            </w:r>
            <w:r>
              <w:rPr>
                <w:rFonts w:hint="eastAsia" w:ascii="Times New Roman" w:hAnsi="Times New Roman" w:eastAsia="宋体"/>
                <w:color w:val="000000" w:themeColor="text1"/>
                <w:sz w:val="24"/>
                <w:lang w:val="en-US" w:eastAsia="zh-CN"/>
                <w14:textFill>
                  <w14:solidFill>
                    <w14:schemeClr w14:val="tx1"/>
                  </w14:solidFill>
                </w14:textFill>
              </w:rPr>
              <w:t>每</w:t>
            </w:r>
            <w:r>
              <w:rPr>
                <w:rFonts w:hint="eastAsia"/>
                <w:color w:val="000000" w:themeColor="text1"/>
                <w:sz w:val="24"/>
                <w:lang w:val="en-US" w:eastAsia="zh-CN"/>
                <w14:textFill>
                  <w14:solidFill>
                    <w14:schemeClr w14:val="tx1"/>
                  </w14:solidFill>
                </w14:textFill>
              </w:rPr>
              <w:t>座</w:t>
            </w:r>
            <w:r>
              <w:rPr>
                <w:rFonts w:hint="eastAsia" w:ascii="Times New Roman" w:hAnsi="Times New Roman" w:eastAsia="宋体"/>
                <w:color w:val="000000" w:themeColor="text1"/>
                <w:sz w:val="24"/>
                <w:lang w:val="en-US" w:eastAsia="zh-CN"/>
                <w14:textFill>
                  <w14:solidFill>
                    <w14:schemeClr w14:val="tx1"/>
                  </w14:solidFill>
                </w14:textFill>
              </w:rPr>
              <w:t>油罐清理过程中</w:t>
            </w:r>
            <w:r>
              <w:rPr>
                <w:rFonts w:hint="eastAsia"/>
                <w:spacing w:val="4"/>
                <w:kern w:val="0"/>
              </w:rPr>
              <w:t>清罐废液</w:t>
            </w:r>
            <w:r>
              <w:rPr>
                <w:rFonts w:hint="eastAsia"/>
                <w:spacing w:val="4"/>
                <w:kern w:val="0"/>
                <w:lang w:val="en-US" w:eastAsia="zh-CN"/>
              </w:rPr>
              <w:t>产生</w:t>
            </w:r>
            <w:r>
              <w:rPr>
                <w:rFonts w:ascii="Times New Roman" w:hAnsi="Times New Roman" w:eastAsia="宋体"/>
                <w:color w:val="000000" w:themeColor="text1"/>
                <w:sz w:val="24"/>
                <w14:textFill>
                  <w14:solidFill>
                    <w14:schemeClr w14:val="tx1"/>
                  </w14:solidFill>
                </w14:textFill>
              </w:rPr>
              <w:t>量约</w:t>
            </w:r>
            <w:r>
              <w:rPr>
                <w:rFonts w:hint="eastAsia" w:ascii="Times New Roman" w:hAnsi="Times New Roman" w:eastAsia="宋体"/>
                <w:color w:val="000000" w:themeColor="text1"/>
                <w:sz w:val="24"/>
                <w14:textFill>
                  <w14:solidFill>
                    <w14:schemeClr w14:val="tx1"/>
                  </w14:solidFill>
                </w14:textFill>
              </w:rPr>
              <w:t>0.4</w:t>
            </w:r>
            <w:r>
              <w:rPr>
                <w:rFonts w:ascii="Times New Roman" w:hAnsi="Times New Roman" w:eastAsia="宋体"/>
                <w:color w:val="000000" w:themeColor="text1"/>
                <w:sz w:val="24"/>
                <w14:textFill>
                  <w14:solidFill>
                    <w14:schemeClr w14:val="tx1"/>
                  </w14:solidFill>
                </w14:textFill>
              </w:rPr>
              <w:t>t/</w:t>
            </w:r>
            <w:r>
              <w:rPr>
                <w:rFonts w:hint="eastAsia" w:ascii="Times New Roman" w:hAnsi="Times New Roman" w:eastAsia="宋体"/>
                <w:color w:val="000000" w:themeColor="text1"/>
                <w:sz w:val="24"/>
                <w14:textFill>
                  <w14:solidFill>
                    <w14:schemeClr w14:val="tx1"/>
                  </w14:solidFill>
                </w14:textFill>
              </w:rPr>
              <w:t>次</w:t>
            </w:r>
            <w:r>
              <w:rPr>
                <w:rFonts w:ascii="Times New Roman" w:hAnsi="Times New Roman" w:eastAsia="宋体"/>
                <w:color w:val="000000" w:themeColor="text1"/>
                <w:sz w:val="24"/>
                <w14:textFill>
                  <w14:solidFill>
                    <w14:schemeClr w14:val="tx1"/>
                  </w14:solidFill>
                </w14:textFill>
              </w:rPr>
              <w:t>，</w:t>
            </w:r>
            <w:r>
              <w:rPr>
                <w:rFonts w:hint="eastAsia" w:ascii="Times New Roman" w:hAnsi="Times New Roman" w:eastAsia="宋体"/>
                <w:color w:val="000000" w:themeColor="text1"/>
                <w:sz w:val="24"/>
                <w14:textFill>
                  <w14:solidFill>
                    <w14:schemeClr w14:val="tx1"/>
                  </w14:solidFill>
                </w14:textFill>
              </w:rPr>
              <w:t>则清罐废液</w:t>
            </w:r>
            <w:r>
              <w:rPr>
                <w:rFonts w:ascii="Times New Roman" w:hAnsi="Times New Roman" w:eastAsia="宋体"/>
                <w:color w:val="000000" w:themeColor="text1"/>
                <w:sz w:val="24"/>
                <w14:textFill>
                  <w14:solidFill>
                    <w14:schemeClr w14:val="tx1"/>
                  </w14:solidFill>
                </w14:textFill>
              </w:rPr>
              <w:t>产生量约</w:t>
            </w:r>
            <w:r>
              <w:rPr>
                <w:rFonts w:hint="eastAsia" w:ascii="Times New Roman" w:hAnsi="Times New Roman" w:eastAsia="宋体"/>
                <w:color w:val="000000" w:themeColor="text1"/>
                <w:sz w:val="24"/>
                <w:lang w:val="en-US" w:eastAsia="zh-CN"/>
                <w14:textFill>
                  <w14:solidFill>
                    <w14:schemeClr w14:val="tx1"/>
                  </w14:solidFill>
                </w14:textFill>
              </w:rPr>
              <w:t>1.6</w:t>
            </w:r>
            <w:r>
              <w:rPr>
                <w:rFonts w:ascii="Times New Roman" w:hAnsi="Times New Roman" w:eastAsia="宋体"/>
                <w:color w:val="000000" w:themeColor="text1"/>
                <w:sz w:val="24"/>
                <w14:textFill>
                  <w14:solidFill>
                    <w14:schemeClr w14:val="tx1"/>
                  </w14:solidFill>
                </w14:textFill>
              </w:rPr>
              <w:t>t/次</w:t>
            </w:r>
            <w:r>
              <w:rPr>
                <w:rFonts w:hint="eastAsia" w:ascii="Times New Roman" w:hAnsi="Times New Roman" w:eastAsia="宋体"/>
                <w:color w:val="000000" w:themeColor="text1"/>
                <w:sz w:val="24"/>
                <w:lang w:eastAsia="zh-CN"/>
                <w14:textFill>
                  <w14:solidFill>
                    <w14:schemeClr w14:val="tx1"/>
                  </w14:solidFill>
                </w14:textFill>
              </w:rPr>
              <w:t>，</w:t>
            </w:r>
            <w:r>
              <w:t>按每两年清理一次，则</w:t>
            </w:r>
            <w:r>
              <w:rPr>
                <w:rFonts w:hint="eastAsia"/>
                <w:lang w:val="en-US" w:eastAsia="zh-CN"/>
              </w:rPr>
              <w:t>清罐</w:t>
            </w:r>
            <w:r>
              <w:t>废液产生</w:t>
            </w:r>
            <w:r>
              <w:rPr>
                <w:rFonts w:hint="eastAsia"/>
                <w:lang w:val="en-US" w:eastAsia="zh-CN"/>
              </w:rPr>
              <w:t>量</w:t>
            </w:r>
            <w:r>
              <w:t>约</w:t>
            </w:r>
            <w:r>
              <w:rPr>
                <w:rFonts w:hint="eastAsia"/>
              </w:rPr>
              <w:t>0.</w:t>
            </w:r>
            <w:r>
              <w:rPr>
                <w:rFonts w:hint="eastAsia"/>
                <w:lang w:val="en-US" w:eastAsia="zh-CN"/>
              </w:rPr>
              <w:t>8</w:t>
            </w:r>
            <w:r>
              <w:t>t/a</w:t>
            </w:r>
            <w:r>
              <w:rPr>
                <w:rFonts w:hint="eastAsia" w:ascii="Times New Roman" w:hAnsi="Times New Roman" w:eastAsia="宋体"/>
                <w:color w:val="000000" w:themeColor="text1"/>
                <w:sz w:val="24"/>
                <w14:textFill>
                  <w14:solidFill>
                    <w14:schemeClr w14:val="tx1"/>
                  </w14:solidFill>
                </w14:textFill>
              </w:rPr>
              <w:t>。根据</w:t>
            </w:r>
            <w:r>
              <w:rPr>
                <w:rFonts w:ascii="Times New Roman" w:hAnsi="Times New Roman" w:eastAsia="宋体"/>
                <w:color w:val="000000" w:themeColor="text1"/>
                <w:sz w:val="24"/>
                <w14:textFill>
                  <w14:solidFill>
                    <w14:schemeClr w14:val="tx1"/>
                  </w14:solidFill>
                </w14:textFill>
              </w:rPr>
              <w:t>《</w:t>
            </w:r>
            <w:r>
              <w:rPr>
                <w:rFonts w:hint="eastAsia" w:ascii="Times New Roman" w:hAnsi="Times New Roman" w:eastAsia="宋体"/>
                <w:color w:val="000000" w:themeColor="text1"/>
                <w:sz w:val="24"/>
                <w14:textFill>
                  <w14:solidFill>
                    <w14:schemeClr w14:val="tx1"/>
                  </w14:solidFill>
                </w14:textFill>
              </w:rPr>
              <w:t>国家</w:t>
            </w:r>
            <w:r>
              <w:rPr>
                <w:rFonts w:ascii="Times New Roman" w:hAnsi="Times New Roman" w:eastAsia="宋体"/>
                <w:color w:val="000000" w:themeColor="text1"/>
                <w:sz w:val="24"/>
                <w14:textFill>
                  <w14:solidFill>
                    <w14:schemeClr w14:val="tx1"/>
                  </w14:solidFill>
                </w14:textFill>
              </w:rPr>
              <w:t>危险废物名录》</w:t>
            </w:r>
            <w:r>
              <w:rPr>
                <w:rFonts w:hint="eastAsia" w:ascii="Times New Roman" w:hAnsi="Times New Roman" w:eastAsia="宋体"/>
                <w:color w:val="000000" w:themeColor="text1"/>
                <w:sz w:val="24"/>
                <w14:textFill>
                  <w14:solidFill>
                    <w14:schemeClr w14:val="tx1"/>
                  </w14:solidFill>
                </w14:textFill>
              </w:rPr>
              <w:t>（202</w:t>
            </w:r>
            <w:r>
              <w:rPr>
                <w:rFonts w:hint="eastAsia" w:ascii="Times New Roman" w:hAnsi="Times New Roman" w:eastAsia="宋体"/>
                <w:color w:val="000000" w:themeColor="text1"/>
                <w:sz w:val="24"/>
                <w:lang w:val="en-US" w:eastAsia="zh-CN"/>
                <w14:textFill>
                  <w14:solidFill>
                    <w14:schemeClr w14:val="tx1"/>
                  </w14:solidFill>
                </w14:textFill>
              </w:rPr>
              <w:t>5</w:t>
            </w:r>
            <w:r>
              <w:rPr>
                <w:rFonts w:hint="eastAsia" w:ascii="Times New Roman" w:hAnsi="Times New Roman" w:eastAsia="宋体"/>
                <w:color w:val="000000" w:themeColor="text1"/>
                <w:sz w:val="24"/>
                <w14:textFill>
                  <w14:solidFill>
                    <w14:schemeClr w14:val="tx1"/>
                  </w14:solidFill>
                </w14:textFill>
              </w:rPr>
              <w:t>年版），</w:t>
            </w:r>
            <w:r>
              <w:rPr>
                <w:rFonts w:hint="eastAsia"/>
                <w:spacing w:val="4"/>
                <w:kern w:val="0"/>
              </w:rPr>
              <w:t>清罐废液</w:t>
            </w:r>
            <w:r>
              <w:rPr>
                <w:rFonts w:ascii="Times New Roman" w:hAnsi="Times New Roman" w:eastAsia="宋体"/>
                <w:color w:val="000000" w:themeColor="text1"/>
                <w:sz w:val="24"/>
                <w14:textFill>
                  <w14:solidFill>
                    <w14:schemeClr w14:val="tx1"/>
                  </w14:solidFill>
                </w14:textFill>
              </w:rPr>
              <w:t>属于危险废物（废物类别：HW08废矿物油与含矿物油废物，行业来源：非特定行业，废物代码：900-249-08，危险废物：其他生产、销售、使用过程中产</w:t>
            </w:r>
            <w:r>
              <w:rPr>
                <w:rFonts w:hint="eastAsia" w:ascii="Times New Roman" w:hAnsi="Times New Roman" w:eastAsia="宋体"/>
                <w:color w:val="000000" w:themeColor="text1"/>
                <w:sz w:val="24"/>
                <w14:textFill>
                  <w14:solidFill>
                    <w14:schemeClr w14:val="tx1"/>
                  </w14:solidFill>
                </w14:textFill>
              </w:rPr>
              <w:t>生的废矿物油及</w:t>
            </w:r>
            <w:r>
              <w:rPr>
                <w:rFonts w:ascii="Times New Roman" w:hAnsi="Times New Roman" w:eastAsia="宋体"/>
                <w:color w:val="000000" w:themeColor="text1"/>
                <w:sz w:val="24"/>
                <w14:textFill>
                  <w14:solidFill>
                    <w14:schemeClr w14:val="tx1"/>
                  </w14:solidFill>
                </w14:textFill>
              </w:rPr>
              <w:t>沾染矿物油的废弃包装物</w:t>
            </w:r>
            <w:r>
              <w:rPr>
                <w:rFonts w:hint="eastAsia" w:ascii="Times New Roman" w:hAnsi="Times New Roman" w:eastAsia="宋体"/>
                <w:color w:val="000000" w:themeColor="text1"/>
                <w:sz w:val="24"/>
                <w14:textFill>
                  <w14:solidFill>
                    <w14:schemeClr w14:val="tx1"/>
                  </w14:solidFill>
                </w14:textFill>
              </w:rPr>
              <w:t>，危险特性：</w:t>
            </w:r>
            <w:r>
              <w:rPr>
                <w:rFonts w:ascii="Times New Roman" w:hAnsi="Times New Roman" w:eastAsia="宋体"/>
                <w:color w:val="000000" w:themeColor="text1"/>
                <w:sz w:val="24"/>
                <w14:textFill>
                  <w14:solidFill>
                    <w14:schemeClr w14:val="tx1"/>
                  </w14:solidFill>
                </w14:textFill>
              </w:rPr>
              <w:t>T，I），</w:t>
            </w:r>
            <w:r>
              <w:rPr>
                <w:rFonts w:hint="eastAsia" w:ascii="Times New Roman" w:hAnsi="Times New Roman" w:eastAsia="宋体"/>
                <w:color w:val="000000" w:themeColor="text1"/>
                <w:sz w:val="24"/>
                <w14:textFill>
                  <w14:solidFill>
                    <w14:schemeClr w14:val="tx1"/>
                  </w14:solidFill>
                </w14:textFill>
              </w:rPr>
              <w:t>由委托的具有危险废物处理资质的单位带走处置，不在厂区内暂存</w:t>
            </w:r>
            <w:r>
              <w:rPr>
                <w:rFonts w:ascii="Times New Roman" w:hAnsi="Times New Roman" w:eastAsia="宋体"/>
                <w:color w:val="000000" w:themeColor="text1"/>
                <w:sz w:val="24"/>
                <w14:textFill>
                  <w14:solidFill>
                    <w14:schemeClr w14:val="tx1"/>
                  </w14:solidFill>
                </w14:textFill>
              </w:rPr>
              <w:t>。</w:t>
            </w:r>
          </w:p>
          <w:p w14:paraId="35A62445">
            <w:pPr>
              <w:pStyle w:val="54"/>
              <w:numPr>
                <w:ilvl w:val="0"/>
                <w:numId w:val="0"/>
              </w:numPr>
              <w:tabs>
                <w:tab w:val="left" w:pos="7821"/>
              </w:tabs>
              <w:ind w:leftChars="200"/>
              <w:rPr>
                <w:rFonts w:hint="eastAsia" w:ascii="Times New Roman" w:hAnsi="Times New Roman" w:eastAsia="宋体" w:cs="Times New Roman"/>
                <w:color w:val="FF0000"/>
                <w:sz w:val="24"/>
              </w:rPr>
            </w:pPr>
            <w:r>
              <w:rPr>
                <w:rFonts w:hint="eastAsia"/>
                <w:color w:val="FF0000"/>
                <w:spacing w:val="4"/>
                <w:kern w:val="0"/>
                <w:lang w:val="en-US" w:eastAsia="zh-CN"/>
              </w:rPr>
              <w:t>2）</w:t>
            </w:r>
            <w:r>
              <w:rPr>
                <w:rFonts w:hint="eastAsia"/>
                <w:color w:val="FF0000"/>
                <w:lang w:val="en-US" w:eastAsia="zh-CN"/>
              </w:rPr>
              <w:t>含油污泥</w:t>
            </w:r>
          </w:p>
          <w:p w14:paraId="77885F00">
            <w:pPr>
              <w:pStyle w:val="54"/>
              <w:keepNext w:val="0"/>
              <w:keepLines w:val="0"/>
              <w:pageBreakBefore w:val="0"/>
              <w:widowControl w:val="0"/>
              <w:numPr>
                <w:ilvl w:val="0"/>
                <w:numId w:val="0"/>
              </w:numPr>
              <w:tabs>
                <w:tab w:val="left" w:pos="7821"/>
              </w:tabs>
              <w:kinsoku/>
              <w:wordWrap/>
              <w:overflowPunct/>
              <w:topLinePunct w:val="0"/>
              <w:autoSpaceDE/>
              <w:autoSpaceDN/>
              <w:bidi w:val="0"/>
              <w:adjustRightInd/>
              <w:snapToGrid/>
              <w:ind w:leftChars="0" w:firstLine="480" w:firstLineChars="200"/>
              <w:textAlignment w:val="auto"/>
              <w:rPr>
                <w:rFonts w:hint="eastAsia"/>
                <w:color w:val="FF0000"/>
                <w:spacing w:val="4"/>
                <w:kern w:val="0"/>
              </w:rPr>
            </w:pPr>
            <w:r>
              <w:rPr>
                <w:rFonts w:hint="eastAsia" w:ascii="Times New Roman" w:hAnsi="Times New Roman" w:eastAsia="宋体" w:cs="Times New Roman"/>
                <w:color w:val="FF0000"/>
                <w:kern w:val="2"/>
                <w:sz w:val="24"/>
                <w:szCs w:val="24"/>
                <w:lang w:val="en-US" w:eastAsia="zh-CN" w:bidi="ar-SA"/>
              </w:rPr>
              <w:t>本项目地面冲洗废水</w:t>
            </w:r>
            <w:r>
              <w:rPr>
                <w:rFonts w:hint="eastAsia" w:cs="Times New Roman"/>
                <w:color w:val="FF0000"/>
                <w:kern w:val="2"/>
                <w:sz w:val="24"/>
                <w:szCs w:val="24"/>
                <w:lang w:val="en-US" w:eastAsia="zh-CN" w:bidi="ar-SA"/>
              </w:rPr>
              <w:t>、洗车废水</w:t>
            </w:r>
            <w:r>
              <w:rPr>
                <w:rFonts w:hint="eastAsia" w:ascii="Times New Roman" w:hAnsi="Times New Roman" w:eastAsia="宋体" w:cs="Times New Roman"/>
                <w:color w:val="FF0000"/>
                <w:kern w:val="2"/>
                <w:sz w:val="24"/>
                <w:szCs w:val="24"/>
                <w:lang w:val="en-US" w:eastAsia="zh-CN" w:bidi="ar-SA"/>
              </w:rPr>
              <w:t>处理过程</w:t>
            </w:r>
            <w:r>
              <w:rPr>
                <w:rFonts w:hint="eastAsia" w:cs="Times New Roman"/>
                <w:color w:val="FF0000"/>
                <w:kern w:val="2"/>
                <w:sz w:val="24"/>
                <w:szCs w:val="24"/>
                <w:lang w:val="en-US" w:eastAsia="zh-CN" w:bidi="ar-SA"/>
              </w:rPr>
              <w:t>中</w:t>
            </w:r>
            <w:r>
              <w:rPr>
                <w:rFonts w:hint="eastAsia" w:ascii="Times New Roman" w:hAnsi="Times New Roman" w:eastAsia="宋体" w:cs="Times New Roman"/>
                <w:color w:val="FF0000"/>
                <w:kern w:val="2"/>
                <w:sz w:val="24"/>
                <w:szCs w:val="24"/>
                <w:lang w:val="en-US" w:eastAsia="zh-CN" w:bidi="ar-SA"/>
              </w:rPr>
              <w:t>会有少量浮油和污泥产生，</w:t>
            </w:r>
            <w:r>
              <w:rPr>
                <w:rFonts w:hint="eastAsia" w:cs="Times New Roman"/>
                <w:color w:val="FF0000"/>
                <w:kern w:val="2"/>
                <w:sz w:val="24"/>
                <w:szCs w:val="24"/>
                <w:lang w:val="en-US" w:eastAsia="zh-CN" w:bidi="ar-SA"/>
              </w:rPr>
              <w:t>需委托</w:t>
            </w:r>
            <w:r>
              <w:rPr>
                <w:color w:val="FF0000"/>
              </w:rPr>
              <w:t>具</w:t>
            </w:r>
            <w:r>
              <w:rPr>
                <w:rFonts w:hint="eastAsia"/>
                <w:color w:val="FF0000"/>
                <w:lang w:val="en-US" w:eastAsia="zh-CN"/>
              </w:rPr>
              <w:t>有</w:t>
            </w:r>
            <w:r>
              <w:rPr>
                <w:color w:val="FF0000"/>
              </w:rPr>
              <w:t>危险废物处理资质</w:t>
            </w:r>
            <w:r>
              <w:rPr>
                <w:rFonts w:hint="eastAsia"/>
                <w:color w:val="FF0000"/>
                <w:lang w:val="en-US" w:eastAsia="zh-CN"/>
              </w:rPr>
              <w:t>的</w:t>
            </w:r>
            <w:r>
              <w:rPr>
                <w:color w:val="FF0000"/>
              </w:rPr>
              <w:t>单位</w:t>
            </w:r>
            <w:r>
              <w:rPr>
                <w:rFonts w:hint="eastAsia" w:ascii="Times New Roman" w:hAnsi="Times New Roman" w:eastAsia="宋体" w:cs="Times New Roman"/>
                <w:color w:val="FF0000"/>
                <w:kern w:val="2"/>
                <w:sz w:val="24"/>
                <w:szCs w:val="24"/>
                <w:lang w:val="en-US" w:eastAsia="zh-CN" w:bidi="ar-SA"/>
              </w:rPr>
              <w:t>定期清掏</w:t>
            </w:r>
            <w:r>
              <w:rPr>
                <w:rFonts w:hint="eastAsia" w:ascii="Times New Roman" w:hAnsi="Times New Roman" w:eastAsia="宋体"/>
                <w:color w:val="FF0000"/>
                <w:sz w:val="24"/>
              </w:rPr>
              <w:t>隔油池</w:t>
            </w:r>
            <w:r>
              <w:rPr>
                <w:rFonts w:ascii="Times New Roman" w:hAnsi="Times New Roman" w:eastAsia="宋体"/>
                <w:color w:val="FF0000"/>
                <w:sz w:val="24"/>
              </w:rPr>
              <w:t>和</w:t>
            </w:r>
            <w:r>
              <w:rPr>
                <w:rFonts w:hint="eastAsia" w:ascii="Times New Roman" w:hAnsi="Times New Roman" w:eastAsia="宋体"/>
                <w:color w:val="FF0000"/>
                <w:sz w:val="24"/>
              </w:rPr>
              <w:t>一体化（MBR）</w:t>
            </w:r>
            <w:r>
              <w:rPr>
                <w:rFonts w:hint="eastAsia" w:ascii="Times New Roman" w:hAnsi="Times New Roman" w:eastAsia="宋体"/>
                <w:color w:val="FF0000"/>
                <w:sz w:val="24"/>
                <w:lang w:val="en-US" w:eastAsia="zh-CN"/>
              </w:rPr>
              <w:t>洗车废水</w:t>
            </w:r>
            <w:r>
              <w:rPr>
                <w:rFonts w:hint="eastAsia" w:ascii="Times New Roman" w:hAnsi="Times New Roman" w:eastAsia="宋体"/>
                <w:color w:val="FF0000"/>
                <w:sz w:val="24"/>
              </w:rPr>
              <w:t>处理</w:t>
            </w:r>
            <w:r>
              <w:rPr>
                <w:rFonts w:hint="eastAsia" w:ascii="Times New Roman" w:hAnsi="Times New Roman" w:eastAsia="宋体"/>
                <w:color w:val="FF0000"/>
                <w:sz w:val="24"/>
                <w:lang w:val="en-US" w:eastAsia="zh-CN"/>
              </w:rPr>
              <w:t>设施</w:t>
            </w:r>
            <w:r>
              <w:rPr>
                <w:rFonts w:hint="eastAsia" w:ascii="Times New Roman" w:hAnsi="Times New Roman" w:eastAsia="宋体"/>
                <w:color w:val="FF0000"/>
                <w:sz w:val="24"/>
              </w:rPr>
              <w:t>水池</w:t>
            </w:r>
            <w:r>
              <w:rPr>
                <w:rFonts w:hint="eastAsia" w:ascii="Times New Roman" w:hAnsi="Times New Roman" w:eastAsia="宋体" w:cs="Times New Roman"/>
                <w:color w:val="FF0000"/>
                <w:kern w:val="2"/>
                <w:sz w:val="24"/>
                <w:szCs w:val="24"/>
                <w:lang w:val="en-US" w:eastAsia="zh-CN" w:bidi="ar-SA"/>
              </w:rPr>
              <w:t>，每半年一次，含油污泥产生量约为</w:t>
            </w:r>
            <w:r>
              <w:rPr>
                <w:rFonts w:hint="eastAsia" w:cs="Times New Roman"/>
                <w:color w:val="FF0000"/>
                <w:kern w:val="2"/>
                <w:sz w:val="24"/>
                <w:szCs w:val="24"/>
                <w:lang w:val="en-US" w:eastAsia="zh-CN" w:bidi="ar-SA"/>
              </w:rPr>
              <w:t>1.0</w:t>
            </w:r>
            <w:r>
              <w:rPr>
                <w:rFonts w:hint="eastAsia" w:ascii="Times New Roman" w:hAnsi="Times New Roman" w:eastAsia="宋体" w:cs="Times New Roman"/>
                <w:color w:val="FF0000"/>
                <w:kern w:val="2"/>
                <w:sz w:val="24"/>
                <w:szCs w:val="24"/>
                <w:lang w:val="en-US" w:eastAsia="zh-CN" w:bidi="ar-SA"/>
              </w:rPr>
              <w:t>t/a</w:t>
            </w:r>
            <w:r>
              <w:rPr>
                <w:rFonts w:hint="eastAsia" w:cs="Times New Roman"/>
                <w:color w:val="FF0000"/>
                <w:kern w:val="2"/>
                <w:sz w:val="24"/>
                <w:szCs w:val="24"/>
                <w:lang w:val="en-US" w:eastAsia="zh-CN" w:bidi="ar-SA"/>
              </w:rPr>
              <w:t>。</w:t>
            </w:r>
            <w:r>
              <w:rPr>
                <w:rFonts w:hint="eastAsia" w:ascii="Times New Roman" w:hAnsi="Times New Roman" w:eastAsia="宋体"/>
                <w:color w:val="FF0000"/>
                <w:sz w:val="24"/>
              </w:rPr>
              <w:t>根据</w:t>
            </w:r>
            <w:r>
              <w:rPr>
                <w:rFonts w:ascii="Times New Roman" w:hAnsi="Times New Roman" w:eastAsia="宋体"/>
                <w:color w:val="FF0000"/>
                <w:sz w:val="24"/>
              </w:rPr>
              <w:t>《</w:t>
            </w:r>
            <w:r>
              <w:rPr>
                <w:rFonts w:hint="eastAsia" w:ascii="Times New Roman" w:hAnsi="Times New Roman" w:eastAsia="宋体"/>
                <w:color w:val="FF0000"/>
                <w:sz w:val="24"/>
              </w:rPr>
              <w:t>国家</w:t>
            </w:r>
            <w:r>
              <w:rPr>
                <w:rFonts w:ascii="Times New Roman" w:hAnsi="Times New Roman" w:eastAsia="宋体"/>
                <w:color w:val="FF0000"/>
                <w:sz w:val="24"/>
              </w:rPr>
              <w:t>危险废物名录》</w:t>
            </w:r>
            <w:r>
              <w:rPr>
                <w:rFonts w:hint="eastAsia" w:ascii="Times New Roman" w:hAnsi="Times New Roman" w:eastAsia="宋体"/>
                <w:color w:val="FF0000"/>
                <w:sz w:val="24"/>
              </w:rPr>
              <w:t>（202</w:t>
            </w:r>
            <w:r>
              <w:rPr>
                <w:rFonts w:hint="eastAsia" w:ascii="Times New Roman" w:hAnsi="Times New Roman" w:eastAsia="宋体"/>
                <w:color w:val="FF0000"/>
                <w:sz w:val="24"/>
                <w:lang w:val="en-US" w:eastAsia="zh-CN"/>
              </w:rPr>
              <w:t>5</w:t>
            </w:r>
            <w:r>
              <w:rPr>
                <w:rFonts w:hint="eastAsia" w:ascii="Times New Roman" w:hAnsi="Times New Roman" w:eastAsia="宋体"/>
                <w:color w:val="FF0000"/>
                <w:sz w:val="24"/>
              </w:rPr>
              <w:t>年版），含有</w:t>
            </w:r>
            <w:r>
              <w:rPr>
                <w:rFonts w:ascii="Times New Roman" w:hAnsi="Times New Roman" w:eastAsia="宋体"/>
                <w:color w:val="FF0000"/>
                <w:sz w:val="24"/>
              </w:rPr>
              <w:t>污泥</w:t>
            </w:r>
            <w:r>
              <w:rPr>
                <w:rFonts w:hint="eastAsia" w:ascii="Times New Roman" w:hAnsi="Times New Roman" w:eastAsia="宋体" w:cs="Times New Roman"/>
                <w:color w:val="FF0000"/>
                <w:kern w:val="2"/>
                <w:sz w:val="24"/>
                <w:szCs w:val="24"/>
                <w:lang w:val="en-US" w:eastAsia="zh-CN" w:bidi="ar-SA"/>
              </w:rPr>
              <w:t>属于危险废物（废物类别：HW08废矿物油</w:t>
            </w:r>
            <w:r>
              <w:rPr>
                <w:rFonts w:hint="eastAsia" w:cs="Times New Roman"/>
                <w:color w:val="FF0000"/>
                <w:kern w:val="2"/>
                <w:sz w:val="24"/>
                <w:szCs w:val="24"/>
                <w:lang w:val="en-US" w:eastAsia="zh-CN" w:bidi="ar-SA"/>
              </w:rPr>
              <w:t>，</w:t>
            </w:r>
            <w:r>
              <w:rPr>
                <w:rFonts w:hint="eastAsia" w:ascii="Times New Roman" w:hAnsi="Times New Roman" w:eastAsia="宋体" w:cs="Times New Roman"/>
                <w:color w:val="FF0000"/>
                <w:kern w:val="2"/>
                <w:sz w:val="24"/>
                <w:szCs w:val="24"/>
                <w:lang w:val="en-US" w:eastAsia="zh-CN" w:bidi="ar-SA"/>
              </w:rPr>
              <w:t>行业来源：非特定行业废物代码：900-210-08，危险废物：油/水分离设施产生的废油、污泥，危险特性：T，I），</w:t>
            </w:r>
            <w:r>
              <w:rPr>
                <w:rFonts w:hint="eastAsia" w:ascii="Times New Roman" w:hAnsi="Times New Roman" w:eastAsia="宋体"/>
                <w:color w:val="FF0000"/>
                <w:sz w:val="24"/>
              </w:rPr>
              <w:t>由</w:t>
            </w:r>
            <w:r>
              <w:rPr>
                <w:rFonts w:hint="eastAsia" w:ascii="Times New Roman" w:hAnsi="Times New Roman" w:eastAsia="宋体" w:cs="Times New Roman"/>
                <w:color w:val="FF0000"/>
                <w:kern w:val="2"/>
                <w:sz w:val="24"/>
                <w:szCs w:val="24"/>
                <w:lang w:val="en-US" w:eastAsia="zh-CN" w:bidi="ar-SA"/>
              </w:rPr>
              <w:t>委托的具有危险废物处理资质的单位带走处</w:t>
            </w:r>
            <w:r>
              <w:rPr>
                <w:rFonts w:hint="eastAsia" w:cs="Times New Roman"/>
                <w:color w:val="FF0000"/>
                <w:kern w:val="2"/>
                <w:sz w:val="24"/>
                <w:szCs w:val="24"/>
                <w:lang w:val="en-US" w:eastAsia="zh-CN" w:bidi="ar-SA"/>
              </w:rPr>
              <w:t>置</w:t>
            </w:r>
            <w:r>
              <w:rPr>
                <w:rFonts w:hint="eastAsia" w:ascii="Times New Roman" w:hAnsi="Times New Roman" w:eastAsia="宋体" w:cs="Times New Roman"/>
                <w:color w:val="FF0000"/>
                <w:kern w:val="2"/>
                <w:sz w:val="24"/>
                <w:szCs w:val="24"/>
                <w:lang w:val="en-US" w:eastAsia="zh-CN" w:bidi="ar-SA"/>
              </w:rPr>
              <w:t>，不在厂区内暂存。</w:t>
            </w:r>
          </w:p>
          <w:p w14:paraId="34A66A77">
            <w:pPr>
              <w:pStyle w:val="54"/>
              <w:numPr>
                <w:ilvl w:val="0"/>
                <w:numId w:val="0"/>
              </w:numPr>
              <w:tabs>
                <w:tab w:val="left" w:pos="7821"/>
              </w:tabs>
              <w:ind w:leftChars="200"/>
              <w:rPr>
                <w:rFonts w:hint="default"/>
                <w:spacing w:val="4"/>
                <w:kern w:val="0"/>
                <w:lang w:val="en-US" w:eastAsia="zh-CN"/>
              </w:rPr>
            </w:pPr>
            <w:r>
              <w:rPr>
                <w:rFonts w:hint="eastAsia"/>
                <w:spacing w:val="4"/>
                <w:kern w:val="0"/>
                <w:lang w:val="en-US" w:eastAsia="zh-CN"/>
              </w:rPr>
              <w:t>3）化粪池污泥</w:t>
            </w:r>
          </w:p>
          <w:p w14:paraId="25BE3077">
            <w:pPr>
              <w:pStyle w:val="54"/>
              <w:numPr>
                <w:ilvl w:val="0"/>
                <w:numId w:val="0"/>
              </w:numPr>
              <w:tabs>
                <w:tab w:val="left" w:pos="7821"/>
              </w:tabs>
              <w:ind w:firstLine="480" w:firstLineChars="200"/>
              <w:rPr>
                <w:rFonts w:hint="eastAsia"/>
                <w:spacing w:val="4"/>
                <w:kern w:val="0"/>
                <w:lang w:val="en-US" w:eastAsia="zh-CN"/>
              </w:rPr>
            </w:pPr>
            <w:r>
              <w:rPr>
                <w:rFonts w:hint="eastAsia" w:ascii="Times New Roman" w:hAnsi="Times New Roman" w:eastAsia="宋体" w:cs="Times New Roman"/>
                <w:b w:val="0"/>
                <w:bCs w:val="0"/>
                <w:color w:val="auto"/>
                <w:sz w:val="24"/>
                <w:szCs w:val="24"/>
                <w:lang w:val="en-US" w:eastAsia="zh-CN"/>
              </w:rPr>
              <w:t>本项目生活污水经化粪池预处理会产生化粪池污泥，项目生活污水产生量为</w:t>
            </w:r>
            <w:r>
              <w:rPr>
                <w:rFonts w:hint="eastAsia" w:cs="Times New Roman"/>
                <w:b w:val="0"/>
                <w:bCs w:val="0"/>
                <w:color w:val="auto"/>
                <w:sz w:val="24"/>
                <w:szCs w:val="24"/>
                <w:lang w:val="en-US" w:eastAsia="zh-CN"/>
              </w:rPr>
              <w:t>400.04</w:t>
            </w:r>
            <w:r>
              <w:rPr>
                <w:rFonts w:hint="eastAsia"/>
                <w:color w:val="auto"/>
                <w:sz w:val="24"/>
                <w:highlight w:val="none"/>
                <w:lang w:val="en-US" w:eastAsia="zh-CN"/>
              </w:rPr>
              <w:t>m</w:t>
            </w:r>
            <w:r>
              <w:rPr>
                <w:rFonts w:hint="eastAsia"/>
                <w:color w:val="auto"/>
                <w:sz w:val="24"/>
                <w:highlight w:val="none"/>
                <w:vertAlign w:val="superscript"/>
                <w:lang w:val="en-US" w:eastAsia="zh-CN"/>
              </w:rPr>
              <w:t>3</w:t>
            </w:r>
            <w:r>
              <w:rPr>
                <w:rFonts w:hint="eastAsia"/>
                <w:color w:val="auto"/>
                <w:sz w:val="24"/>
                <w:highlight w:val="none"/>
                <w:lang w:val="en-US" w:eastAsia="zh-CN"/>
              </w:rPr>
              <w:t>/a，</w:t>
            </w:r>
            <w:r>
              <w:rPr>
                <w:rFonts w:hint="eastAsia" w:ascii="Times New Roman" w:hAnsi="Times New Roman" w:eastAsia="宋体"/>
                <w:color w:val="000000" w:themeColor="text1"/>
                <w:sz w:val="24"/>
                <w14:textFill>
                  <w14:solidFill>
                    <w14:schemeClr w14:val="tx1"/>
                  </w14:solidFill>
                </w14:textFill>
              </w:rPr>
              <w:t>化粪池</w:t>
            </w:r>
            <w:r>
              <w:rPr>
                <w:rFonts w:ascii="Times New Roman" w:hAnsi="Times New Roman" w:eastAsia="宋体"/>
                <w:color w:val="000000" w:themeColor="text1"/>
                <w:sz w:val="24"/>
                <w14:textFill>
                  <w14:solidFill>
                    <w14:schemeClr w14:val="tx1"/>
                  </w14:solidFill>
                </w14:textFill>
              </w:rPr>
              <w:t>污泥产生量约</w:t>
            </w:r>
            <w:r>
              <w:rPr>
                <w:rFonts w:hint="eastAsia" w:ascii="Times New Roman" w:hAnsi="Times New Roman" w:eastAsia="宋体"/>
                <w:color w:val="000000" w:themeColor="text1"/>
                <w:sz w:val="24"/>
                <w:lang w:val="en-US" w:eastAsia="zh-CN"/>
                <w14:textFill>
                  <w14:solidFill>
                    <w14:schemeClr w14:val="tx1"/>
                  </w14:solidFill>
                </w14:textFill>
              </w:rPr>
              <w:t>为生活污水产生</w:t>
            </w:r>
            <w:r>
              <w:rPr>
                <w:rFonts w:hint="eastAsia" w:ascii="Times New Roman" w:hAnsi="Times New Roman" w:eastAsia="宋体"/>
                <w:color w:val="000000" w:themeColor="text1"/>
                <w:sz w:val="24"/>
                <w14:textFill>
                  <w14:solidFill>
                    <w14:schemeClr w14:val="tx1"/>
                  </w14:solidFill>
                </w14:textFill>
              </w:rPr>
              <w:t>量</w:t>
            </w:r>
            <w:r>
              <w:rPr>
                <w:rFonts w:ascii="Times New Roman" w:hAnsi="Times New Roman" w:eastAsia="宋体"/>
                <w:color w:val="000000" w:themeColor="text1"/>
                <w:sz w:val="24"/>
                <w14:textFill>
                  <w14:solidFill>
                    <w14:schemeClr w14:val="tx1"/>
                  </w14:solidFill>
                </w14:textFill>
              </w:rPr>
              <w:t>的</w:t>
            </w:r>
            <w:r>
              <w:rPr>
                <w:rFonts w:hint="eastAsia" w:ascii="Times New Roman" w:hAnsi="Times New Roman" w:eastAsia="宋体"/>
                <w:color w:val="000000" w:themeColor="text1"/>
                <w:sz w:val="24"/>
                <w14:textFill>
                  <w14:solidFill>
                    <w14:schemeClr w14:val="tx1"/>
                  </w14:solidFill>
                </w14:textFill>
              </w:rPr>
              <w:t>0.1</w:t>
            </w:r>
            <w:r>
              <w:rPr>
                <w:rFonts w:ascii="Times New Roman" w:hAnsi="Times New Roman" w:eastAsia="宋体"/>
                <w:color w:val="000000" w:themeColor="text1"/>
                <w:sz w:val="24"/>
                <w14:textFill>
                  <w14:solidFill>
                    <w14:schemeClr w14:val="tx1"/>
                  </w14:solidFill>
                </w14:textFill>
              </w:rPr>
              <w:t>%</w:t>
            </w:r>
            <w:r>
              <w:rPr>
                <w:rFonts w:hint="eastAsia" w:ascii="Times New Roman" w:hAnsi="Times New Roman" w:eastAsia="宋体"/>
                <w:color w:val="000000" w:themeColor="text1"/>
                <w:sz w:val="24"/>
                <w:lang w:eastAsia="zh-CN"/>
                <w14:textFill>
                  <w14:solidFill>
                    <w14:schemeClr w14:val="tx1"/>
                  </w14:solidFill>
                </w14:textFill>
              </w:rPr>
              <w:t>，</w:t>
            </w:r>
            <w:r>
              <w:rPr>
                <w:rFonts w:hint="eastAsia"/>
                <w:color w:val="auto"/>
                <w:sz w:val="24"/>
                <w:highlight w:val="none"/>
                <w:lang w:val="en-US" w:eastAsia="zh-CN"/>
              </w:rPr>
              <w:t>则化粪池污泥产生量约0.4t/a，委托环卫部门定期清掏，带走处置，不在厂区内暂存。</w:t>
            </w:r>
          </w:p>
          <w:p w14:paraId="3284EF1D">
            <w:pPr>
              <w:pStyle w:val="54"/>
              <w:numPr>
                <w:ilvl w:val="0"/>
                <w:numId w:val="0"/>
              </w:numPr>
              <w:tabs>
                <w:tab w:val="left" w:pos="7821"/>
              </w:tabs>
              <w:ind w:leftChars="200"/>
              <w:rPr>
                <w:rFonts w:hint="eastAsia" w:eastAsia="宋体"/>
                <w:spacing w:val="4"/>
                <w:kern w:val="0"/>
                <w:lang w:eastAsia="zh-CN"/>
              </w:rPr>
            </w:pPr>
            <w:r>
              <w:rPr>
                <w:rFonts w:hint="eastAsia"/>
                <w:spacing w:val="4"/>
                <w:kern w:val="0"/>
                <w:lang w:val="en-US" w:eastAsia="zh-CN"/>
              </w:rPr>
              <w:t>4）</w:t>
            </w:r>
            <w:r>
              <w:rPr>
                <w:rFonts w:hint="eastAsia"/>
                <w:color w:val="000000"/>
                <w:lang w:val="en-US" w:eastAsia="zh-CN"/>
              </w:rPr>
              <w:t>废吸油毡</w:t>
            </w:r>
          </w:p>
          <w:p w14:paraId="546BA7E4">
            <w:pPr>
              <w:keepNext w:val="0"/>
              <w:keepLines w:val="0"/>
              <w:pageBreakBefore w:val="0"/>
              <w:widowControl w:val="0"/>
              <w:kinsoku/>
              <w:wordWrap/>
              <w:overflowPunct/>
              <w:topLinePunct w:val="0"/>
              <w:autoSpaceDE/>
              <w:autoSpaceDN/>
              <w:bidi w:val="0"/>
              <w:adjustRightInd/>
              <w:snapToGrid/>
              <w:ind w:firstLine="480"/>
              <w:textAlignment w:val="auto"/>
              <w:rPr>
                <w:color w:val="auto"/>
                <w:sz w:val="24"/>
              </w:rPr>
            </w:pPr>
            <w:r>
              <w:rPr>
                <w:rFonts w:hint="eastAsia"/>
                <w:color w:val="auto"/>
                <w:sz w:val="24"/>
                <w:lang w:val="en-US" w:eastAsia="zh-CN"/>
              </w:rPr>
              <w:t>本项目</w:t>
            </w:r>
            <w:r>
              <w:rPr>
                <w:color w:val="auto"/>
                <w:sz w:val="24"/>
              </w:rPr>
              <w:t>油罐车卸油</w:t>
            </w:r>
            <w:r>
              <w:rPr>
                <w:rFonts w:hint="eastAsia"/>
                <w:color w:val="auto"/>
                <w:sz w:val="24"/>
                <w:lang w:val="en-US" w:eastAsia="zh-CN"/>
              </w:rPr>
              <w:t>和</w:t>
            </w:r>
            <w:r>
              <w:rPr>
                <w:color w:val="auto"/>
                <w:sz w:val="24"/>
              </w:rPr>
              <w:t>加油机给汽车加油</w:t>
            </w:r>
            <w:r>
              <w:rPr>
                <w:rFonts w:hint="eastAsia"/>
                <w:color w:val="auto"/>
                <w:sz w:val="24"/>
                <w:lang w:val="en-US" w:eastAsia="zh-CN"/>
              </w:rPr>
              <w:t>过程中，</w:t>
            </w:r>
            <w:r>
              <w:rPr>
                <w:color w:val="auto"/>
                <w:sz w:val="24"/>
              </w:rPr>
              <w:t>油嘴处有少量油品洒漏，利用吸油毡吸油，废吸油毡产生</w:t>
            </w:r>
            <w:r>
              <w:rPr>
                <w:rFonts w:hint="eastAsia"/>
                <w:color w:val="auto"/>
                <w:sz w:val="24"/>
                <w:lang w:val="en-US" w:eastAsia="zh-CN"/>
              </w:rPr>
              <w:t>量</w:t>
            </w:r>
            <w:r>
              <w:rPr>
                <w:color w:val="auto"/>
                <w:sz w:val="24"/>
              </w:rPr>
              <w:t>约0.</w:t>
            </w:r>
            <w:r>
              <w:rPr>
                <w:rFonts w:hint="eastAsia"/>
                <w:color w:val="auto"/>
                <w:sz w:val="24"/>
                <w:lang w:val="en-US" w:eastAsia="zh-CN"/>
              </w:rPr>
              <w:t>2</w:t>
            </w:r>
            <w:r>
              <w:rPr>
                <w:color w:val="auto"/>
                <w:sz w:val="24"/>
              </w:rPr>
              <w:t>t/a。根据《国家危险废物名录》（202</w:t>
            </w:r>
            <w:r>
              <w:rPr>
                <w:rFonts w:hint="eastAsia"/>
                <w:color w:val="auto"/>
                <w:sz w:val="24"/>
                <w:lang w:val="en-US" w:eastAsia="zh-CN"/>
              </w:rPr>
              <w:t>5</w:t>
            </w:r>
            <w:r>
              <w:rPr>
                <w:color w:val="auto"/>
                <w:sz w:val="24"/>
              </w:rPr>
              <w:t>年版），废吸油毡</w:t>
            </w:r>
            <w:r>
              <w:rPr>
                <w:rFonts w:hint="eastAsia"/>
                <w:color w:val="auto"/>
                <w:sz w:val="24"/>
                <w:lang w:val="en-US" w:eastAsia="zh-CN"/>
              </w:rPr>
              <w:t>属于</w:t>
            </w:r>
            <w:r>
              <w:rPr>
                <w:color w:val="auto"/>
                <w:sz w:val="24"/>
              </w:rPr>
              <w:t>危险废物（废物类别：HW49其他废物，</w:t>
            </w:r>
            <w:r>
              <w:rPr>
                <w:rFonts w:ascii="Times New Roman" w:hAnsi="Times New Roman" w:eastAsia="宋体"/>
                <w:color w:val="000000" w:themeColor="text1"/>
                <w:sz w:val="24"/>
                <w14:textFill>
                  <w14:solidFill>
                    <w14:schemeClr w14:val="tx1"/>
                  </w14:solidFill>
                </w14:textFill>
              </w:rPr>
              <w:t>行业来源：非特定行业</w:t>
            </w:r>
            <w:r>
              <w:rPr>
                <w:rFonts w:hint="eastAsia" w:ascii="Times New Roman" w:hAnsi="Times New Roman" w:eastAsia="宋体"/>
                <w:color w:val="000000" w:themeColor="text1"/>
                <w:sz w:val="24"/>
                <w:lang w:eastAsia="zh-CN"/>
                <w14:textFill>
                  <w14:solidFill>
                    <w14:schemeClr w14:val="tx1"/>
                  </w14:solidFill>
                </w14:textFill>
              </w:rPr>
              <w:t>，</w:t>
            </w:r>
            <w:r>
              <w:rPr>
                <w:color w:val="auto"/>
                <w:sz w:val="24"/>
              </w:rPr>
              <w:t>废物代码：900-041-49，危险废物：含有或沾染毒性、感染性危险废物的废弃包装物、容器、过滤吸附介质，危险特性：T/In），应集中收集后委托具</w:t>
            </w:r>
            <w:r>
              <w:rPr>
                <w:rFonts w:hint="eastAsia"/>
                <w:color w:val="auto"/>
                <w:sz w:val="24"/>
                <w:lang w:val="en-US" w:eastAsia="zh-CN"/>
              </w:rPr>
              <w:t>有</w:t>
            </w:r>
            <w:r>
              <w:rPr>
                <w:color w:val="auto"/>
                <w:sz w:val="24"/>
              </w:rPr>
              <w:t>危险废物处理资质</w:t>
            </w:r>
            <w:r>
              <w:rPr>
                <w:rFonts w:hint="eastAsia"/>
                <w:color w:val="auto"/>
                <w:sz w:val="24"/>
                <w:lang w:val="en-US" w:eastAsia="zh-CN"/>
              </w:rPr>
              <w:t>的</w:t>
            </w:r>
            <w:r>
              <w:rPr>
                <w:color w:val="auto"/>
                <w:sz w:val="24"/>
              </w:rPr>
              <w:t>单位处置。</w:t>
            </w:r>
          </w:p>
          <w:p w14:paraId="029056EC">
            <w:pPr>
              <w:ind w:firstLine="480"/>
              <w:rPr>
                <w:rFonts w:hint="eastAsia"/>
                <w:color w:val="auto"/>
                <w:sz w:val="24"/>
                <w:lang w:val="en-US" w:eastAsia="zh-CN"/>
              </w:rPr>
            </w:pPr>
            <w:r>
              <w:rPr>
                <w:rFonts w:hint="eastAsia"/>
                <w:color w:val="auto"/>
                <w:sz w:val="24"/>
                <w:lang w:val="en-US" w:eastAsia="zh-CN"/>
              </w:rPr>
              <w:t>5）废滤芯</w:t>
            </w:r>
          </w:p>
          <w:p w14:paraId="32D690E8">
            <w:pPr>
              <w:keepNext w:val="0"/>
              <w:keepLines w:val="0"/>
              <w:pageBreakBefore w:val="0"/>
              <w:widowControl w:val="0"/>
              <w:kinsoku/>
              <w:wordWrap/>
              <w:overflowPunct/>
              <w:topLinePunct w:val="0"/>
              <w:autoSpaceDE/>
              <w:autoSpaceDN/>
              <w:bidi w:val="0"/>
              <w:adjustRightInd/>
              <w:snapToGrid/>
              <w:ind w:firstLine="480"/>
              <w:textAlignment w:val="auto"/>
              <w:rPr>
                <w:bCs/>
                <w:color w:val="auto"/>
                <w:sz w:val="24"/>
              </w:rPr>
            </w:pPr>
            <w:r>
              <w:rPr>
                <w:rFonts w:hint="eastAsia"/>
                <w:color w:val="auto"/>
                <w:sz w:val="24"/>
                <w:lang w:val="en-US" w:eastAsia="zh-CN"/>
              </w:rPr>
              <w:t>本项目</w:t>
            </w:r>
            <w:r>
              <w:rPr>
                <w:bCs/>
                <w:color w:val="auto"/>
                <w:sz w:val="24"/>
              </w:rPr>
              <w:t>加油机需要定期更换滤芯，</w:t>
            </w:r>
            <w:r>
              <w:rPr>
                <w:rFonts w:hint="eastAsia"/>
                <w:bCs/>
                <w:color w:val="auto"/>
                <w:sz w:val="24"/>
                <w:lang w:val="en-US" w:eastAsia="zh-CN"/>
              </w:rPr>
              <w:t>废滤芯</w:t>
            </w:r>
            <w:r>
              <w:rPr>
                <w:bCs/>
                <w:color w:val="auto"/>
                <w:sz w:val="24"/>
              </w:rPr>
              <w:t>产生量约1</w:t>
            </w:r>
            <w:r>
              <w:rPr>
                <w:rFonts w:hint="eastAsia"/>
                <w:bCs/>
                <w:color w:val="auto"/>
                <w:sz w:val="24"/>
                <w:lang w:val="en-US" w:eastAsia="zh-CN"/>
              </w:rPr>
              <w:t>.0</w:t>
            </w:r>
            <w:r>
              <w:rPr>
                <w:bCs/>
                <w:color w:val="auto"/>
                <w:sz w:val="24"/>
              </w:rPr>
              <w:t>t/a。根据《国家危险废物名录》（202</w:t>
            </w:r>
            <w:r>
              <w:rPr>
                <w:rFonts w:hint="eastAsia"/>
                <w:bCs/>
                <w:color w:val="auto"/>
                <w:sz w:val="24"/>
                <w:lang w:val="en-US" w:eastAsia="zh-CN"/>
              </w:rPr>
              <w:t>5</w:t>
            </w:r>
            <w:r>
              <w:rPr>
                <w:bCs/>
                <w:color w:val="auto"/>
                <w:sz w:val="24"/>
              </w:rPr>
              <w:t>年版），</w:t>
            </w:r>
            <w:r>
              <w:rPr>
                <w:rFonts w:hint="eastAsia"/>
                <w:bCs/>
                <w:color w:val="auto"/>
                <w:sz w:val="24"/>
                <w:lang w:val="en-US" w:eastAsia="zh-CN"/>
              </w:rPr>
              <w:t>废滤芯属于</w:t>
            </w:r>
            <w:r>
              <w:rPr>
                <w:bCs/>
                <w:color w:val="auto"/>
                <w:sz w:val="24"/>
              </w:rPr>
              <w:t>危险废物（废物类别：HW49其他废物，</w:t>
            </w:r>
            <w:r>
              <w:rPr>
                <w:rFonts w:ascii="Times New Roman" w:hAnsi="Times New Roman" w:eastAsia="宋体"/>
                <w:color w:val="000000" w:themeColor="text1"/>
                <w:sz w:val="24"/>
                <w14:textFill>
                  <w14:solidFill>
                    <w14:schemeClr w14:val="tx1"/>
                  </w14:solidFill>
                </w14:textFill>
              </w:rPr>
              <w:t>行业来源：非特定行业</w:t>
            </w:r>
            <w:r>
              <w:rPr>
                <w:rFonts w:hint="eastAsia" w:ascii="Times New Roman" w:hAnsi="Times New Roman" w:eastAsia="宋体"/>
                <w:color w:val="000000" w:themeColor="text1"/>
                <w:sz w:val="24"/>
                <w:lang w:eastAsia="zh-CN"/>
                <w14:textFill>
                  <w14:solidFill>
                    <w14:schemeClr w14:val="tx1"/>
                  </w14:solidFill>
                </w14:textFill>
              </w:rPr>
              <w:t>，</w:t>
            </w:r>
            <w:r>
              <w:rPr>
                <w:bCs/>
                <w:color w:val="auto"/>
                <w:sz w:val="24"/>
              </w:rPr>
              <w:t>废物代码：900-041-49，危险废物：含有或沾染毒性、感染性危险废物的废弃包装物、容器、过滤吸附介质，危险特性：T/In），应集中收集后委托具</w:t>
            </w:r>
            <w:r>
              <w:rPr>
                <w:rFonts w:hint="eastAsia"/>
                <w:bCs/>
                <w:color w:val="auto"/>
                <w:sz w:val="24"/>
                <w:lang w:val="en-US" w:eastAsia="zh-CN"/>
              </w:rPr>
              <w:t>有</w:t>
            </w:r>
            <w:r>
              <w:rPr>
                <w:bCs/>
                <w:color w:val="auto"/>
                <w:sz w:val="24"/>
              </w:rPr>
              <w:t>危险废物处理资质</w:t>
            </w:r>
            <w:r>
              <w:rPr>
                <w:rFonts w:hint="eastAsia"/>
                <w:bCs/>
                <w:color w:val="auto"/>
                <w:sz w:val="24"/>
                <w:lang w:val="en-US" w:eastAsia="zh-CN"/>
              </w:rPr>
              <w:t>的</w:t>
            </w:r>
            <w:r>
              <w:rPr>
                <w:bCs/>
                <w:color w:val="auto"/>
                <w:sz w:val="24"/>
              </w:rPr>
              <w:t>单位处置。</w:t>
            </w:r>
          </w:p>
          <w:p w14:paraId="3C7C09AB">
            <w:pPr>
              <w:ind w:firstLine="480"/>
              <w:rPr>
                <w:rFonts w:hint="default"/>
                <w:color w:val="FF0000"/>
                <w:lang w:val="en-US" w:eastAsia="zh-CN"/>
              </w:rPr>
            </w:pPr>
            <w:r>
              <w:rPr>
                <w:rFonts w:hint="eastAsia"/>
                <w:color w:val="FF0000"/>
                <w:lang w:val="en-US" w:eastAsia="zh-CN"/>
              </w:rPr>
              <w:t>6）废含油抹布手套</w:t>
            </w:r>
          </w:p>
          <w:p w14:paraId="11CF984B">
            <w:pPr>
              <w:ind w:firstLine="480"/>
              <w:rPr>
                <w:rFonts w:hint="default"/>
                <w:color w:val="FF0000"/>
                <w:lang w:val="en-US" w:eastAsia="zh-CN"/>
              </w:rPr>
            </w:pPr>
            <w:r>
              <w:rPr>
                <w:rFonts w:hint="eastAsia"/>
                <w:color w:val="FF0000"/>
                <w:lang w:val="en-US" w:eastAsia="zh-CN"/>
              </w:rPr>
              <w:t>本项目卸油、加油、</w:t>
            </w:r>
            <w:r>
              <w:rPr>
                <w:rFonts w:hint="eastAsia" w:ascii="Times New Roman" w:hAnsi="Times New Roman" w:eastAsia="宋体" w:cs="Times New Roman"/>
                <w:color w:val="FF0000"/>
                <w:kern w:val="2"/>
                <w:sz w:val="24"/>
                <w:szCs w:val="24"/>
                <w:lang w:val="en-US" w:eastAsia="zh-CN" w:bidi="ar-SA"/>
              </w:rPr>
              <w:t>维修保养</w:t>
            </w:r>
            <w:r>
              <w:rPr>
                <w:rFonts w:hint="eastAsia"/>
                <w:color w:val="FF0000"/>
                <w:lang w:val="en-US" w:eastAsia="zh-CN"/>
              </w:rPr>
              <w:t>等运营过程中，会产生废含油抹布手套，</w:t>
            </w:r>
            <w:r>
              <w:rPr>
                <w:rFonts w:hint="eastAsia" w:ascii="Times New Roman" w:hAnsi="Times New Roman" w:eastAsia="宋体" w:cs="Times New Roman"/>
                <w:color w:val="FF0000"/>
                <w:kern w:val="2"/>
                <w:sz w:val="24"/>
                <w:szCs w:val="24"/>
                <w:lang w:val="en-US" w:eastAsia="zh-CN" w:bidi="ar-SA"/>
              </w:rPr>
              <w:t>根据建设单位提供资料，废含油抹布</w:t>
            </w:r>
            <w:r>
              <w:rPr>
                <w:rFonts w:hint="eastAsia"/>
                <w:color w:val="FF0000"/>
                <w:lang w:val="en-US" w:eastAsia="zh-CN"/>
              </w:rPr>
              <w:t>手套</w:t>
            </w:r>
            <w:r>
              <w:rPr>
                <w:rFonts w:hint="eastAsia" w:ascii="Times New Roman" w:hAnsi="Times New Roman" w:eastAsia="宋体" w:cs="Times New Roman"/>
                <w:color w:val="FF0000"/>
                <w:kern w:val="2"/>
                <w:sz w:val="24"/>
                <w:szCs w:val="24"/>
                <w:lang w:val="en-US" w:eastAsia="zh-CN" w:bidi="ar-SA"/>
              </w:rPr>
              <w:t>产生量为0.05</w:t>
            </w:r>
            <w:r>
              <w:rPr>
                <w:rFonts w:hint="eastAsia" w:ascii="Times New Roman" w:hAnsi="Times New Roman" w:eastAsia="宋体" w:cs="Times New Roman"/>
                <w:color w:val="FF0000"/>
                <w:sz w:val="24"/>
                <w:szCs w:val="24"/>
                <w:lang w:val="en-US" w:eastAsia="zh-CN"/>
              </w:rPr>
              <w:t>t/a。</w:t>
            </w:r>
            <w:r>
              <w:rPr>
                <w:rFonts w:hint="eastAsia"/>
                <w:color w:val="FF0000"/>
                <w:sz w:val="24"/>
                <w:lang w:val="en-US" w:eastAsia="zh-CN"/>
              </w:rPr>
              <w:t>根据</w:t>
            </w:r>
            <w:r>
              <w:rPr>
                <w:color w:val="FF0000"/>
                <w:sz w:val="24"/>
              </w:rPr>
              <w:t>《国家危险废物名录》（202</w:t>
            </w:r>
            <w:r>
              <w:rPr>
                <w:rFonts w:hint="eastAsia"/>
                <w:color w:val="FF0000"/>
                <w:sz w:val="24"/>
                <w:lang w:val="en-US" w:eastAsia="zh-CN"/>
              </w:rPr>
              <w:t>5</w:t>
            </w:r>
            <w:r>
              <w:rPr>
                <w:color w:val="FF0000"/>
                <w:sz w:val="24"/>
              </w:rPr>
              <w:t>年版）</w:t>
            </w:r>
            <w:r>
              <w:rPr>
                <w:rFonts w:hint="eastAsia"/>
                <w:color w:val="FF0000"/>
                <w:sz w:val="24"/>
                <w:lang w:eastAsia="zh-CN"/>
              </w:rPr>
              <w:t>，</w:t>
            </w:r>
            <w:r>
              <w:rPr>
                <w:rFonts w:hint="eastAsia" w:ascii="Times New Roman" w:hAnsi="Times New Roman" w:eastAsia="宋体" w:cs="Times New Roman"/>
                <w:color w:val="FF0000"/>
                <w:kern w:val="2"/>
                <w:sz w:val="24"/>
                <w:szCs w:val="24"/>
                <w:lang w:val="en-US" w:eastAsia="zh-CN" w:bidi="ar-SA"/>
              </w:rPr>
              <w:t>废含油抹布</w:t>
            </w:r>
            <w:r>
              <w:rPr>
                <w:rFonts w:hint="eastAsia"/>
                <w:color w:val="FF0000"/>
                <w:lang w:val="en-US" w:eastAsia="zh-CN"/>
              </w:rPr>
              <w:t>手套</w:t>
            </w:r>
            <w:r>
              <w:rPr>
                <w:rFonts w:hint="eastAsia" w:ascii="Times New Roman" w:hAnsi="Times New Roman" w:eastAsia="宋体" w:cs="Times New Roman"/>
                <w:color w:val="FF0000"/>
                <w:kern w:val="2"/>
                <w:sz w:val="24"/>
                <w:szCs w:val="24"/>
                <w:lang w:val="en-US" w:eastAsia="zh-CN" w:bidi="ar-SA"/>
              </w:rPr>
              <w:t>属于危险废物（废物类别：</w:t>
            </w:r>
            <w:r>
              <w:rPr>
                <w:rFonts w:hint="default" w:ascii="Times New Roman" w:hAnsi="Times New Roman" w:eastAsia="宋体" w:cs="Times New Roman"/>
                <w:color w:val="FF0000"/>
                <w:sz w:val="24"/>
                <w:szCs w:val="24"/>
                <w:lang w:val="en-US" w:eastAsia="zh-CN"/>
              </w:rPr>
              <w:t>HW</w:t>
            </w:r>
            <w:r>
              <w:rPr>
                <w:rFonts w:hint="eastAsia" w:ascii="Times New Roman" w:hAnsi="Times New Roman" w:eastAsia="宋体" w:cs="Times New Roman"/>
                <w:color w:val="FF0000"/>
                <w:sz w:val="24"/>
                <w:szCs w:val="24"/>
                <w:lang w:val="en-US" w:eastAsia="zh-CN"/>
              </w:rPr>
              <w:t>49其他废物</w:t>
            </w:r>
            <w:r>
              <w:rPr>
                <w:rFonts w:hint="eastAsia" w:ascii="Times New Roman" w:hAnsi="Times New Roman" w:eastAsia="宋体" w:cs="Times New Roman"/>
                <w:color w:val="FF0000"/>
                <w:kern w:val="2"/>
                <w:sz w:val="24"/>
                <w:szCs w:val="24"/>
                <w:lang w:val="en-US" w:eastAsia="zh-CN" w:bidi="ar-SA"/>
              </w:rPr>
              <w:t>，行业来源：非特定行业，废物代码：</w:t>
            </w:r>
            <w:r>
              <w:rPr>
                <w:rFonts w:hint="eastAsia" w:ascii="Times New Roman" w:hAnsi="Times New Roman" w:eastAsia="宋体" w:cs="Times New Roman"/>
                <w:color w:val="FF0000"/>
                <w:sz w:val="24"/>
                <w:szCs w:val="24"/>
                <w:lang w:val="en-US" w:eastAsia="zh-CN"/>
              </w:rPr>
              <w:t>900-041-49</w:t>
            </w:r>
            <w:r>
              <w:rPr>
                <w:rFonts w:hint="eastAsia" w:ascii="Times New Roman" w:hAnsi="Times New Roman" w:eastAsia="宋体" w:cs="Times New Roman"/>
                <w:color w:val="FF0000"/>
                <w:kern w:val="2"/>
                <w:sz w:val="24"/>
                <w:szCs w:val="24"/>
                <w:lang w:val="en-US" w:eastAsia="zh-CN" w:bidi="ar-SA"/>
              </w:rPr>
              <w:t>，危险废物：含有或者沾染毒性、感染性危险废物的废弃的包装物、容器、过滤吸附介质，危险特性：T/In），</w:t>
            </w:r>
            <w:r>
              <w:rPr>
                <w:bCs/>
                <w:color w:val="FF0000"/>
                <w:sz w:val="24"/>
              </w:rPr>
              <w:t>应</w:t>
            </w:r>
            <w:r>
              <w:rPr>
                <w:rFonts w:hint="eastAsia" w:eastAsia="宋体"/>
                <w:color w:val="FF0000"/>
                <w:sz w:val="24"/>
                <w:szCs w:val="24"/>
                <w:lang w:val="en-US" w:eastAsia="zh-CN"/>
              </w:rPr>
              <w:t>集中收集后</w:t>
            </w:r>
            <w:r>
              <w:rPr>
                <w:rFonts w:hint="eastAsia" w:ascii="Times New Roman" w:hAnsi="Times New Roman" w:eastAsia="宋体" w:cs="Times New Roman"/>
                <w:color w:val="FF0000"/>
                <w:kern w:val="2"/>
                <w:sz w:val="24"/>
                <w:szCs w:val="24"/>
                <w:lang w:val="en-US" w:eastAsia="zh-CN" w:bidi="ar-SA"/>
              </w:rPr>
              <w:t>委托</w:t>
            </w:r>
            <w:r>
              <w:rPr>
                <w:bCs/>
                <w:color w:val="FF0000"/>
                <w:sz w:val="24"/>
              </w:rPr>
              <w:t>具</w:t>
            </w:r>
            <w:r>
              <w:rPr>
                <w:rFonts w:hint="eastAsia" w:ascii="Times New Roman" w:hAnsi="Times New Roman" w:eastAsia="宋体" w:cs="Times New Roman"/>
                <w:color w:val="FF0000"/>
                <w:kern w:val="2"/>
                <w:sz w:val="24"/>
                <w:szCs w:val="24"/>
                <w:lang w:val="en-US" w:eastAsia="zh-CN" w:bidi="ar-SA"/>
              </w:rPr>
              <w:t>有危险废物处</w:t>
            </w:r>
            <w:r>
              <w:rPr>
                <w:bCs/>
                <w:color w:val="FF0000"/>
                <w:sz w:val="24"/>
              </w:rPr>
              <w:t>理</w:t>
            </w:r>
            <w:r>
              <w:rPr>
                <w:rFonts w:hint="eastAsia" w:ascii="Times New Roman" w:hAnsi="Times New Roman" w:eastAsia="宋体" w:cs="Times New Roman"/>
                <w:color w:val="FF0000"/>
                <w:kern w:val="2"/>
                <w:sz w:val="24"/>
                <w:szCs w:val="24"/>
                <w:lang w:val="en-US" w:eastAsia="zh-CN" w:bidi="ar-SA"/>
              </w:rPr>
              <w:t>资质的单位处置。</w:t>
            </w:r>
          </w:p>
          <w:p w14:paraId="69468B51">
            <w:pPr>
              <w:ind w:firstLine="480"/>
              <w:rPr>
                <w:rFonts w:hint="eastAsia"/>
                <w:color w:val="000000"/>
                <w:lang w:val="en-US" w:eastAsia="zh-CN"/>
              </w:rPr>
            </w:pPr>
            <w:r>
              <w:rPr>
                <w:rFonts w:hint="eastAsia"/>
                <w:color w:val="000000"/>
                <w:lang w:val="en-US" w:eastAsia="zh-CN"/>
              </w:rPr>
              <w:t>7）生活垃圾</w:t>
            </w:r>
          </w:p>
          <w:p w14:paraId="0CEBB81A">
            <w:pPr>
              <w:ind w:firstLine="480"/>
              <w:rPr>
                <w:color w:val="1F497D" w:themeColor="text2"/>
                <w:sz w:val="24"/>
                <w14:textFill>
                  <w14:solidFill>
                    <w14:schemeClr w14:val="tx2"/>
                  </w14:solidFill>
                </w14:textFill>
              </w:rPr>
            </w:pPr>
            <w:r>
              <w:rPr>
                <w:sz w:val="24"/>
              </w:rPr>
              <w:t>员工在日常生活过程中会产生一定量的生活垃圾，生活垃圾以0.5kg/人·天计算，</w:t>
            </w:r>
            <w:r>
              <w:rPr>
                <w:rFonts w:hint="eastAsia"/>
                <w:sz w:val="24"/>
                <w:lang w:eastAsia="zh-CN"/>
              </w:rPr>
              <w:t>本</w:t>
            </w:r>
            <w:r>
              <w:rPr>
                <w:sz w:val="24"/>
              </w:rPr>
              <w:t>项目</w:t>
            </w:r>
            <w:r>
              <w:rPr>
                <w:rFonts w:hint="eastAsia"/>
                <w:sz w:val="24"/>
              </w:rPr>
              <w:t>劳动定员</w:t>
            </w:r>
            <w:r>
              <w:rPr>
                <w:rFonts w:hint="eastAsia"/>
                <w:sz w:val="24"/>
                <w:lang w:val="en-US" w:eastAsia="zh-CN"/>
              </w:rPr>
              <w:t>为7</w:t>
            </w:r>
            <w:r>
              <w:rPr>
                <w:rFonts w:hint="eastAsia"/>
                <w:sz w:val="24"/>
              </w:rPr>
              <w:t>人，年工作3</w:t>
            </w:r>
            <w:r>
              <w:rPr>
                <w:rFonts w:hint="eastAsia"/>
                <w:sz w:val="24"/>
                <w:lang w:val="en-US" w:eastAsia="zh-CN"/>
              </w:rPr>
              <w:t>65</w:t>
            </w:r>
            <w:r>
              <w:rPr>
                <w:rFonts w:hint="eastAsia"/>
                <w:sz w:val="24"/>
              </w:rPr>
              <w:t>天</w:t>
            </w:r>
            <w:r>
              <w:rPr>
                <w:rFonts w:hint="eastAsia"/>
                <w:sz w:val="24"/>
                <w:lang w:eastAsia="zh-CN"/>
              </w:rPr>
              <w:t>；</w:t>
            </w:r>
            <w:r>
              <w:rPr>
                <w:rFonts w:hint="eastAsia" w:ascii="宋体" w:hAnsi="宋体"/>
                <w:color w:val="1F497D" w:themeColor="text2"/>
                <w14:textFill>
                  <w14:solidFill>
                    <w14:schemeClr w14:val="tx2"/>
                  </w14:solidFill>
                </w14:textFill>
              </w:rPr>
              <w:t>外来人员</w:t>
            </w:r>
            <w:r>
              <w:rPr>
                <w:color w:val="1F497D" w:themeColor="text2"/>
                <w:sz w:val="24"/>
                <w14:textFill>
                  <w14:solidFill>
                    <w14:schemeClr w14:val="tx2"/>
                  </w14:solidFill>
                </w14:textFill>
              </w:rPr>
              <w:t>生活垃圾以0.</w:t>
            </w:r>
            <w:r>
              <w:rPr>
                <w:rFonts w:hint="eastAsia"/>
                <w:color w:val="1F497D" w:themeColor="text2"/>
                <w:sz w:val="24"/>
                <w:lang w:val="en-US" w:eastAsia="zh-CN"/>
                <w14:textFill>
                  <w14:solidFill>
                    <w14:schemeClr w14:val="tx2"/>
                  </w14:solidFill>
                </w14:textFill>
              </w:rPr>
              <w:t>1</w:t>
            </w:r>
            <w:r>
              <w:rPr>
                <w:color w:val="1F497D" w:themeColor="text2"/>
                <w:sz w:val="24"/>
                <w14:textFill>
                  <w14:solidFill>
                    <w14:schemeClr w14:val="tx2"/>
                  </w14:solidFill>
                </w14:textFill>
              </w:rPr>
              <w:t>kg/人·天计算</w:t>
            </w:r>
            <w:r>
              <w:rPr>
                <w:rFonts w:hint="eastAsia"/>
                <w:color w:val="1F497D" w:themeColor="text2"/>
                <w14:textFill>
                  <w14:solidFill>
                    <w14:schemeClr w14:val="tx2"/>
                  </w14:solidFill>
                </w14:textFill>
              </w:rPr>
              <w:t>，预计每天约</w:t>
            </w:r>
            <w:r>
              <w:rPr>
                <w:rFonts w:hint="eastAsia"/>
                <w:color w:val="1F497D" w:themeColor="text2"/>
                <w:highlight w:val="none"/>
                <w14:textFill>
                  <w14:solidFill>
                    <w14:schemeClr w14:val="tx2"/>
                  </w14:solidFill>
                </w14:textFill>
              </w:rPr>
              <w:t>50名</w:t>
            </w:r>
            <w:r>
              <w:rPr>
                <w:rFonts w:hint="eastAsia" w:ascii="宋体" w:hAnsi="宋体"/>
                <w:color w:val="1F497D" w:themeColor="text2"/>
                <w14:textFill>
                  <w14:solidFill>
                    <w14:schemeClr w14:val="tx2"/>
                  </w14:solidFill>
                </w14:textFill>
              </w:rPr>
              <w:t>外来人员</w:t>
            </w:r>
            <w:r>
              <w:rPr>
                <w:rFonts w:hint="eastAsia"/>
                <w:color w:val="1F497D" w:themeColor="text2"/>
                <w:lang w:eastAsia="zh-CN"/>
                <w14:textFill>
                  <w14:solidFill>
                    <w14:schemeClr w14:val="tx2"/>
                  </w14:solidFill>
                </w14:textFill>
              </w:rPr>
              <w:t>，</w:t>
            </w:r>
            <w:r>
              <w:rPr>
                <w:color w:val="1F497D" w:themeColor="text2"/>
                <w:sz w:val="24"/>
                <w14:textFill>
                  <w14:solidFill>
                    <w14:schemeClr w14:val="tx2"/>
                  </w14:solidFill>
                </w14:textFill>
              </w:rPr>
              <w:t>则项目生活垃圾产生量为</w:t>
            </w:r>
            <w:r>
              <w:rPr>
                <w:rFonts w:hint="eastAsia"/>
                <w:color w:val="1F497D" w:themeColor="text2"/>
                <w:sz w:val="24"/>
                <w:lang w:val="en-US" w:eastAsia="zh-CN"/>
                <w14:textFill>
                  <w14:solidFill>
                    <w14:schemeClr w14:val="tx2"/>
                  </w14:solidFill>
                </w14:textFill>
              </w:rPr>
              <w:t>3.1</w:t>
            </w:r>
            <w:r>
              <w:rPr>
                <w:color w:val="1F497D" w:themeColor="text2"/>
                <w:sz w:val="24"/>
                <w14:textFill>
                  <w14:solidFill>
                    <w14:schemeClr w14:val="tx2"/>
                  </w14:solidFill>
                </w14:textFill>
              </w:rPr>
              <w:t>t/a，</w:t>
            </w:r>
            <w:r>
              <w:rPr>
                <w:rFonts w:hint="eastAsia"/>
                <w:color w:val="1F497D" w:themeColor="text2"/>
                <w:sz w:val="24"/>
                <w14:textFill>
                  <w14:solidFill>
                    <w14:schemeClr w14:val="tx2"/>
                  </w14:solidFill>
                </w14:textFill>
              </w:rPr>
              <w:t>统一收集后</w:t>
            </w:r>
            <w:r>
              <w:rPr>
                <w:color w:val="1F497D" w:themeColor="text2"/>
                <w:sz w:val="24"/>
                <w14:textFill>
                  <w14:solidFill>
                    <w14:schemeClr w14:val="tx2"/>
                  </w14:solidFill>
                </w14:textFill>
              </w:rPr>
              <w:t>委托环卫部门处置。</w:t>
            </w:r>
          </w:p>
          <w:p w14:paraId="2DCAFFE9">
            <w:pPr>
              <w:keepNext w:val="0"/>
              <w:keepLines w:val="0"/>
              <w:pageBreakBefore w:val="0"/>
              <w:widowControl w:val="0"/>
              <w:kinsoku/>
              <w:wordWrap/>
              <w:overflowPunct/>
              <w:topLinePunct w:val="0"/>
              <w:autoSpaceDE/>
              <w:autoSpaceDN/>
              <w:bidi w:val="0"/>
              <w:adjustRightInd/>
              <w:snapToGrid/>
              <w:ind w:firstLine="480"/>
              <w:textAlignment w:val="auto"/>
              <w:rPr>
                <w:bCs/>
                <w:color w:val="auto"/>
                <w:sz w:val="24"/>
              </w:rPr>
            </w:pPr>
            <w:r>
              <w:rPr>
                <w:rFonts w:hint="default" w:ascii="Times New Roman" w:hAnsi="Times New Roman" w:eastAsia="宋体" w:cs="Times New Roman"/>
                <w:color w:val="auto"/>
                <w:kern w:val="2"/>
                <w:sz w:val="24"/>
                <w:szCs w:val="24"/>
                <w:lang w:val="en-US" w:eastAsia="zh-CN" w:bidi="ar-SA"/>
              </w:rPr>
              <w:t>根据《固体废物鉴别标准 通则》</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GB34330-2017</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本项目</w:t>
            </w:r>
            <w:r>
              <w:rPr>
                <w:rFonts w:hint="default" w:ascii="Times New Roman" w:hAnsi="Times New Roman" w:eastAsia="宋体" w:cs="Times New Roman"/>
                <w:color w:val="auto"/>
                <w:kern w:val="2"/>
                <w:sz w:val="24"/>
                <w:szCs w:val="24"/>
                <w:lang w:val="en-US" w:eastAsia="zh-CN" w:bidi="ar-SA"/>
              </w:rPr>
              <w:t>固体废物属性判定结果</w:t>
            </w:r>
            <w:r>
              <w:rPr>
                <w:rFonts w:hint="eastAsia" w:ascii="Times New Roman" w:hAnsi="Times New Roman" w:eastAsia="宋体" w:cs="Times New Roman"/>
                <w:color w:val="auto"/>
                <w:kern w:val="2"/>
                <w:sz w:val="24"/>
                <w:szCs w:val="24"/>
                <w:lang w:val="en-US" w:eastAsia="zh-CN" w:bidi="ar-SA"/>
              </w:rPr>
              <w:t>详</w:t>
            </w:r>
            <w:r>
              <w:rPr>
                <w:rFonts w:hint="default" w:ascii="Times New Roman" w:hAnsi="Times New Roman" w:eastAsia="宋体" w:cs="Times New Roman"/>
                <w:color w:val="auto"/>
                <w:kern w:val="2"/>
                <w:sz w:val="24"/>
                <w:szCs w:val="24"/>
                <w:lang w:val="en-US" w:eastAsia="zh-CN" w:bidi="ar-SA"/>
              </w:rPr>
              <w:t>见表4</w:t>
            </w:r>
            <w:r>
              <w:rPr>
                <w:rFonts w:hint="eastAsia" w:ascii="Times New Roman" w:hAnsi="Times New Roman" w:eastAsia="宋体" w:cs="Times New Roman"/>
                <w:color w:val="auto"/>
                <w:kern w:val="2"/>
                <w:sz w:val="24"/>
                <w:szCs w:val="24"/>
                <w:lang w:val="en-US" w:eastAsia="zh-CN" w:bidi="ar-SA"/>
              </w:rPr>
              <w:t>.4</w:t>
            </w:r>
            <w:r>
              <w:rPr>
                <w:rFonts w:hint="default" w:ascii="Times New Roman" w:hAnsi="Times New Roman" w:eastAsia="宋体"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1</w:t>
            </w:r>
            <w:r>
              <w:rPr>
                <w:rFonts w:hint="default" w:ascii="Times New Roman" w:hAnsi="Times New Roman" w:eastAsia="宋体" w:cs="Times New Roman"/>
                <w:color w:val="auto"/>
                <w:kern w:val="2"/>
                <w:sz w:val="24"/>
                <w:szCs w:val="24"/>
                <w:lang w:val="en-US" w:eastAsia="zh-CN" w:bidi="ar-SA"/>
              </w:rPr>
              <w:t>。</w:t>
            </w:r>
          </w:p>
          <w:p w14:paraId="7E8744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rPr>
              <w:t>表</w:t>
            </w:r>
            <w:r>
              <w:rPr>
                <w:rFonts w:hint="eastAsia" w:ascii="Times New Roman" w:hAnsi="Times New Roman" w:eastAsia="宋体" w:cs="Times New Roman"/>
                <w:b/>
                <w:color w:val="auto"/>
                <w:sz w:val="21"/>
                <w:szCs w:val="21"/>
                <w:lang w:val="en-US" w:eastAsia="zh-CN"/>
              </w:rPr>
              <w:t>4.4-1</w:t>
            </w:r>
            <w:r>
              <w:rPr>
                <w:rFonts w:hint="default" w:ascii="Times New Roman" w:hAnsi="Times New Roman" w:eastAsia="宋体" w:cs="Times New Roman"/>
                <w:b/>
                <w:color w:val="auto"/>
                <w:sz w:val="21"/>
                <w:szCs w:val="21"/>
              </w:rPr>
              <w:t xml:space="preserve">   项目固体废物</w:t>
            </w:r>
            <w:r>
              <w:rPr>
                <w:rFonts w:hint="eastAsia" w:ascii="Times New Roman" w:hAnsi="Times New Roman" w:eastAsia="宋体" w:cs="Times New Roman"/>
                <w:b/>
                <w:color w:val="auto"/>
                <w:sz w:val="21"/>
                <w:szCs w:val="21"/>
                <w:lang w:val="en-US" w:eastAsia="zh-CN"/>
              </w:rPr>
              <w:t>属性判定表</w:t>
            </w:r>
          </w:p>
          <w:tbl>
            <w:tblPr>
              <w:tblStyle w:val="3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5"/>
              <w:gridCol w:w="1294"/>
              <w:gridCol w:w="1857"/>
              <w:gridCol w:w="978"/>
              <w:gridCol w:w="1433"/>
              <w:gridCol w:w="1962"/>
              <w:gridCol w:w="1072"/>
            </w:tblGrid>
            <w:tr w14:paraId="32A61F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665" w:type="dxa"/>
                  <w:tcBorders>
                    <w:tl2br w:val="nil"/>
                    <w:tr2bl w:val="nil"/>
                  </w:tcBorders>
                  <w:noWrap w:val="0"/>
                  <w:vAlign w:val="center"/>
                </w:tcPr>
                <w:p w14:paraId="664AF6A9">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firstLineChars="0"/>
                    <w:jc w:val="center"/>
                    <w:textAlignment w:val="auto"/>
                    <w:rPr>
                      <w:rFonts w:hint="eastAsia"/>
                      <w:color w:val="auto"/>
                      <w:sz w:val="21"/>
                      <w:szCs w:val="21"/>
                      <w:vertAlign w:val="baseline"/>
                      <w:lang w:val="en-US" w:eastAsia="zh-CN"/>
                    </w:rPr>
                  </w:pPr>
                  <w:r>
                    <w:rPr>
                      <w:b/>
                      <w:bCs/>
                      <w:color w:val="auto"/>
                      <w:sz w:val="21"/>
                      <w:szCs w:val="21"/>
                    </w:rPr>
                    <w:t>序号</w:t>
                  </w:r>
                </w:p>
              </w:tc>
              <w:tc>
                <w:tcPr>
                  <w:tcW w:w="1294" w:type="dxa"/>
                  <w:tcBorders>
                    <w:tl2br w:val="nil"/>
                    <w:tr2bl w:val="nil"/>
                  </w:tcBorders>
                  <w:noWrap w:val="0"/>
                  <w:vAlign w:val="center"/>
                </w:tcPr>
                <w:p w14:paraId="68C3C2B6">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firstLineChars="0"/>
                    <w:jc w:val="center"/>
                    <w:textAlignment w:val="auto"/>
                    <w:rPr>
                      <w:rFonts w:hint="eastAsia"/>
                      <w:color w:val="auto"/>
                      <w:sz w:val="21"/>
                      <w:szCs w:val="21"/>
                      <w:vertAlign w:val="baseline"/>
                      <w:lang w:val="en-US" w:eastAsia="zh-CN"/>
                    </w:rPr>
                  </w:pPr>
                  <w:r>
                    <w:rPr>
                      <w:b/>
                      <w:bCs/>
                      <w:color w:val="auto"/>
                      <w:sz w:val="21"/>
                      <w:szCs w:val="21"/>
                    </w:rPr>
                    <w:t>名称</w:t>
                  </w:r>
                </w:p>
              </w:tc>
              <w:tc>
                <w:tcPr>
                  <w:tcW w:w="1857" w:type="dxa"/>
                  <w:tcBorders>
                    <w:tl2br w:val="nil"/>
                    <w:tr2bl w:val="nil"/>
                  </w:tcBorders>
                  <w:noWrap w:val="0"/>
                  <w:vAlign w:val="center"/>
                </w:tcPr>
                <w:p w14:paraId="384DE0D6">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firstLineChars="0"/>
                    <w:jc w:val="center"/>
                    <w:textAlignment w:val="auto"/>
                    <w:rPr>
                      <w:rFonts w:hint="eastAsia" w:eastAsia="宋体"/>
                      <w:color w:val="auto"/>
                      <w:sz w:val="21"/>
                      <w:szCs w:val="21"/>
                      <w:vertAlign w:val="baseline"/>
                      <w:lang w:val="en-US" w:eastAsia="zh-CN"/>
                    </w:rPr>
                  </w:pPr>
                  <w:r>
                    <w:rPr>
                      <w:b/>
                      <w:bCs/>
                      <w:color w:val="auto"/>
                      <w:sz w:val="21"/>
                      <w:szCs w:val="21"/>
                    </w:rPr>
                    <w:t>产生</w:t>
                  </w:r>
                  <w:r>
                    <w:rPr>
                      <w:rFonts w:hint="eastAsia"/>
                      <w:b/>
                      <w:bCs/>
                      <w:color w:val="auto"/>
                      <w:sz w:val="21"/>
                      <w:szCs w:val="21"/>
                      <w:lang w:val="en-US" w:eastAsia="zh-CN"/>
                    </w:rPr>
                    <w:t>环节</w:t>
                  </w:r>
                </w:p>
              </w:tc>
              <w:tc>
                <w:tcPr>
                  <w:tcW w:w="978" w:type="dxa"/>
                  <w:tcBorders>
                    <w:tl2br w:val="nil"/>
                    <w:tr2bl w:val="nil"/>
                  </w:tcBorders>
                  <w:noWrap w:val="0"/>
                  <w:vAlign w:val="center"/>
                </w:tcPr>
                <w:p w14:paraId="7B1E120E">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firstLineChars="0"/>
                    <w:jc w:val="center"/>
                    <w:textAlignment w:val="auto"/>
                    <w:rPr>
                      <w:rFonts w:hint="eastAsia"/>
                      <w:color w:val="auto"/>
                      <w:sz w:val="21"/>
                      <w:szCs w:val="21"/>
                      <w:vertAlign w:val="baseline"/>
                      <w:lang w:val="en-US" w:eastAsia="zh-CN"/>
                    </w:rPr>
                  </w:pPr>
                  <w:r>
                    <w:rPr>
                      <w:b/>
                      <w:bCs/>
                      <w:color w:val="auto"/>
                      <w:sz w:val="21"/>
                      <w:szCs w:val="21"/>
                    </w:rPr>
                    <w:t>形态</w:t>
                  </w:r>
                </w:p>
              </w:tc>
              <w:tc>
                <w:tcPr>
                  <w:tcW w:w="1433" w:type="dxa"/>
                  <w:tcBorders>
                    <w:tl2br w:val="nil"/>
                    <w:tr2bl w:val="nil"/>
                  </w:tcBorders>
                  <w:noWrap w:val="0"/>
                  <w:vAlign w:val="center"/>
                </w:tcPr>
                <w:p w14:paraId="393C5F0F">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firstLineChars="0"/>
                    <w:jc w:val="center"/>
                    <w:textAlignment w:val="auto"/>
                    <w:rPr>
                      <w:rFonts w:hint="eastAsia"/>
                      <w:color w:val="auto"/>
                      <w:sz w:val="21"/>
                      <w:szCs w:val="21"/>
                      <w:vertAlign w:val="baseline"/>
                      <w:lang w:val="en-US" w:eastAsia="zh-CN"/>
                    </w:rPr>
                  </w:pPr>
                  <w:r>
                    <w:rPr>
                      <w:b/>
                      <w:bCs/>
                      <w:color w:val="auto"/>
                      <w:sz w:val="21"/>
                      <w:szCs w:val="21"/>
                    </w:rPr>
                    <w:t>主要成份</w:t>
                  </w:r>
                </w:p>
              </w:tc>
              <w:tc>
                <w:tcPr>
                  <w:tcW w:w="1962" w:type="dxa"/>
                  <w:tcBorders>
                    <w:tl2br w:val="nil"/>
                    <w:tr2bl w:val="nil"/>
                  </w:tcBorders>
                  <w:noWrap w:val="0"/>
                  <w:vAlign w:val="center"/>
                </w:tcPr>
                <w:p w14:paraId="476FDD6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color w:val="auto"/>
                      <w:sz w:val="21"/>
                      <w:szCs w:val="21"/>
                      <w:vertAlign w:val="baseline"/>
                      <w:lang w:val="en-US" w:eastAsia="zh-CN"/>
                    </w:rPr>
                  </w:pPr>
                  <w:r>
                    <w:rPr>
                      <w:rFonts w:hint="default" w:ascii="Times New Roman" w:hAnsi="Times New Roman" w:cs="Times New Roman"/>
                      <w:b/>
                      <w:bCs/>
                      <w:color w:val="auto"/>
                      <w:sz w:val="21"/>
                      <w:szCs w:val="21"/>
                    </w:rPr>
                    <w:t>是否属于固体废物</w:t>
                  </w:r>
                </w:p>
              </w:tc>
              <w:tc>
                <w:tcPr>
                  <w:tcW w:w="1072" w:type="dxa"/>
                  <w:tcBorders>
                    <w:tl2br w:val="nil"/>
                    <w:tr2bl w:val="nil"/>
                  </w:tcBorders>
                  <w:noWrap w:val="0"/>
                  <w:vAlign w:val="center"/>
                </w:tcPr>
                <w:p w14:paraId="5AB0129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color w:val="auto"/>
                      <w:sz w:val="21"/>
                      <w:szCs w:val="21"/>
                      <w:vertAlign w:val="baseline"/>
                      <w:lang w:val="en-US" w:eastAsia="zh-CN"/>
                    </w:rPr>
                  </w:pPr>
                  <w:r>
                    <w:rPr>
                      <w:rFonts w:hint="default" w:ascii="Times New Roman" w:hAnsi="Times New Roman" w:cs="Times New Roman"/>
                      <w:b/>
                      <w:bCs/>
                      <w:color w:val="auto"/>
                      <w:sz w:val="21"/>
                      <w:szCs w:val="21"/>
                    </w:rPr>
                    <w:t>判断依据</w:t>
                  </w:r>
                </w:p>
              </w:tc>
            </w:tr>
            <w:tr w14:paraId="32E54C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65" w:type="dxa"/>
                  <w:tcBorders>
                    <w:tl2br w:val="nil"/>
                    <w:tr2bl w:val="nil"/>
                  </w:tcBorders>
                  <w:noWrap w:val="0"/>
                  <w:vAlign w:val="center"/>
                </w:tcPr>
                <w:p w14:paraId="4C7C93B2">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c>
                <w:tcPr>
                  <w:tcW w:w="1294" w:type="dxa"/>
                  <w:tcBorders>
                    <w:tl2br w:val="nil"/>
                    <w:tr2bl w:val="nil"/>
                  </w:tcBorders>
                  <w:noWrap w:val="0"/>
                  <w:vAlign w:val="center"/>
                </w:tcPr>
                <w:p w14:paraId="70D5FDD5">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清罐废液</w:t>
                  </w:r>
                </w:p>
              </w:tc>
              <w:tc>
                <w:tcPr>
                  <w:tcW w:w="1857" w:type="dxa"/>
                  <w:tcBorders>
                    <w:tl2br w:val="nil"/>
                    <w:tr2bl w:val="nil"/>
                  </w:tcBorders>
                  <w:noWrap w:val="0"/>
                  <w:vAlign w:val="center"/>
                </w:tcPr>
                <w:p w14:paraId="3AFE3B04">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油罐清理</w:t>
                  </w:r>
                </w:p>
              </w:tc>
              <w:tc>
                <w:tcPr>
                  <w:tcW w:w="978" w:type="dxa"/>
                  <w:tcBorders>
                    <w:tl2br w:val="nil"/>
                    <w:tr2bl w:val="nil"/>
                  </w:tcBorders>
                  <w:noWrap w:val="0"/>
                  <w:vAlign w:val="center"/>
                </w:tcPr>
                <w:p w14:paraId="3370228E">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firstLineChars="0"/>
                    <w:jc w:val="center"/>
                    <w:textAlignment w:val="auto"/>
                    <w:rPr>
                      <w:rFonts w:hint="eastAsia"/>
                      <w:color w:val="auto"/>
                      <w:sz w:val="21"/>
                      <w:szCs w:val="21"/>
                      <w:vertAlign w:val="baseline"/>
                      <w:lang w:val="en-US" w:eastAsia="zh-CN"/>
                    </w:rPr>
                  </w:pPr>
                  <w:r>
                    <w:rPr>
                      <w:rFonts w:hint="eastAsia"/>
                      <w:color w:val="auto"/>
                      <w:sz w:val="21"/>
                      <w:szCs w:val="21"/>
                      <w:lang w:val="en-US" w:eastAsia="zh-CN"/>
                    </w:rPr>
                    <w:t>液态</w:t>
                  </w:r>
                </w:p>
              </w:tc>
              <w:tc>
                <w:tcPr>
                  <w:tcW w:w="1433" w:type="dxa"/>
                  <w:tcBorders>
                    <w:tl2br w:val="nil"/>
                    <w:tr2bl w:val="nil"/>
                  </w:tcBorders>
                  <w:noWrap w:val="0"/>
                  <w:vAlign w:val="center"/>
                </w:tcPr>
                <w:p w14:paraId="7BF4A607">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矿物油</w:t>
                  </w:r>
                </w:p>
              </w:tc>
              <w:tc>
                <w:tcPr>
                  <w:tcW w:w="1962" w:type="dxa"/>
                  <w:tcBorders>
                    <w:tl2br w:val="nil"/>
                    <w:tr2bl w:val="nil"/>
                  </w:tcBorders>
                  <w:noWrap w:val="0"/>
                  <w:vAlign w:val="center"/>
                </w:tcPr>
                <w:p w14:paraId="411E1071">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是</w:t>
                  </w:r>
                </w:p>
              </w:tc>
              <w:tc>
                <w:tcPr>
                  <w:tcW w:w="1072" w:type="dxa"/>
                  <w:tcBorders>
                    <w:tl2br w:val="nil"/>
                    <w:tr2bl w:val="nil"/>
                  </w:tcBorders>
                  <w:noWrap w:val="0"/>
                  <w:vAlign w:val="center"/>
                </w:tcPr>
                <w:p w14:paraId="1FB0826A">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rPr>
                    <w:t>4.</w:t>
                  </w:r>
                  <w:r>
                    <w:rPr>
                      <w:rFonts w:hint="eastAsia"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a</w:t>
                  </w:r>
                </w:p>
              </w:tc>
            </w:tr>
            <w:tr w14:paraId="544074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65" w:type="dxa"/>
                  <w:tcBorders>
                    <w:tl2br w:val="nil"/>
                    <w:tr2bl w:val="nil"/>
                  </w:tcBorders>
                  <w:noWrap w:val="0"/>
                  <w:vAlign w:val="center"/>
                </w:tcPr>
                <w:p w14:paraId="5B84F42B">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w:t>
                  </w:r>
                </w:p>
              </w:tc>
              <w:tc>
                <w:tcPr>
                  <w:tcW w:w="1294" w:type="dxa"/>
                  <w:tcBorders>
                    <w:tl2br w:val="nil"/>
                    <w:tr2bl w:val="nil"/>
                  </w:tcBorders>
                  <w:noWrap w:val="0"/>
                  <w:vAlign w:val="center"/>
                </w:tcPr>
                <w:p w14:paraId="67E72D04">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firstLineChars="0"/>
                    <w:jc w:val="center"/>
                    <w:textAlignment w:val="auto"/>
                    <w:rPr>
                      <w:rFonts w:hint="default"/>
                      <w:color w:val="auto"/>
                      <w:sz w:val="21"/>
                      <w:szCs w:val="21"/>
                      <w:vertAlign w:val="baseline"/>
                      <w:lang w:val="en-US" w:eastAsia="zh-CN"/>
                    </w:rPr>
                  </w:pPr>
                  <w:r>
                    <w:rPr>
                      <w:rFonts w:hint="eastAsia" w:ascii="Times New Roman" w:hAnsi="Times New Roman" w:eastAsia="宋体" w:cs="Times New Roman"/>
                      <w:color w:val="auto"/>
                      <w:sz w:val="21"/>
                      <w:szCs w:val="21"/>
                      <w:lang w:val="en-US" w:eastAsia="zh-CN"/>
                    </w:rPr>
                    <w:t>含油污泥</w:t>
                  </w:r>
                </w:p>
              </w:tc>
              <w:tc>
                <w:tcPr>
                  <w:tcW w:w="1857" w:type="dxa"/>
                  <w:tcBorders>
                    <w:tl2br w:val="nil"/>
                    <w:tr2bl w:val="nil"/>
                  </w:tcBorders>
                  <w:noWrap w:val="0"/>
                  <w:vAlign w:val="center"/>
                </w:tcPr>
                <w:p w14:paraId="3B12E4C0">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lang w:val="en-US" w:eastAsia="zh-CN"/>
                    </w:rPr>
                    <w:t>隔油池、一体化（</w:t>
                  </w:r>
                  <w:r>
                    <w:rPr>
                      <w:rFonts w:hint="default" w:ascii="Times New Roman" w:hAnsi="Times New Roman" w:cs="Times New Roman"/>
                      <w:color w:val="auto"/>
                      <w:sz w:val="21"/>
                      <w:szCs w:val="21"/>
                      <w:lang w:val="en-US" w:eastAsia="zh-CN"/>
                    </w:rPr>
                    <w:t>MBR</w:t>
                  </w:r>
                  <w:r>
                    <w:rPr>
                      <w:rFonts w:hint="eastAsia"/>
                      <w:color w:val="auto"/>
                      <w:sz w:val="21"/>
                      <w:szCs w:val="21"/>
                      <w:lang w:val="en-US" w:eastAsia="zh-CN"/>
                    </w:rPr>
                    <w:t>）洗车废水处理设施</w:t>
                  </w:r>
                </w:p>
              </w:tc>
              <w:tc>
                <w:tcPr>
                  <w:tcW w:w="978" w:type="dxa"/>
                  <w:tcBorders>
                    <w:tl2br w:val="nil"/>
                    <w:tr2bl w:val="nil"/>
                  </w:tcBorders>
                  <w:noWrap w:val="0"/>
                  <w:vAlign w:val="center"/>
                </w:tcPr>
                <w:p w14:paraId="4351A343">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firstLineChars="0"/>
                    <w:jc w:val="center"/>
                    <w:textAlignment w:val="auto"/>
                    <w:rPr>
                      <w:rFonts w:hint="eastAsia"/>
                      <w:color w:val="auto"/>
                      <w:sz w:val="21"/>
                      <w:szCs w:val="21"/>
                      <w:vertAlign w:val="baseline"/>
                      <w:lang w:val="en-US" w:eastAsia="zh-CN"/>
                    </w:rPr>
                  </w:pPr>
                  <w:r>
                    <w:rPr>
                      <w:rFonts w:hint="eastAsia"/>
                      <w:color w:val="auto"/>
                      <w:sz w:val="21"/>
                      <w:szCs w:val="21"/>
                      <w:lang w:val="en-US" w:eastAsia="zh-CN"/>
                    </w:rPr>
                    <w:t>半</w:t>
                  </w:r>
                  <w:r>
                    <w:rPr>
                      <w:rFonts w:hint="eastAsia"/>
                      <w:color w:val="auto"/>
                      <w:sz w:val="21"/>
                      <w:szCs w:val="21"/>
                    </w:rPr>
                    <w:t>固</w:t>
                  </w:r>
                  <w:r>
                    <w:rPr>
                      <w:rFonts w:hint="eastAsia"/>
                      <w:color w:val="auto"/>
                      <w:sz w:val="21"/>
                      <w:szCs w:val="21"/>
                      <w:lang w:val="en-US" w:eastAsia="zh-CN"/>
                    </w:rPr>
                    <w:t>态</w:t>
                  </w:r>
                </w:p>
              </w:tc>
              <w:tc>
                <w:tcPr>
                  <w:tcW w:w="1433" w:type="dxa"/>
                  <w:tcBorders>
                    <w:tl2br w:val="nil"/>
                    <w:tr2bl w:val="nil"/>
                  </w:tcBorders>
                  <w:noWrap w:val="0"/>
                  <w:vAlign w:val="center"/>
                </w:tcPr>
                <w:p w14:paraId="53A3BC45">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firstLineChars="0"/>
                    <w:jc w:val="center"/>
                    <w:textAlignment w:val="auto"/>
                    <w:rPr>
                      <w:rFonts w:hint="default"/>
                      <w:color w:val="auto"/>
                      <w:sz w:val="21"/>
                      <w:szCs w:val="21"/>
                      <w:vertAlign w:val="baseline"/>
                      <w:lang w:val="en-US" w:eastAsia="zh-CN"/>
                    </w:rPr>
                  </w:pPr>
                  <w:r>
                    <w:rPr>
                      <w:rFonts w:hint="eastAsia" w:ascii="Times New Roman" w:hAnsi="Times New Roman" w:eastAsia="宋体" w:cs="Times New Roman"/>
                      <w:color w:val="auto"/>
                      <w:sz w:val="21"/>
                      <w:szCs w:val="21"/>
                      <w:lang w:val="en-US" w:eastAsia="zh-CN"/>
                    </w:rPr>
                    <w:t>污泥</w:t>
                  </w:r>
                </w:p>
              </w:tc>
              <w:tc>
                <w:tcPr>
                  <w:tcW w:w="1962" w:type="dxa"/>
                  <w:tcBorders>
                    <w:tl2br w:val="nil"/>
                    <w:tr2bl w:val="nil"/>
                  </w:tcBorders>
                  <w:noWrap w:val="0"/>
                  <w:vAlign w:val="center"/>
                </w:tcPr>
                <w:p w14:paraId="533338B2">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是</w:t>
                  </w:r>
                </w:p>
              </w:tc>
              <w:tc>
                <w:tcPr>
                  <w:tcW w:w="1072" w:type="dxa"/>
                  <w:tcBorders>
                    <w:tl2br w:val="nil"/>
                    <w:tr2bl w:val="nil"/>
                  </w:tcBorders>
                  <w:noWrap w:val="0"/>
                  <w:vAlign w:val="center"/>
                </w:tcPr>
                <w:p w14:paraId="52798F36">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rPr>
                    <w:t>4.</w:t>
                  </w:r>
                  <w:r>
                    <w:rPr>
                      <w:rFonts w:hint="eastAsia"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e</w:t>
                  </w:r>
                </w:p>
              </w:tc>
            </w:tr>
            <w:tr w14:paraId="278CA9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 w:hRule="atLeast"/>
              </w:trPr>
              <w:tc>
                <w:tcPr>
                  <w:tcW w:w="665" w:type="dxa"/>
                  <w:tcBorders>
                    <w:tl2br w:val="nil"/>
                    <w:tr2bl w:val="nil"/>
                  </w:tcBorders>
                  <w:noWrap w:val="0"/>
                  <w:vAlign w:val="center"/>
                </w:tcPr>
                <w:p w14:paraId="20ED6E00">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w:t>
                  </w:r>
                </w:p>
              </w:tc>
              <w:tc>
                <w:tcPr>
                  <w:tcW w:w="1294" w:type="dxa"/>
                  <w:tcBorders>
                    <w:tl2br w:val="nil"/>
                    <w:tr2bl w:val="nil"/>
                  </w:tcBorders>
                  <w:noWrap w:val="0"/>
                  <w:vAlign w:val="center"/>
                </w:tcPr>
                <w:p w14:paraId="4A00C1D7">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化粪池污泥</w:t>
                  </w:r>
                </w:p>
              </w:tc>
              <w:tc>
                <w:tcPr>
                  <w:tcW w:w="1857" w:type="dxa"/>
                  <w:tcBorders>
                    <w:tl2br w:val="nil"/>
                    <w:tr2bl w:val="nil"/>
                  </w:tcBorders>
                  <w:noWrap w:val="0"/>
                  <w:vAlign w:val="center"/>
                </w:tcPr>
                <w:p w14:paraId="617EE02E">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lang w:val="en-US" w:eastAsia="zh-CN"/>
                    </w:rPr>
                    <w:t>化粪池</w:t>
                  </w:r>
                </w:p>
              </w:tc>
              <w:tc>
                <w:tcPr>
                  <w:tcW w:w="978" w:type="dxa"/>
                  <w:tcBorders>
                    <w:tl2br w:val="nil"/>
                    <w:tr2bl w:val="nil"/>
                  </w:tcBorders>
                  <w:noWrap w:val="0"/>
                  <w:vAlign w:val="center"/>
                </w:tcPr>
                <w:p w14:paraId="6630241A">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firstLineChars="0"/>
                    <w:jc w:val="center"/>
                    <w:textAlignment w:val="auto"/>
                    <w:rPr>
                      <w:rFonts w:hint="eastAsia"/>
                      <w:color w:val="auto"/>
                      <w:sz w:val="21"/>
                      <w:szCs w:val="21"/>
                      <w:vertAlign w:val="baseline"/>
                      <w:lang w:val="en-US" w:eastAsia="zh-CN"/>
                    </w:rPr>
                  </w:pPr>
                  <w:r>
                    <w:rPr>
                      <w:rFonts w:hint="eastAsia"/>
                      <w:color w:val="auto"/>
                      <w:sz w:val="21"/>
                      <w:szCs w:val="21"/>
                      <w:lang w:val="en-US" w:eastAsia="zh-CN"/>
                    </w:rPr>
                    <w:t>半</w:t>
                  </w:r>
                  <w:r>
                    <w:rPr>
                      <w:rFonts w:hint="eastAsia"/>
                      <w:color w:val="auto"/>
                      <w:sz w:val="21"/>
                      <w:szCs w:val="21"/>
                    </w:rPr>
                    <w:t>固</w:t>
                  </w:r>
                  <w:r>
                    <w:rPr>
                      <w:rFonts w:hint="eastAsia"/>
                      <w:color w:val="auto"/>
                      <w:sz w:val="21"/>
                      <w:szCs w:val="21"/>
                      <w:lang w:val="en-US" w:eastAsia="zh-CN"/>
                    </w:rPr>
                    <w:t>态</w:t>
                  </w:r>
                </w:p>
              </w:tc>
              <w:tc>
                <w:tcPr>
                  <w:tcW w:w="1433" w:type="dxa"/>
                  <w:tcBorders>
                    <w:tl2br w:val="nil"/>
                    <w:tr2bl w:val="nil"/>
                  </w:tcBorders>
                  <w:noWrap w:val="0"/>
                  <w:vAlign w:val="center"/>
                </w:tcPr>
                <w:p w14:paraId="44840B91">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污泥</w:t>
                  </w:r>
                </w:p>
              </w:tc>
              <w:tc>
                <w:tcPr>
                  <w:tcW w:w="1962" w:type="dxa"/>
                  <w:tcBorders>
                    <w:tl2br w:val="nil"/>
                    <w:tr2bl w:val="nil"/>
                  </w:tcBorders>
                  <w:noWrap w:val="0"/>
                  <w:vAlign w:val="center"/>
                </w:tcPr>
                <w:p w14:paraId="33975BA3">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是</w:t>
                  </w:r>
                </w:p>
              </w:tc>
              <w:tc>
                <w:tcPr>
                  <w:tcW w:w="1072" w:type="dxa"/>
                  <w:tcBorders>
                    <w:tl2br w:val="nil"/>
                    <w:tr2bl w:val="nil"/>
                  </w:tcBorders>
                  <w:noWrap w:val="0"/>
                  <w:vAlign w:val="center"/>
                </w:tcPr>
                <w:p w14:paraId="44834F52">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rPr>
                    <w:t>4.</w:t>
                  </w:r>
                  <w:r>
                    <w:rPr>
                      <w:rFonts w:hint="eastAsia"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g</w:t>
                  </w:r>
                </w:p>
              </w:tc>
            </w:tr>
            <w:tr w14:paraId="5ED676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665" w:type="dxa"/>
                  <w:tcBorders>
                    <w:tl2br w:val="nil"/>
                    <w:tr2bl w:val="nil"/>
                  </w:tcBorders>
                  <w:noWrap w:val="0"/>
                  <w:vAlign w:val="center"/>
                </w:tcPr>
                <w:p w14:paraId="70D2F4EC">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4</w:t>
                  </w:r>
                </w:p>
              </w:tc>
              <w:tc>
                <w:tcPr>
                  <w:tcW w:w="1294" w:type="dxa"/>
                  <w:tcBorders>
                    <w:tl2br w:val="nil"/>
                    <w:tr2bl w:val="nil"/>
                  </w:tcBorders>
                  <w:noWrap w:val="0"/>
                  <w:vAlign w:val="center"/>
                </w:tcPr>
                <w:p w14:paraId="0255A8F5">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废吸油毡</w:t>
                  </w:r>
                </w:p>
              </w:tc>
              <w:tc>
                <w:tcPr>
                  <w:tcW w:w="1857" w:type="dxa"/>
                  <w:tcBorders>
                    <w:tl2br w:val="nil"/>
                    <w:tr2bl w:val="nil"/>
                  </w:tcBorders>
                  <w:noWrap w:val="0"/>
                  <w:vAlign w:val="center"/>
                </w:tcPr>
                <w:p w14:paraId="22336C13">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卸油、加油</w:t>
                  </w:r>
                </w:p>
              </w:tc>
              <w:tc>
                <w:tcPr>
                  <w:tcW w:w="978" w:type="dxa"/>
                  <w:tcBorders>
                    <w:tl2br w:val="nil"/>
                    <w:tr2bl w:val="nil"/>
                  </w:tcBorders>
                  <w:noWrap w:val="0"/>
                  <w:vAlign w:val="center"/>
                </w:tcPr>
                <w:p w14:paraId="776C6538">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color w:val="auto"/>
                      <w:sz w:val="21"/>
                      <w:szCs w:val="21"/>
                    </w:rPr>
                    <w:t>固</w:t>
                  </w:r>
                  <w:r>
                    <w:rPr>
                      <w:rFonts w:hint="eastAsia"/>
                      <w:color w:val="auto"/>
                      <w:sz w:val="21"/>
                      <w:szCs w:val="21"/>
                      <w:lang w:val="en-US" w:eastAsia="zh-CN"/>
                    </w:rPr>
                    <w:t>态</w:t>
                  </w:r>
                </w:p>
              </w:tc>
              <w:tc>
                <w:tcPr>
                  <w:tcW w:w="1433" w:type="dxa"/>
                  <w:tcBorders>
                    <w:tl2br w:val="nil"/>
                    <w:tr2bl w:val="nil"/>
                  </w:tcBorders>
                  <w:noWrap w:val="0"/>
                  <w:vAlign w:val="center"/>
                </w:tcPr>
                <w:p w14:paraId="50E4B240">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吸油毡</w:t>
                  </w:r>
                </w:p>
              </w:tc>
              <w:tc>
                <w:tcPr>
                  <w:tcW w:w="1962" w:type="dxa"/>
                  <w:tcBorders>
                    <w:tl2br w:val="nil"/>
                    <w:tr2bl w:val="nil"/>
                  </w:tcBorders>
                  <w:noWrap w:val="0"/>
                  <w:vAlign w:val="center"/>
                </w:tcPr>
                <w:p w14:paraId="2C9AF885">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color w:val="auto"/>
                      <w:sz w:val="21"/>
                      <w:szCs w:val="21"/>
                      <w:vertAlign w:val="baseline"/>
                      <w:lang w:val="en-US" w:eastAsia="zh-CN"/>
                    </w:rPr>
                    <w:t>是</w:t>
                  </w:r>
                </w:p>
              </w:tc>
              <w:tc>
                <w:tcPr>
                  <w:tcW w:w="1072" w:type="dxa"/>
                  <w:tcBorders>
                    <w:tl2br w:val="nil"/>
                    <w:tr2bl w:val="nil"/>
                  </w:tcBorders>
                  <w:noWrap w:val="0"/>
                  <w:vAlign w:val="center"/>
                </w:tcPr>
                <w:p w14:paraId="58E0FE82">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rPr>
                    <w:t>4.</w:t>
                  </w:r>
                  <w:r>
                    <w:rPr>
                      <w:rFonts w:hint="eastAsia"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c</w:t>
                  </w:r>
                </w:p>
              </w:tc>
            </w:tr>
            <w:tr w14:paraId="6CC81C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665" w:type="dxa"/>
                  <w:tcBorders>
                    <w:tl2br w:val="nil"/>
                    <w:tr2bl w:val="nil"/>
                  </w:tcBorders>
                  <w:noWrap w:val="0"/>
                  <w:vAlign w:val="center"/>
                </w:tcPr>
                <w:p w14:paraId="01F1D3B4">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5</w:t>
                  </w:r>
                </w:p>
              </w:tc>
              <w:tc>
                <w:tcPr>
                  <w:tcW w:w="1294" w:type="dxa"/>
                  <w:tcBorders>
                    <w:tl2br w:val="nil"/>
                    <w:tr2bl w:val="nil"/>
                  </w:tcBorders>
                  <w:noWrap w:val="0"/>
                  <w:vAlign w:val="center"/>
                </w:tcPr>
                <w:p w14:paraId="25D38CE4">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废滤芯</w:t>
                  </w:r>
                </w:p>
              </w:tc>
              <w:tc>
                <w:tcPr>
                  <w:tcW w:w="1857" w:type="dxa"/>
                  <w:tcBorders>
                    <w:tl2br w:val="nil"/>
                    <w:tr2bl w:val="nil"/>
                  </w:tcBorders>
                  <w:noWrap w:val="0"/>
                  <w:vAlign w:val="center"/>
                </w:tcPr>
                <w:p w14:paraId="7453DDA3">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加油机</w:t>
                  </w:r>
                </w:p>
              </w:tc>
              <w:tc>
                <w:tcPr>
                  <w:tcW w:w="978" w:type="dxa"/>
                  <w:tcBorders>
                    <w:tl2br w:val="nil"/>
                    <w:tr2bl w:val="nil"/>
                  </w:tcBorders>
                  <w:noWrap w:val="0"/>
                  <w:vAlign w:val="center"/>
                </w:tcPr>
                <w:p w14:paraId="6BB13F52">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color w:val="auto"/>
                      <w:sz w:val="21"/>
                      <w:szCs w:val="21"/>
                    </w:rPr>
                    <w:t>固</w:t>
                  </w:r>
                  <w:r>
                    <w:rPr>
                      <w:rFonts w:hint="eastAsia"/>
                      <w:color w:val="auto"/>
                      <w:sz w:val="21"/>
                      <w:szCs w:val="21"/>
                      <w:lang w:val="en-US" w:eastAsia="zh-CN"/>
                    </w:rPr>
                    <w:t>态</w:t>
                  </w:r>
                </w:p>
              </w:tc>
              <w:tc>
                <w:tcPr>
                  <w:tcW w:w="1433" w:type="dxa"/>
                  <w:tcBorders>
                    <w:tl2br w:val="nil"/>
                    <w:tr2bl w:val="nil"/>
                  </w:tcBorders>
                  <w:noWrap w:val="0"/>
                  <w:vAlign w:val="center"/>
                </w:tcPr>
                <w:p w14:paraId="4FF2E62E">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滤芯</w:t>
                  </w:r>
                </w:p>
              </w:tc>
              <w:tc>
                <w:tcPr>
                  <w:tcW w:w="1962" w:type="dxa"/>
                  <w:tcBorders>
                    <w:tl2br w:val="nil"/>
                    <w:tr2bl w:val="nil"/>
                  </w:tcBorders>
                  <w:noWrap w:val="0"/>
                  <w:vAlign w:val="center"/>
                </w:tcPr>
                <w:p w14:paraId="26409FD9">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color w:val="auto"/>
                      <w:sz w:val="21"/>
                      <w:szCs w:val="21"/>
                      <w:vertAlign w:val="baseline"/>
                      <w:lang w:val="en-US" w:eastAsia="zh-CN"/>
                    </w:rPr>
                    <w:t>是</w:t>
                  </w:r>
                </w:p>
              </w:tc>
              <w:tc>
                <w:tcPr>
                  <w:tcW w:w="1072" w:type="dxa"/>
                  <w:tcBorders>
                    <w:tl2br w:val="nil"/>
                    <w:tr2bl w:val="nil"/>
                  </w:tcBorders>
                  <w:noWrap w:val="0"/>
                  <w:vAlign w:val="center"/>
                </w:tcPr>
                <w:p w14:paraId="2F5D0809">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rPr>
                    <w:t>4.</w:t>
                  </w:r>
                  <w:r>
                    <w:rPr>
                      <w:rFonts w:hint="eastAsia"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c</w:t>
                  </w:r>
                </w:p>
              </w:tc>
            </w:tr>
            <w:tr w14:paraId="7905D0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665" w:type="dxa"/>
                  <w:tcBorders>
                    <w:tl2br w:val="nil"/>
                    <w:tr2bl w:val="nil"/>
                  </w:tcBorders>
                  <w:noWrap w:val="0"/>
                  <w:vAlign w:val="center"/>
                </w:tcPr>
                <w:p w14:paraId="224B0555">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6</w:t>
                  </w:r>
                </w:p>
              </w:tc>
              <w:tc>
                <w:tcPr>
                  <w:tcW w:w="1294" w:type="dxa"/>
                  <w:tcBorders>
                    <w:tl2br w:val="nil"/>
                    <w:tr2bl w:val="nil"/>
                  </w:tcBorders>
                  <w:noWrap w:val="0"/>
                  <w:vAlign w:val="center"/>
                </w:tcPr>
                <w:p w14:paraId="371F181C">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废含油抹布手套</w:t>
                  </w:r>
                </w:p>
              </w:tc>
              <w:tc>
                <w:tcPr>
                  <w:tcW w:w="1857" w:type="dxa"/>
                  <w:tcBorders>
                    <w:tl2br w:val="nil"/>
                    <w:tr2bl w:val="nil"/>
                  </w:tcBorders>
                  <w:noWrap w:val="0"/>
                  <w:vAlign w:val="center"/>
                </w:tcPr>
                <w:p w14:paraId="3E07BC5C">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卸油、加油、维修保养</w:t>
                  </w:r>
                </w:p>
              </w:tc>
              <w:tc>
                <w:tcPr>
                  <w:tcW w:w="978" w:type="dxa"/>
                  <w:tcBorders>
                    <w:tl2br w:val="nil"/>
                    <w:tr2bl w:val="nil"/>
                  </w:tcBorders>
                  <w:noWrap w:val="0"/>
                  <w:vAlign w:val="center"/>
                </w:tcPr>
                <w:p w14:paraId="5AAC6B47">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color w:val="auto"/>
                      <w:sz w:val="21"/>
                      <w:szCs w:val="21"/>
                    </w:rPr>
                    <w:t>固</w:t>
                  </w:r>
                  <w:r>
                    <w:rPr>
                      <w:rFonts w:hint="eastAsia"/>
                      <w:color w:val="auto"/>
                      <w:sz w:val="21"/>
                      <w:szCs w:val="21"/>
                      <w:lang w:val="en-US" w:eastAsia="zh-CN"/>
                    </w:rPr>
                    <w:t>态</w:t>
                  </w:r>
                </w:p>
              </w:tc>
              <w:tc>
                <w:tcPr>
                  <w:tcW w:w="1433" w:type="dxa"/>
                  <w:tcBorders>
                    <w:tl2br w:val="nil"/>
                    <w:tr2bl w:val="nil"/>
                  </w:tcBorders>
                  <w:noWrap w:val="0"/>
                  <w:vAlign w:val="center"/>
                </w:tcPr>
                <w:p w14:paraId="32CA244C">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抹布手套</w:t>
                  </w:r>
                </w:p>
              </w:tc>
              <w:tc>
                <w:tcPr>
                  <w:tcW w:w="1962" w:type="dxa"/>
                  <w:tcBorders>
                    <w:tl2br w:val="nil"/>
                    <w:tr2bl w:val="nil"/>
                  </w:tcBorders>
                  <w:noWrap w:val="0"/>
                  <w:vAlign w:val="center"/>
                </w:tcPr>
                <w:p w14:paraId="026105E6">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color w:val="auto"/>
                      <w:sz w:val="21"/>
                      <w:szCs w:val="21"/>
                      <w:vertAlign w:val="baseline"/>
                      <w:lang w:val="en-US" w:eastAsia="zh-CN"/>
                    </w:rPr>
                    <w:t>是</w:t>
                  </w:r>
                </w:p>
              </w:tc>
              <w:tc>
                <w:tcPr>
                  <w:tcW w:w="1072" w:type="dxa"/>
                  <w:tcBorders>
                    <w:tl2br w:val="nil"/>
                    <w:tr2bl w:val="nil"/>
                  </w:tcBorders>
                  <w:noWrap w:val="0"/>
                  <w:vAlign w:val="center"/>
                </w:tcPr>
                <w:p w14:paraId="54FC58D7">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rPr>
                    <w:t>4.</w:t>
                  </w:r>
                  <w:r>
                    <w:rPr>
                      <w:rFonts w:hint="eastAsia"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c</w:t>
                  </w:r>
                </w:p>
              </w:tc>
            </w:tr>
            <w:tr w14:paraId="197856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65" w:type="dxa"/>
                  <w:tcBorders>
                    <w:tl2br w:val="nil"/>
                    <w:tr2bl w:val="nil"/>
                  </w:tcBorders>
                  <w:noWrap w:val="0"/>
                  <w:vAlign w:val="center"/>
                </w:tcPr>
                <w:p w14:paraId="27C0451B">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7</w:t>
                  </w:r>
                </w:p>
              </w:tc>
              <w:tc>
                <w:tcPr>
                  <w:tcW w:w="1294" w:type="dxa"/>
                  <w:tcBorders>
                    <w:tl2br w:val="nil"/>
                    <w:tr2bl w:val="nil"/>
                  </w:tcBorders>
                  <w:noWrap w:val="0"/>
                  <w:vAlign w:val="center"/>
                </w:tcPr>
                <w:p w14:paraId="5D6A2347">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firstLineChars="0"/>
                    <w:jc w:val="center"/>
                    <w:textAlignment w:val="auto"/>
                    <w:rPr>
                      <w:rFonts w:hint="eastAsia"/>
                      <w:color w:val="auto"/>
                      <w:sz w:val="21"/>
                      <w:szCs w:val="21"/>
                      <w:vertAlign w:val="baseline"/>
                      <w:lang w:val="en-US" w:eastAsia="zh-CN"/>
                    </w:rPr>
                  </w:pPr>
                  <w:r>
                    <w:rPr>
                      <w:rFonts w:hint="eastAsia"/>
                      <w:color w:val="auto"/>
                      <w:sz w:val="21"/>
                      <w:szCs w:val="21"/>
                      <w:lang w:val="en-US" w:eastAsia="zh-CN"/>
                    </w:rPr>
                    <w:t>生活垃圾</w:t>
                  </w:r>
                </w:p>
              </w:tc>
              <w:tc>
                <w:tcPr>
                  <w:tcW w:w="1857" w:type="dxa"/>
                  <w:tcBorders>
                    <w:tl2br w:val="nil"/>
                    <w:tr2bl w:val="nil"/>
                  </w:tcBorders>
                  <w:noWrap w:val="0"/>
                  <w:vAlign w:val="center"/>
                </w:tcPr>
                <w:p w14:paraId="73D7295D">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日常生活</w:t>
                  </w:r>
                </w:p>
              </w:tc>
              <w:tc>
                <w:tcPr>
                  <w:tcW w:w="978" w:type="dxa"/>
                  <w:tcBorders>
                    <w:tl2br w:val="nil"/>
                    <w:tr2bl w:val="nil"/>
                  </w:tcBorders>
                  <w:noWrap w:val="0"/>
                  <w:vAlign w:val="center"/>
                </w:tcPr>
                <w:p w14:paraId="38D1A997">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firstLineChars="0"/>
                    <w:jc w:val="center"/>
                    <w:textAlignment w:val="auto"/>
                    <w:rPr>
                      <w:rFonts w:hint="eastAsia"/>
                      <w:color w:val="auto"/>
                      <w:sz w:val="21"/>
                      <w:szCs w:val="21"/>
                      <w:vertAlign w:val="baseline"/>
                      <w:lang w:val="en-US" w:eastAsia="zh-CN"/>
                    </w:rPr>
                  </w:pPr>
                  <w:r>
                    <w:rPr>
                      <w:rFonts w:hint="eastAsia"/>
                      <w:color w:val="auto"/>
                      <w:sz w:val="21"/>
                      <w:szCs w:val="21"/>
                    </w:rPr>
                    <w:t>固</w:t>
                  </w:r>
                  <w:r>
                    <w:rPr>
                      <w:rFonts w:hint="eastAsia"/>
                      <w:color w:val="auto"/>
                      <w:sz w:val="21"/>
                      <w:szCs w:val="21"/>
                      <w:lang w:val="en-US" w:eastAsia="zh-CN"/>
                    </w:rPr>
                    <w:t>态</w:t>
                  </w:r>
                </w:p>
              </w:tc>
              <w:tc>
                <w:tcPr>
                  <w:tcW w:w="1433" w:type="dxa"/>
                  <w:tcBorders>
                    <w:tl2br w:val="nil"/>
                    <w:tr2bl w:val="nil"/>
                  </w:tcBorders>
                  <w:noWrap w:val="0"/>
                  <w:vAlign w:val="center"/>
                </w:tcPr>
                <w:p w14:paraId="51BD7DBA">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生活垃圾</w:t>
                  </w:r>
                </w:p>
              </w:tc>
              <w:tc>
                <w:tcPr>
                  <w:tcW w:w="1962" w:type="dxa"/>
                  <w:tcBorders>
                    <w:tl2br w:val="nil"/>
                    <w:tr2bl w:val="nil"/>
                  </w:tcBorders>
                  <w:noWrap w:val="0"/>
                  <w:vAlign w:val="center"/>
                </w:tcPr>
                <w:p w14:paraId="425D22BF">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是</w:t>
                  </w:r>
                </w:p>
              </w:tc>
              <w:tc>
                <w:tcPr>
                  <w:tcW w:w="1072" w:type="dxa"/>
                  <w:tcBorders>
                    <w:tl2br w:val="nil"/>
                    <w:tr2bl w:val="nil"/>
                  </w:tcBorders>
                  <w:noWrap w:val="0"/>
                  <w:vAlign w:val="center"/>
                </w:tcPr>
                <w:p w14:paraId="3A40BEC4">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rPr>
                    <w:t>4.1-h</w:t>
                  </w:r>
                </w:p>
              </w:tc>
            </w:tr>
          </w:tbl>
          <w:p w14:paraId="67579B0A">
            <w:pPr>
              <w:pStyle w:val="19"/>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根据《国家危险废物名录（2025年）》</w:t>
            </w:r>
            <w:r>
              <w:rPr>
                <w:rFonts w:hint="default" w:ascii="Times New Roman" w:hAnsi="Times New Roman" w:eastAsia="宋体" w:cs="Times New Roman"/>
                <w:color w:val="auto"/>
                <w:kern w:val="2"/>
                <w:sz w:val="24"/>
                <w:szCs w:val="24"/>
                <w:lang w:val="en-US" w:eastAsia="zh-CN" w:bidi="ar-SA"/>
              </w:rPr>
              <w:t>《危险废物鉴别标准 通则》（GB5085.7-2019）</w:t>
            </w:r>
            <w:r>
              <w:rPr>
                <w:rFonts w:hint="eastAsia" w:ascii="Times New Roman" w:hAnsi="Times New Roman" w:eastAsia="宋体" w:cs="Times New Roman"/>
                <w:color w:val="auto"/>
                <w:kern w:val="2"/>
                <w:sz w:val="24"/>
                <w:szCs w:val="24"/>
                <w:lang w:val="en-US" w:eastAsia="zh-CN" w:bidi="ar-SA"/>
              </w:rPr>
              <w:t>及《固体废物分类与代码目录》，本项目固体废物分析结果详见表4.4-2。</w:t>
            </w:r>
          </w:p>
          <w:p w14:paraId="13EEEB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表4.4-2   项目固体废物分析结果汇总表</w:t>
            </w:r>
          </w:p>
          <w:tbl>
            <w:tblPr>
              <w:tblStyle w:val="3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1"/>
              <w:gridCol w:w="1109"/>
              <w:gridCol w:w="1364"/>
              <w:gridCol w:w="1077"/>
              <w:gridCol w:w="1064"/>
              <w:gridCol w:w="1090"/>
              <w:gridCol w:w="1664"/>
              <w:gridCol w:w="1232"/>
            </w:tblGrid>
            <w:tr w14:paraId="7B3C44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61" w:type="dxa"/>
                  <w:tcBorders>
                    <w:tl2br w:val="nil"/>
                    <w:tr2bl w:val="nil"/>
                  </w:tcBorders>
                  <w:noWrap w:val="0"/>
                  <w:vAlign w:val="center"/>
                </w:tcPr>
                <w:p w14:paraId="36CCD984">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eastAsia"/>
                      <w:color w:val="auto"/>
                      <w:sz w:val="21"/>
                      <w:szCs w:val="21"/>
                      <w:vertAlign w:val="baseline"/>
                      <w:lang w:val="en-US" w:eastAsia="zh-CN"/>
                    </w:rPr>
                  </w:pPr>
                  <w:r>
                    <w:rPr>
                      <w:rFonts w:hAnsi="宋体"/>
                      <w:b/>
                      <w:bCs/>
                      <w:color w:val="auto"/>
                      <w:sz w:val="21"/>
                      <w:szCs w:val="21"/>
                    </w:rPr>
                    <w:t>序号</w:t>
                  </w:r>
                </w:p>
              </w:tc>
              <w:tc>
                <w:tcPr>
                  <w:tcW w:w="1109" w:type="dxa"/>
                  <w:tcBorders>
                    <w:tl2br w:val="nil"/>
                    <w:tr2bl w:val="nil"/>
                  </w:tcBorders>
                  <w:noWrap w:val="0"/>
                  <w:vAlign w:val="center"/>
                </w:tcPr>
                <w:p w14:paraId="3C354147">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eastAsia"/>
                      <w:color w:val="auto"/>
                      <w:sz w:val="21"/>
                      <w:szCs w:val="21"/>
                      <w:vertAlign w:val="baseline"/>
                      <w:lang w:val="en-US" w:eastAsia="zh-CN"/>
                    </w:rPr>
                  </w:pPr>
                  <w:r>
                    <w:rPr>
                      <w:rFonts w:hAnsi="宋体"/>
                      <w:b/>
                      <w:bCs/>
                      <w:color w:val="auto"/>
                      <w:sz w:val="21"/>
                      <w:szCs w:val="21"/>
                    </w:rPr>
                    <w:t>名称</w:t>
                  </w:r>
                </w:p>
              </w:tc>
              <w:tc>
                <w:tcPr>
                  <w:tcW w:w="1364" w:type="dxa"/>
                  <w:tcBorders>
                    <w:tl2br w:val="nil"/>
                    <w:tr2bl w:val="nil"/>
                  </w:tcBorders>
                  <w:noWrap w:val="0"/>
                  <w:vAlign w:val="center"/>
                </w:tcPr>
                <w:p w14:paraId="3C36F874">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eastAsia"/>
                      <w:color w:val="auto"/>
                      <w:sz w:val="21"/>
                      <w:szCs w:val="21"/>
                      <w:vertAlign w:val="baseline"/>
                      <w:lang w:val="en-US" w:eastAsia="zh-CN"/>
                    </w:rPr>
                  </w:pPr>
                  <w:r>
                    <w:rPr>
                      <w:rFonts w:hAnsi="宋体"/>
                      <w:b/>
                      <w:bCs/>
                      <w:color w:val="auto"/>
                      <w:sz w:val="21"/>
                      <w:szCs w:val="21"/>
                    </w:rPr>
                    <w:t>产生</w:t>
                  </w:r>
                  <w:r>
                    <w:rPr>
                      <w:rFonts w:hint="eastAsia"/>
                      <w:b/>
                      <w:bCs/>
                      <w:color w:val="auto"/>
                      <w:sz w:val="21"/>
                      <w:szCs w:val="21"/>
                      <w:lang w:val="en-US" w:eastAsia="zh-CN"/>
                    </w:rPr>
                    <w:t>环节</w:t>
                  </w:r>
                </w:p>
              </w:tc>
              <w:tc>
                <w:tcPr>
                  <w:tcW w:w="1077" w:type="dxa"/>
                  <w:tcBorders>
                    <w:tl2br w:val="nil"/>
                    <w:tr2bl w:val="nil"/>
                  </w:tcBorders>
                  <w:noWrap w:val="0"/>
                  <w:vAlign w:val="center"/>
                </w:tcPr>
                <w:p w14:paraId="6A974E77">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eastAsia"/>
                      <w:color w:val="auto"/>
                      <w:sz w:val="21"/>
                      <w:szCs w:val="21"/>
                      <w:vertAlign w:val="baseline"/>
                      <w:lang w:val="en-US" w:eastAsia="zh-CN"/>
                    </w:rPr>
                  </w:pPr>
                  <w:r>
                    <w:rPr>
                      <w:rFonts w:hAnsi="宋体"/>
                      <w:b/>
                      <w:bCs/>
                      <w:color w:val="auto"/>
                      <w:sz w:val="21"/>
                      <w:szCs w:val="21"/>
                    </w:rPr>
                    <w:t>主要成分</w:t>
                  </w:r>
                </w:p>
              </w:tc>
              <w:tc>
                <w:tcPr>
                  <w:tcW w:w="1064" w:type="dxa"/>
                  <w:tcBorders>
                    <w:tl2br w:val="nil"/>
                    <w:tr2bl w:val="nil"/>
                  </w:tcBorders>
                  <w:noWrap w:val="0"/>
                  <w:vAlign w:val="center"/>
                </w:tcPr>
                <w:p w14:paraId="2CAC7FC8">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eastAsia"/>
                      <w:color w:val="auto"/>
                      <w:sz w:val="21"/>
                      <w:szCs w:val="21"/>
                      <w:vertAlign w:val="baseline"/>
                      <w:lang w:val="en-US" w:eastAsia="zh-CN"/>
                    </w:rPr>
                  </w:pPr>
                  <w:r>
                    <w:rPr>
                      <w:rFonts w:hAnsi="宋体"/>
                      <w:b/>
                      <w:bCs/>
                      <w:color w:val="auto"/>
                      <w:sz w:val="21"/>
                      <w:szCs w:val="21"/>
                    </w:rPr>
                    <w:t>有害成分</w:t>
                  </w:r>
                </w:p>
              </w:tc>
              <w:tc>
                <w:tcPr>
                  <w:tcW w:w="1090" w:type="dxa"/>
                  <w:tcBorders>
                    <w:tl2br w:val="nil"/>
                    <w:tr2bl w:val="nil"/>
                  </w:tcBorders>
                  <w:noWrap w:val="0"/>
                  <w:vAlign w:val="center"/>
                </w:tcPr>
                <w:p w14:paraId="3B541192">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eastAsia"/>
                      <w:color w:val="auto"/>
                      <w:sz w:val="21"/>
                      <w:szCs w:val="21"/>
                      <w:vertAlign w:val="baseline"/>
                      <w:lang w:val="en-US" w:eastAsia="zh-CN"/>
                    </w:rPr>
                  </w:pPr>
                  <w:r>
                    <w:rPr>
                      <w:rFonts w:hAnsi="宋体"/>
                      <w:b/>
                      <w:bCs/>
                      <w:color w:val="auto"/>
                      <w:sz w:val="21"/>
                      <w:szCs w:val="21"/>
                    </w:rPr>
                    <w:t>属性</w:t>
                  </w:r>
                </w:p>
              </w:tc>
              <w:tc>
                <w:tcPr>
                  <w:tcW w:w="1664" w:type="dxa"/>
                  <w:tcBorders>
                    <w:tl2br w:val="nil"/>
                    <w:tr2bl w:val="nil"/>
                  </w:tcBorders>
                  <w:noWrap w:val="0"/>
                  <w:vAlign w:val="center"/>
                </w:tcPr>
                <w:p w14:paraId="4034BD46">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eastAsia"/>
                      <w:color w:val="auto"/>
                      <w:sz w:val="21"/>
                      <w:szCs w:val="21"/>
                      <w:vertAlign w:val="baseline"/>
                      <w:lang w:val="en-US" w:eastAsia="zh-CN"/>
                    </w:rPr>
                  </w:pPr>
                  <w:r>
                    <w:rPr>
                      <w:rFonts w:hAnsi="宋体"/>
                      <w:b/>
                      <w:bCs/>
                      <w:color w:val="auto"/>
                      <w:sz w:val="21"/>
                      <w:szCs w:val="21"/>
                    </w:rPr>
                    <w:t>废物代码</w:t>
                  </w:r>
                </w:p>
              </w:tc>
              <w:tc>
                <w:tcPr>
                  <w:tcW w:w="1232" w:type="dxa"/>
                  <w:tcBorders>
                    <w:tl2br w:val="nil"/>
                    <w:tr2bl w:val="nil"/>
                  </w:tcBorders>
                  <w:noWrap w:val="0"/>
                  <w:vAlign w:val="center"/>
                </w:tcPr>
                <w:p w14:paraId="6BD07A9B">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eastAsia"/>
                      <w:color w:val="auto"/>
                      <w:sz w:val="21"/>
                      <w:szCs w:val="21"/>
                      <w:vertAlign w:val="baseline"/>
                      <w:lang w:val="en-US" w:eastAsia="zh-CN"/>
                    </w:rPr>
                  </w:pPr>
                  <w:r>
                    <w:rPr>
                      <w:rFonts w:hAnsi="宋体"/>
                      <w:b/>
                      <w:bCs/>
                      <w:color w:val="auto"/>
                      <w:sz w:val="21"/>
                      <w:szCs w:val="21"/>
                    </w:rPr>
                    <w:t>产生及处置量</w:t>
                  </w:r>
                  <w:r>
                    <w:rPr>
                      <w:rFonts w:hint="eastAsia" w:ascii="宋体" w:hAnsi="宋体"/>
                      <w:b/>
                      <w:bCs/>
                      <w:color w:val="auto"/>
                      <w:sz w:val="21"/>
                      <w:szCs w:val="21"/>
                      <w:lang w:eastAsia="zh-CN"/>
                    </w:rPr>
                    <w:t>（</w:t>
                  </w:r>
                  <w:r>
                    <w:rPr>
                      <w:rFonts w:hint="default" w:ascii="Times New Roman" w:hAnsi="Times New Roman" w:cs="Times New Roman"/>
                      <w:b/>
                      <w:bCs/>
                      <w:color w:val="auto"/>
                      <w:sz w:val="21"/>
                      <w:szCs w:val="21"/>
                    </w:rPr>
                    <w:t>t/a</w:t>
                  </w:r>
                  <w:r>
                    <w:rPr>
                      <w:rFonts w:hint="eastAsia" w:ascii="宋体" w:hAnsi="宋体"/>
                      <w:b/>
                      <w:bCs/>
                      <w:color w:val="auto"/>
                      <w:sz w:val="21"/>
                      <w:szCs w:val="21"/>
                      <w:lang w:eastAsia="zh-CN"/>
                    </w:rPr>
                    <w:t>）</w:t>
                  </w:r>
                </w:p>
              </w:tc>
            </w:tr>
            <w:tr w14:paraId="063BC8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61" w:type="dxa"/>
                  <w:tcBorders>
                    <w:tl2br w:val="nil"/>
                    <w:tr2bl w:val="nil"/>
                  </w:tcBorders>
                  <w:noWrap w:val="0"/>
                  <w:vAlign w:val="center"/>
                </w:tcPr>
                <w:p w14:paraId="2D46F8F1">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c>
                <w:tcPr>
                  <w:tcW w:w="1109" w:type="dxa"/>
                  <w:tcBorders>
                    <w:tl2br w:val="nil"/>
                    <w:tr2bl w:val="nil"/>
                  </w:tcBorders>
                  <w:noWrap w:val="0"/>
                  <w:vAlign w:val="center"/>
                </w:tcPr>
                <w:p w14:paraId="1302D954">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eastAsia"/>
                      <w:color w:val="auto"/>
                      <w:sz w:val="21"/>
                      <w:szCs w:val="21"/>
                      <w:vertAlign w:val="baseline"/>
                      <w:lang w:val="en-US" w:eastAsia="zh-CN"/>
                    </w:rPr>
                  </w:pPr>
                  <w:r>
                    <w:rPr>
                      <w:rFonts w:hint="default"/>
                      <w:color w:val="auto"/>
                      <w:sz w:val="21"/>
                      <w:szCs w:val="21"/>
                      <w:vertAlign w:val="baseline"/>
                      <w:lang w:val="en-US" w:eastAsia="zh-CN"/>
                    </w:rPr>
                    <w:t>清罐废液</w:t>
                  </w:r>
                </w:p>
              </w:tc>
              <w:tc>
                <w:tcPr>
                  <w:tcW w:w="1364" w:type="dxa"/>
                  <w:tcBorders>
                    <w:tl2br w:val="nil"/>
                    <w:tr2bl w:val="nil"/>
                  </w:tcBorders>
                  <w:noWrap w:val="0"/>
                  <w:vAlign w:val="center"/>
                </w:tcPr>
                <w:p w14:paraId="1C6F69D0">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油罐清理</w:t>
                  </w:r>
                </w:p>
              </w:tc>
              <w:tc>
                <w:tcPr>
                  <w:tcW w:w="1077" w:type="dxa"/>
                  <w:tcBorders>
                    <w:tl2br w:val="nil"/>
                    <w:tr2bl w:val="nil"/>
                  </w:tcBorders>
                  <w:noWrap w:val="0"/>
                  <w:vAlign w:val="center"/>
                </w:tcPr>
                <w:p w14:paraId="67CE5AD9">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矿物油</w:t>
                  </w:r>
                </w:p>
              </w:tc>
              <w:tc>
                <w:tcPr>
                  <w:tcW w:w="1064" w:type="dxa"/>
                  <w:tcBorders>
                    <w:tl2br w:val="nil"/>
                    <w:tr2bl w:val="nil"/>
                  </w:tcBorders>
                  <w:noWrap w:val="0"/>
                  <w:vAlign w:val="center"/>
                </w:tcPr>
                <w:p w14:paraId="78DD2906">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default" w:ascii="Times New Roman" w:hAnsi="Times New Roman" w:cs="Times New Roman"/>
                      <w:color w:val="auto"/>
                      <w:sz w:val="21"/>
                      <w:szCs w:val="21"/>
                      <w:vertAlign w:val="baseline"/>
                      <w:lang w:val="en-US" w:eastAsia="zh-CN"/>
                    </w:rPr>
                  </w:pPr>
                  <w:r>
                    <w:rPr>
                      <w:rFonts w:hint="eastAsia"/>
                      <w:color w:val="auto"/>
                      <w:sz w:val="21"/>
                      <w:szCs w:val="21"/>
                      <w:vertAlign w:val="baseline"/>
                      <w:lang w:val="en-US" w:eastAsia="zh-CN"/>
                    </w:rPr>
                    <w:t>矿物油</w:t>
                  </w:r>
                </w:p>
              </w:tc>
              <w:tc>
                <w:tcPr>
                  <w:tcW w:w="1090" w:type="dxa"/>
                  <w:tcBorders>
                    <w:tl2br w:val="nil"/>
                    <w:tr2bl w:val="nil"/>
                  </w:tcBorders>
                  <w:noWrap w:val="0"/>
                  <w:vAlign w:val="center"/>
                </w:tcPr>
                <w:p w14:paraId="4AD3F19B">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eastAsia"/>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危险废物</w:t>
                  </w:r>
                </w:p>
              </w:tc>
              <w:tc>
                <w:tcPr>
                  <w:tcW w:w="1664" w:type="dxa"/>
                  <w:tcBorders>
                    <w:tl2br w:val="nil"/>
                    <w:tr2bl w:val="nil"/>
                  </w:tcBorders>
                  <w:noWrap w:val="0"/>
                  <w:vAlign w:val="center"/>
                </w:tcPr>
                <w:p w14:paraId="66B6B953">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HW08（900-249-08）</w:t>
                  </w:r>
                </w:p>
              </w:tc>
              <w:tc>
                <w:tcPr>
                  <w:tcW w:w="1232" w:type="dxa"/>
                  <w:tcBorders>
                    <w:tl2br w:val="nil"/>
                    <w:tr2bl w:val="nil"/>
                  </w:tcBorders>
                  <w:noWrap w:val="0"/>
                  <w:vAlign w:val="center"/>
                </w:tcPr>
                <w:p w14:paraId="66CEC116">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0.8</w:t>
                  </w:r>
                </w:p>
              </w:tc>
            </w:tr>
            <w:tr w14:paraId="67CF26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61" w:type="dxa"/>
                  <w:tcBorders>
                    <w:tl2br w:val="nil"/>
                    <w:tr2bl w:val="nil"/>
                  </w:tcBorders>
                  <w:noWrap w:val="0"/>
                  <w:vAlign w:val="center"/>
                </w:tcPr>
                <w:p w14:paraId="43F1FAB2">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w:t>
                  </w:r>
                </w:p>
              </w:tc>
              <w:tc>
                <w:tcPr>
                  <w:tcW w:w="1109" w:type="dxa"/>
                  <w:tcBorders>
                    <w:tl2br w:val="nil"/>
                    <w:tr2bl w:val="nil"/>
                  </w:tcBorders>
                  <w:noWrap w:val="0"/>
                  <w:vAlign w:val="center"/>
                </w:tcPr>
                <w:p w14:paraId="414B02D3">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eastAsia="宋体" w:cs="Times New Roman"/>
                      <w:color w:val="auto"/>
                      <w:sz w:val="21"/>
                      <w:szCs w:val="21"/>
                      <w:lang w:val="en-US" w:eastAsia="zh-CN"/>
                    </w:rPr>
                    <w:t>含油污泥</w:t>
                  </w:r>
                </w:p>
              </w:tc>
              <w:tc>
                <w:tcPr>
                  <w:tcW w:w="1364" w:type="dxa"/>
                  <w:tcBorders>
                    <w:tl2br w:val="nil"/>
                    <w:tr2bl w:val="nil"/>
                  </w:tcBorders>
                  <w:noWrap w:val="0"/>
                  <w:vAlign w:val="center"/>
                </w:tcPr>
                <w:p w14:paraId="5B9D768D">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default" w:ascii="Times New Roman" w:hAnsi="Times New Roman" w:cs="Times New Roman"/>
                      <w:color w:val="auto"/>
                      <w:sz w:val="21"/>
                      <w:szCs w:val="21"/>
                      <w:vertAlign w:val="baseline"/>
                      <w:lang w:val="en-US" w:eastAsia="zh-CN"/>
                    </w:rPr>
                  </w:pPr>
                  <w:r>
                    <w:rPr>
                      <w:rFonts w:hint="eastAsia"/>
                      <w:color w:val="auto"/>
                      <w:sz w:val="21"/>
                      <w:szCs w:val="21"/>
                      <w:lang w:val="en-US" w:eastAsia="zh-CN"/>
                    </w:rPr>
                    <w:t>隔油池、一体化（</w:t>
                  </w:r>
                  <w:r>
                    <w:rPr>
                      <w:rFonts w:hint="default" w:ascii="Times New Roman" w:hAnsi="Times New Roman" w:cs="Times New Roman"/>
                      <w:color w:val="auto"/>
                      <w:sz w:val="21"/>
                      <w:szCs w:val="21"/>
                      <w:lang w:val="en-US" w:eastAsia="zh-CN"/>
                    </w:rPr>
                    <w:t>MBR</w:t>
                  </w:r>
                  <w:r>
                    <w:rPr>
                      <w:rFonts w:hint="eastAsia"/>
                      <w:color w:val="auto"/>
                      <w:sz w:val="21"/>
                      <w:szCs w:val="21"/>
                      <w:lang w:val="en-US" w:eastAsia="zh-CN"/>
                    </w:rPr>
                    <w:t>）洗车废水处理设施</w:t>
                  </w:r>
                </w:p>
              </w:tc>
              <w:tc>
                <w:tcPr>
                  <w:tcW w:w="1077" w:type="dxa"/>
                  <w:tcBorders>
                    <w:tl2br w:val="nil"/>
                    <w:tr2bl w:val="nil"/>
                  </w:tcBorders>
                  <w:noWrap w:val="0"/>
                  <w:vAlign w:val="center"/>
                </w:tcPr>
                <w:p w14:paraId="108464E4">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eastAsia="宋体" w:cs="Times New Roman"/>
                      <w:color w:val="auto"/>
                      <w:sz w:val="21"/>
                      <w:szCs w:val="21"/>
                      <w:lang w:val="en-US" w:eastAsia="zh-CN"/>
                    </w:rPr>
                    <w:t>污泥</w:t>
                  </w:r>
                </w:p>
              </w:tc>
              <w:tc>
                <w:tcPr>
                  <w:tcW w:w="1064" w:type="dxa"/>
                  <w:tcBorders>
                    <w:tl2br w:val="nil"/>
                    <w:tr2bl w:val="nil"/>
                  </w:tcBorders>
                  <w:noWrap w:val="0"/>
                  <w:vAlign w:val="center"/>
                </w:tcPr>
                <w:p w14:paraId="6E6AC7A1">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default" w:ascii="Times New Roman" w:hAnsi="Times New Roman" w:cs="Times New Roman"/>
                      <w:color w:val="auto"/>
                      <w:sz w:val="21"/>
                      <w:szCs w:val="21"/>
                      <w:vertAlign w:val="baseline"/>
                      <w:lang w:val="en-US" w:eastAsia="zh-CN"/>
                    </w:rPr>
                  </w:pPr>
                  <w:r>
                    <w:rPr>
                      <w:rFonts w:hint="eastAsia"/>
                      <w:color w:val="auto"/>
                      <w:sz w:val="21"/>
                      <w:szCs w:val="21"/>
                      <w:vertAlign w:val="baseline"/>
                      <w:lang w:val="en-US" w:eastAsia="zh-CN"/>
                    </w:rPr>
                    <w:t>矿物油</w:t>
                  </w:r>
                </w:p>
              </w:tc>
              <w:tc>
                <w:tcPr>
                  <w:tcW w:w="1090" w:type="dxa"/>
                  <w:tcBorders>
                    <w:tl2br w:val="nil"/>
                    <w:tr2bl w:val="nil"/>
                  </w:tcBorders>
                  <w:noWrap w:val="0"/>
                  <w:vAlign w:val="center"/>
                </w:tcPr>
                <w:p w14:paraId="7150C928">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危险废物</w:t>
                  </w:r>
                </w:p>
              </w:tc>
              <w:tc>
                <w:tcPr>
                  <w:tcW w:w="1664" w:type="dxa"/>
                  <w:tcBorders>
                    <w:tl2br w:val="nil"/>
                    <w:tr2bl w:val="nil"/>
                  </w:tcBorders>
                  <w:noWrap w:val="0"/>
                  <w:vAlign w:val="center"/>
                </w:tcPr>
                <w:p w14:paraId="63F43431">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HW08（900-210-08）</w:t>
                  </w:r>
                </w:p>
              </w:tc>
              <w:tc>
                <w:tcPr>
                  <w:tcW w:w="1232" w:type="dxa"/>
                  <w:tcBorders>
                    <w:tl2br w:val="nil"/>
                    <w:tr2bl w:val="nil"/>
                  </w:tcBorders>
                  <w:noWrap w:val="0"/>
                  <w:vAlign w:val="center"/>
                </w:tcPr>
                <w:p w14:paraId="628D3480">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1.0</w:t>
                  </w:r>
                </w:p>
              </w:tc>
            </w:tr>
            <w:tr w14:paraId="7C09CF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61" w:type="dxa"/>
                  <w:tcBorders>
                    <w:tl2br w:val="nil"/>
                    <w:tr2bl w:val="nil"/>
                  </w:tcBorders>
                  <w:noWrap w:val="0"/>
                  <w:vAlign w:val="center"/>
                </w:tcPr>
                <w:p w14:paraId="3A77CFD1">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3</w:t>
                  </w:r>
                </w:p>
              </w:tc>
              <w:tc>
                <w:tcPr>
                  <w:tcW w:w="1109" w:type="dxa"/>
                  <w:tcBorders>
                    <w:tl2br w:val="nil"/>
                    <w:tr2bl w:val="nil"/>
                  </w:tcBorders>
                  <w:noWrap w:val="0"/>
                  <w:vAlign w:val="center"/>
                </w:tcPr>
                <w:p w14:paraId="581C3839">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default" w:ascii="Times New Roman" w:hAnsi="Times New Roman" w:cs="Times New Roman"/>
                      <w:color w:val="auto"/>
                      <w:sz w:val="21"/>
                      <w:szCs w:val="21"/>
                      <w:vertAlign w:val="baseline"/>
                      <w:lang w:val="en-US" w:eastAsia="zh-CN"/>
                    </w:rPr>
                  </w:pPr>
                  <w:r>
                    <w:rPr>
                      <w:rFonts w:hint="eastAsia"/>
                      <w:color w:val="auto"/>
                      <w:sz w:val="21"/>
                      <w:szCs w:val="21"/>
                      <w:vertAlign w:val="baseline"/>
                      <w:lang w:val="en-US" w:eastAsia="zh-CN"/>
                    </w:rPr>
                    <w:t>化粪池污泥</w:t>
                  </w:r>
                </w:p>
              </w:tc>
              <w:tc>
                <w:tcPr>
                  <w:tcW w:w="1364" w:type="dxa"/>
                  <w:tcBorders>
                    <w:tl2br w:val="nil"/>
                    <w:tr2bl w:val="nil"/>
                  </w:tcBorders>
                  <w:noWrap w:val="0"/>
                  <w:vAlign w:val="center"/>
                </w:tcPr>
                <w:p w14:paraId="23184997">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default" w:ascii="Times New Roman" w:hAnsi="Times New Roman" w:cs="Times New Roman"/>
                      <w:color w:val="auto"/>
                      <w:sz w:val="21"/>
                      <w:szCs w:val="21"/>
                      <w:vertAlign w:val="baseline"/>
                      <w:lang w:val="en-US" w:eastAsia="zh-CN"/>
                    </w:rPr>
                  </w:pPr>
                  <w:r>
                    <w:rPr>
                      <w:rFonts w:hint="eastAsia"/>
                      <w:color w:val="auto"/>
                      <w:sz w:val="21"/>
                      <w:szCs w:val="21"/>
                      <w:lang w:val="en-US" w:eastAsia="zh-CN"/>
                    </w:rPr>
                    <w:t>化粪池</w:t>
                  </w:r>
                </w:p>
              </w:tc>
              <w:tc>
                <w:tcPr>
                  <w:tcW w:w="1077" w:type="dxa"/>
                  <w:tcBorders>
                    <w:tl2br w:val="nil"/>
                    <w:tr2bl w:val="nil"/>
                  </w:tcBorders>
                  <w:noWrap w:val="0"/>
                  <w:vAlign w:val="center"/>
                </w:tcPr>
                <w:p w14:paraId="335620DF">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eastAsia="宋体" w:cs="Times New Roman"/>
                      <w:color w:val="auto"/>
                      <w:sz w:val="21"/>
                      <w:szCs w:val="21"/>
                      <w:lang w:val="en-US" w:eastAsia="zh-CN"/>
                    </w:rPr>
                    <w:t>污泥</w:t>
                  </w:r>
                </w:p>
              </w:tc>
              <w:tc>
                <w:tcPr>
                  <w:tcW w:w="1064" w:type="dxa"/>
                  <w:tcBorders>
                    <w:tl2br w:val="nil"/>
                    <w:tr2bl w:val="nil"/>
                  </w:tcBorders>
                  <w:noWrap w:val="0"/>
                  <w:vAlign w:val="center"/>
                </w:tcPr>
                <w:p w14:paraId="61961D84">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lang w:val="en-US" w:eastAsia="zh-CN"/>
                    </w:rPr>
                    <w:t>/</w:t>
                  </w:r>
                </w:p>
              </w:tc>
              <w:tc>
                <w:tcPr>
                  <w:tcW w:w="1090" w:type="dxa"/>
                  <w:tcBorders>
                    <w:tl2br w:val="nil"/>
                    <w:tr2bl w:val="nil"/>
                  </w:tcBorders>
                  <w:noWrap w:val="0"/>
                  <w:vAlign w:val="center"/>
                </w:tcPr>
                <w:p w14:paraId="029A4892">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default" w:ascii="Times New Roman" w:hAnsi="Times New Roman" w:cs="Times New Roman"/>
                      <w:color w:val="auto"/>
                      <w:sz w:val="21"/>
                      <w:szCs w:val="21"/>
                      <w:vertAlign w:val="baseline"/>
                      <w:lang w:val="en-US" w:eastAsia="zh-CN"/>
                    </w:rPr>
                  </w:pPr>
                  <w:r>
                    <w:rPr>
                      <w:rFonts w:hAnsi="宋体"/>
                      <w:color w:val="auto"/>
                      <w:sz w:val="21"/>
                      <w:szCs w:val="21"/>
                    </w:rPr>
                    <w:t>一般固废</w:t>
                  </w:r>
                </w:p>
              </w:tc>
              <w:tc>
                <w:tcPr>
                  <w:tcW w:w="1664" w:type="dxa"/>
                  <w:tcBorders>
                    <w:tl2br w:val="nil"/>
                    <w:tr2bl w:val="nil"/>
                  </w:tcBorders>
                  <w:noWrap w:val="0"/>
                  <w:vAlign w:val="center"/>
                </w:tcPr>
                <w:p w14:paraId="1347679C">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SW</w:t>
                  </w:r>
                  <w:r>
                    <w:rPr>
                      <w:rFonts w:hint="eastAsia" w:ascii="Times New Roman" w:hAnsi="Times New Roman" w:cs="Times New Roman"/>
                      <w:color w:val="auto"/>
                      <w:sz w:val="21"/>
                      <w:szCs w:val="21"/>
                      <w:vertAlign w:val="baseline"/>
                      <w:lang w:val="en-US" w:eastAsia="zh-CN"/>
                    </w:rPr>
                    <w:t>07（900-099-S07）</w:t>
                  </w:r>
                </w:p>
              </w:tc>
              <w:tc>
                <w:tcPr>
                  <w:tcW w:w="1232" w:type="dxa"/>
                  <w:tcBorders>
                    <w:tl2br w:val="nil"/>
                    <w:tr2bl w:val="nil"/>
                  </w:tcBorders>
                  <w:noWrap w:val="0"/>
                  <w:vAlign w:val="center"/>
                </w:tcPr>
                <w:p w14:paraId="6E7D9A59">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0.4</w:t>
                  </w:r>
                </w:p>
              </w:tc>
            </w:tr>
            <w:tr w14:paraId="7AFC37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61" w:type="dxa"/>
                  <w:tcBorders>
                    <w:tl2br w:val="nil"/>
                    <w:tr2bl w:val="nil"/>
                  </w:tcBorders>
                  <w:noWrap w:val="0"/>
                  <w:vAlign w:val="center"/>
                </w:tcPr>
                <w:p w14:paraId="1EC8A23D">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4</w:t>
                  </w:r>
                </w:p>
              </w:tc>
              <w:tc>
                <w:tcPr>
                  <w:tcW w:w="1109" w:type="dxa"/>
                  <w:tcBorders>
                    <w:tl2br w:val="nil"/>
                    <w:tr2bl w:val="nil"/>
                  </w:tcBorders>
                  <w:noWrap w:val="0"/>
                  <w:vAlign w:val="center"/>
                </w:tcPr>
                <w:p w14:paraId="34800B7F">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废吸油毡</w:t>
                  </w:r>
                </w:p>
              </w:tc>
              <w:tc>
                <w:tcPr>
                  <w:tcW w:w="1364" w:type="dxa"/>
                  <w:tcBorders>
                    <w:tl2br w:val="nil"/>
                    <w:tr2bl w:val="nil"/>
                  </w:tcBorders>
                  <w:noWrap w:val="0"/>
                  <w:vAlign w:val="center"/>
                </w:tcPr>
                <w:p w14:paraId="7487C70C">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卸油、加油</w:t>
                  </w:r>
                </w:p>
              </w:tc>
              <w:tc>
                <w:tcPr>
                  <w:tcW w:w="1077" w:type="dxa"/>
                  <w:tcBorders>
                    <w:tl2br w:val="nil"/>
                    <w:tr2bl w:val="nil"/>
                  </w:tcBorders>
                  <w:noWrap w:val="0"/>
                  <w:vAlign w:val="center"/>
                </w:tcPr>
                <w:p w14:paraId="449D2D86">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吸油毡</w:t>
                  </w:r>
                </w:p>
              </w:tc>
              <w:tc>
                <w:tcPr>
                  <w:tcW w:w="1064" w:type="dxa"/>
                  <w:tcBorders>
                    <w:tl2br w:val="nil"/>
                    <w:tr2bl w:val="nil"/>
                  </w:tcBorders>
                  <w:noWrap w:val="0"/>
                  <w:vAlign w:val="center"/>
                </w:tcPr>
                <w:p w14:paraId="360A4AA9">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eastAsia" w:ascii="Times New Roman" w:hAnsi="Times New Roman" w:cs="Times New Roman"/>
                      <w:color w:val="auto"/>
                      <w:sz w:val="21"/>
                      <w:szCs w:val="21"/>
                      <w:vertAlign w:val="baseline"/>
                      <w:lang w:val="en-US" w:eastAsia="zh-CN"/>
                    </w:rPr>
                  </w:pPr>
                  <w:r>
                    <w:rPr>
                      <w:rFonts w:hint="eastAsia"/>
                      <w:color w:val="auto"/>
                      <w:sz w:val="21"/>
                      <w:szCs w:val="21"/>
                      <w:vertAlign w:val="baseline"/>
                      <w:lang w:val="en-US" w:eastAsia="zh-CN"/>
                    </w:rPr>
                    <w:t>矿物油</w:t>
                  </w:r>
                </w:p>
              </w:tc>
              <w:tc>
                <w:tcPr>
                  <w:tcW w:w="1090" w:type="dxa"/>
                  <w:tcBorders>
                    <w:tl2br w:val="nil"/>
                    <w:tr2bl w:val="nil"/>
                  </w:tcBorders>
                  <w:noWrap w:val="0"/>
                  <w:vAlign w:val="center"/>
                </w:tcPr>
                <w:p w14:paraId="3CD0D75B">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危险废物</w:t>
                  </w:r>
                </w:p>
              </w:tc>
              <w:tc>
                <w:tcPr>
                  <w:tcW w:w="1664" w:type="dxa"/>
                  <w:tcBorders>
                    <w:tl2br w:val="nil"/>
                    <w:tr2bl w:val="nil"/>
                  </w:tcBorders>
                  <w:noWrap w:val="0"/>
                  <w:vAlign w:val="center"/>
                </w:tcPr>
                <w:p w14:paraId="0038E3D4">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HW49（900-041-49）</w:t>
                  </w:r>
                </w:p>
              </w:tc>
              <w:tc>
                <w:tcPr>
                  <w:tcW w:w="1232" w:type="dxa"/>
                  <w:tcBorders>
                    <w:tl2br w:val="nil"/>
                    <w:tr2bl w:val="nil"/>
                  </w:tcBorders>
                  <w:noWrap w:val="0"/>
                  <w:vAlign w:val="center"/>
                </w:tcPr>
                <w:p w14:paraId="7E386B8E">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0.2</w:t>
                  </w:r>
                </w:p>
              </w:tc>
            </w:tr>
            <w:tr w14:paraId="262D1A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661" w:type="dxa"/>
                  <w:tcBorders>
                    <w:tl2br w:val="nil"/>
                    <w:tr2bl w:val="nil"/>
                  </w:tcBorders>
                  <w:noWrap w:val="0"/>
                  <w:vAlign w:val="center"/>
                </w:tcPr>
                <w:p w14:paraId="2BA321FE">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5</w:t>
                  </w:r>
                </w:p>
              </w:tc>
              <w:tc>
                <w:tcPr>
                  <w:tcW w:w="1109" w:type="dxa"/>
                  <w:tcBorders>
                    <w:tl2br w:val="nil"/>
                    <w:tr2bl w:val="nil"/>
                  </w:tcBorders>
                  <w:noWrap w:val="0"/>
                  <w:vAlign w:val="center"/>
                </w:tcPr>
                <w:p w14:paraId="61836555">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废滤芯</w:t>
                  </w:r>
                </w:p>
              </w:tc>
              <w:tc>
                <w:tcPr>
                  <w:tcW w:w="1364" w:type="dxa"/>
                  <w:tcBorders>
                    <w:tl2br w:val="nil"/>
                    <w:tr2bl w:val="nil"/>
                  </w:tcBorders>
                  <w:noWrap w:val="0"/>
                  <w:vAlign w:val="center"/>
                </w:tcPr>
                <w:p w14:paraId="7D4A5C13">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加油机</w:t>
                  </w:r>
                </w:p>
              </w:tc>
              <w:tc>
                <w:tcPr>
                  <w:tcW w:w="1077" w:type="dxa"/>
                  <w:tcBorders>
                    <w:tl2br w:val="nil"/>
                    <w:tr2bl w:val="nil"/>
                  </w:tcBorders>
                  <w:noWrap w:val="0"/>
                  <w:vAlign w:val="center"/>
                </w:tcPr>
                <w:p w14:paraId="449B1B3D">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滤芯</w:t>
                  </w:r>
                </w:p>
              </w:tc>
              <w:tc>
                <w:tcPr>
                  <w:tcW w:w="1064" w:type="dxa"/>
                  <w:tcBorders>
                    <w:tl2br w:val="nil"/>
                    <w:tr2bl w:val="nil"/>
                  </w:tcBorders>
                  <w:noWrap w:val="0"/>
                  <w:vAlign w:val="center"/>
                </w:tcPr>
                <w:p w14:paraId="53B7F389">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eastAsia" w:ascii="Times New Roman" w:hAnsi="Times New Roman" w:cs="Times New Roman"/>
                      <w:color w:val="auto"/>
                      <w:sz w:val="21"/>
                      <w:szCs w:val="21"/>
                      <w:vertAlign w:val="baseline"/>
                      <w:lang w:val="en-US" w:eastAsia="zh-CN"/>
                    </w:rPr>
                  </w:pPr>
                  <w:r>
                    <w:rPr>
                      <w:rFonts w:hint="eastAsia"/>
                      <w:color w:val="auto"/>
                      <w:sz w:val="21"/>
                      <w:szCs w:val="21"/>
                      <w:vertAlign w:val="baseline"/>
                      <w:lang w:val="en-US" w:eastAsia="zh-CN"/>
                    </w:rPr>
                    <w:t>矿物油</w:t>
                  </w:r>
                </w:p>
              </w:tc>
              <w:tc>
                <w:tcPr>
                  <w:tcW w:w="1090" w:type="dxa"/>
                  <w:tcBorders>
                    <w:tl2br w:val="nil"/>
                    <w:tr2bl w:val="nil"/>
                  </w:tcBorders>
                  <w:noWrap w:val="0"/>
                  <w:vAlign w:val="center"/>
                </w:tcPr>
                <w:p w14:paraId="6F355F0C">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危险废物</w:t>
                  </w:r>
                </w:p>
              </w:tc>
              <w:tc>
                <w:tcPr>
                  <w:tcW w:w="1664" w:type="dxa"/>
                  <w:tcBorders>
                    <w:tl2br w:val="nil"/>
                    <w:tr2bl w:val="nil"/>
                  </w:tcBorders>
                  <w:noWrap w:val="0"/>
                  <w:vAlign w:val="center"/>
                </w:tcPr>
                <w:p w14:paraId="60DA3BFD">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HW49（900-041-49）</w:t>
                  </w:r>
                </w:p>
              </w:tc>
              <w:tc>
                <w:tcPr>
                  <w:tcW w:w="1232" w:type="dxa"/>
                  <w:tcBorders>
                    <w:tl2br w:val="nil"/>
                    <w:tr2bl w:val="nil"/>
                  </w:tcBorders>
                  <w:noWrap w:val="0"/>
                  <w:vAlign w:val="center"/>
                </w:tcPr>
                <w:p w14:paraId="76A32B2F">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1.0</w:t>
                  </w:r>
                </w:p>
              </w:tc>
            </w:tr>
            <w:tr w14:paraId="368024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661" w:type="dxa"/>
                  <w:tcBorders>
                    <w:tl2br w:val="nil"/>
                    <w:tr2bl w:val="nil"/>
                  </w:tcBorders>
                  <w:noWrap w:val="0"/>
                  <w:vAlign w:val="center"/>
                </w:tcPr>
                <w:p w14:paraId="19364793">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default" w:ascii="Times New Roman" w:hAnsi="Times New Roman" w:cs="Times New Roman"/>
                      <w:color w:val="FF0000"/>
                      <w:sz w:val="21"/>
                      <w:szCs w:val="21"/>
                      <w:vertAlign w:val="baseline"/>
                      <w:lang w:val="en-US" w:eastAsia="zh-CN"/>
                    </w:rPr>
                  </w:pPr>
                  <w:r>
                    <w:rPr>
                      <w:rFonts w:hint="eastAsia" w:ascii="Times New Roman" w:hAnsi="Times New Roman" w:cs="Times New Roman"/>
                      <w:color w:val="FF0000"/>
                      <w:sz w:val="21"/>
                      <w:szCs w:val="21"/>
                      <w:vertAlign w:val="baseline"/>
                      <w:lang w:val="en-US" w:eastAsia="zh-CN"/>
                    </w:rPr>
                    <w:t>6</w:t>
                  </w:r>
                </w:p>
              </w:tc>
              <w:tc>
                <w:tcPr>
                  <w:tcW w:w="1109" w:type="dxa"/>
                  <w:tcBorders>
                    <w:tl2br w:val="nil"/>
                    <w:tr2bl w:val="nil"/>
                  </w:tcBorders>
                  <w:noWrap w:val="0"/>
                  <w:vAlign w:val="center"/>
                </w:tcPr>
                <w:p w14:paraId="36873FCA">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eastAsia" w:ascii="Times New Roman" w:hAnsi="Times New Roman" w:cs="Times New Roman"/>
                      <w:color w:val="FF0000"/>
                      <w:sz w:val="21"/>
                      <w:szCs w:val="21"/>
                      <w:vertAlign w:val="baseline"/>
                      <w:lang w:val="en-US" w:eastAsia="zh-CN"/>
                    </w:rPr>
                  </w:pPr>
                  <w:r>
                    <w:rPr>
                      <w:rFonts w:hint="eastAsia" w:ascii="Times New Roman" w:hAnsi="Times New Roman" w:cs="Times New Roman"/>
                      <w:color w:val="FF0000"/>
                      <w:sz w:val="21"/>
                      <w:szCs w:val="21"/>
                      <w:vertAlign w:val="baseline"/>
                      <w:lang w:val="en-US" w:eastAsia="zh-CN"/>
                    </w:rPr>
                    <w:t>废含油抹布手套</w:t>
                  </w:r>
                </w:p>
              </w:tc>
              <w:tc>
                <w:tcPr>
                  <w:tcW w:w="1364" w:type="dxa"/>
                  <w:tcBorders>
                    <w:tl2br w:val="nil"/>
                    <w:tr2bl w:val="nil"/>
                  </w:tcBorders>
                  <w:noWrap w:val="0"/>
                  <w:vAlign w:val="center"/>
                </w:tcPr>
                <w:p w14:paraId="24BE82D5">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eastAsia" w:ascii="Times New Roman" w:hAnsi="Times New Roman" w:cs="Times New Roman"/>
                      <w:color w:val="FF0000"/>
                      <w:sz w:val="21"/>
                      <w:szCs w:val="21"/>
                      <w:vertAlign w:val="baseline"/>
                      <w:lang w:val="en-US" w:eastAsia="zh-CN"/>
                    </w:rPr>
                  </w:pPr>
                  <w:r>
                    <w:rPr>
                      <w:rFonts w:hint="eastAsia" w:ascii="Times New Roman" w:hAnsi="Times New Roman" w:cs="Times New Roman"/>
                      <w:color w:val="FF0000"/>
                      <w:sz w:val="21"/>
                      <w:szCs w:val="21"/>
                      <w:vertAlign w:val="baseline"/>
                      <w:lang w:val="en-US" w:eastAsia="zh-CN"/>
                    </w:rPr>
                    <w:t>卸油、加油、维修保养</w:t>
                  </w:r>
                </w:p>
              </w:tc>
              <w:tc>
                <w:tcPr>
                  <w:tcW w:w="1077" w:type="dxa"/>
                  <w:tcBorders>
                    <w:tl2br w:val="nil"/>
                    <w:tr2bl w:val="nil"/>
                  </w:tcBorders>
                  <w:noWrap w:val="0"/>
                  <w:vAlign w:val="center"/>
                </w:tcPr>
                <w:p w14:paraId="6931988B">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eastAsia" w:ascii="Times New Roman" w:hAnsi="Times New Roman" w:cs="Times New Roman"/>
                      <w:color w:val="FF0000"/>
                      <w:sz w:val="21"/>
                      <w:szCs w:val="21"/>
                      <w:vertAlign w:val="baseline"/>
                      <w:lang w:val="en-US" w:eastAsia="zh-CN"/>
                    </w:rPr>
                  </w:pPr>
                  <w:r>
                    <w:rPr>
                      <w:rFonts w:hint="eastAsia" w:ascii="Times New Roman" w:hAnsi="Times New Roman" w:cs="Times New Roman"/>
                      <w:color w:val="FF0000"/>
                      <w:sz w:val="21"/>
                      <w:szCs w:val="21"/>
                      <w:vertAlign w:val="baseline"/>
                      <w:lang w:val="en-US" w:eastAsia="zh-CN"/>
                    </w:rPr>
                    <w:t>抹布手套</w:t>
                  </w:r>
                </w:p>
              </w:tc>
              <w:tc>
                <w:tcPr>
                  <w:tcW w:w="1064" w:type="dxa"/>
                  <w:tcBorders>
                    <w:tl2br w:val="nil"/>
                    <w:tr2bl w:val="nil"/>
                  </w:tcBorders>
                  <w:noWrap w:val="0"/>
                  <w:vAlign w:val="center"/>
                </w:tcPr>
                <w:p w14:paraId="1154C1AC">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eastAsia" w:ascii="Times New Roman" w:hAnsi="Times New Roman" w:cs="Times New Roman"/>
                      <w:color w:val="FF0000"/>
                      <w:sz w:val="21"/>
                      <w:szCs w:val="21"/>
                      <w:vertAlign w:val="baseline"/>
                      <w:lang w:val="en-US" w:eastAsia="zh-CN"/>
                    </w:rPr>
                  </w:pPr>
                  <w:r>
                    <w:rPr>
                      <w:rFonts w:hint="eastAsia"/>
                      <w:color w:val="FF0000"/>
                      <w:sz w:val="21"/>
                      <w:szCs w:val="21"/>
                      <w:vertAlign w:val="baseline"/>
                      <w:lang w:val="en-US" w:eastAsia="zh-CN"/>
                    </w:rPr>
                    <w:t>矿物油</w:t>
                  </w:r>
                </w:p>
              </w:tc>
              <w:tc>
                <w:tcPr>
                  <w:tcW w:w="1090" w:type="dxa"/>
                  <w:tcBorders>
                    <w:tl2br w:val="nil"/>
                    <w:tr2bl w:val="nil"/>
                  </w:tcBorders>
                  <w:noWrap w:val="0"/>
                  <w:vAlign w:val="center"/>
                </w:tcPr>
                <w:p w14:paraId="47AC83BD">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eastAsia" w:ascii="Times New Roman" w:hAnsi="Times New Roman" w:cs="Times New Roman"/>
                      <w:color w:val="FF0000"/>
                      <w:sz w:val="21"/>
                      <w:szCs w:val="21"/>
                      <w:vertAlign w:val="baseline"/>
                      <w:lang w:val="en-US" w:eastAsia="zh-CN"/>
                    </w:rPr>
                  </w:pPr>
                  <w:r>
                    <w:rPr>
                      <w:rFonts w:hint="eastAsia" w:ascii="Times New Roman" w:hAnsi="Times New Roman" w:cs="Times New Roman"/>
                      <w:color w:val="FF0000"/>
                      <w:sz w:val="21"/>
                      <w:szCs w:val="21"/>
                      <w:vertAlign w:val="baseline"/>
                      <w:lang w:val="en-US" w:eastAsia="zh-CN"/>
                    </w:rPr>
                    <w:t>危险废物</w:t>
                  </w:r>
                </w:p>
              </w:tc>
              <w:tc>
                <w:tcPr>
                  <w:tcW w:w="1664" w:type="dxa"/>
                  <w:tcBorders>
                    <w:tl2br w:val="nil"/>
                    <w:tr2bl w:val="nil"/>
                  </w:tcBorders>
                  <w:noWrap w:val="0"/>
                  <w:vAlign w:val="center"/>
                </w:tcPr>
                <w:p w14:paraId="069540E1">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eastAsia" w:ascii="Times New Roman" w:hAnsi="Times New Roman" w:cs="Times New Roman"/>
                      <w:color w:val="FF0000"/>
                      <w:sz w:val="21"/>
                      <w:szCs w:val="21"/>
                      <w:vertAlign w:val="baseline"/>
                      <w:lang w:val="en-US" w:eastAsia="zh-CN"/>
                    </w:rPr>
                  </w:pPr>
                  <w:r>
                    <w:rPr>
                      <w:rFonts w:hint="eastAsia" w:ascii="Times New Roman" w:hAnsi="Times New Roman" w:cs="Times New Roman"/>
                      <w:color w:val="FF0000"/>
                      <w:sz w:val="21"/>
                      <w:szCs w:val="21"/>
                      <w:vertAlign w:val="baseline"/>
                      <w:lang w:val="en-US" w:eastAsia="zh-CN"/>
                    </w:rPr>
                    <w:t>HW49（900-041-49）</w:t>
                  </w:r>
                </w:p>
              </w:tc>
              <w:tc>
                <w:tcPr>
                  <w:tcW w:w="1232" w:type="dxa"/>
                  <w:tcBorders>
                    <w:tl2br w:val="nil"/>
                    <w:tr2bl w:val="nil"/>
                  </w:tcBorders>
                  <w:noWrap w:val="0"/>
                  <w:vAlign w:val="center"/>
                </w:tcPr>
                <w:p w14:paraId="79767AE3">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default" w:ascii="Times New Roman" w:hAnsi="Times New Roman" w:cs="Times New Roman"/>
                      <w:color w:val="FF0000"/>
                      <w:sz w:val="21"/>
                      <w:szCs w:val="21"/>
                      <w:vertAlign w:val="baseline"/>
                      <w:lang w:val="en-US" w:eastAsia="zh-CN"/>
                    </w:rPr>
                  </w:pPr>
                  <w:r>
                    <w:rPr>
                      <w:rFonts w:hint="eastAsia" w:ascii="Times New Roman" w:hAnsi="Times New Roman" w:cs="Times New Roman"/>
                      <w:color w:val="FF0000"/>
                      <w:sz w:val="21"/>
                      <w:szCs w:val="21"/>
                      <w:vertAlign w:val="baseline"/>
                      <w:lang w:val="en-US" w:eastAsia="zh-CN"/>
                    </w:rPr>
                    <w:t>0.05</w:t>
                  </w:r>
                </w:p>
              </w:tc>
            </w:tr>
            <w:tr w14:paraId="70A158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61" w:type="dxa"/>
                  <w:tcBorders>
                    <w:tl2br w:val="nil"/>
                    <w:tr2bl w:val="nil"/>
                  </w:tcBorders>
                  <w:noWrap w:val="0"/>
                  <w:vAlign w:val="center"/>
                </w:tcPr>
                <w:p w14:paraId="1BC523AD">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7</w:t>
                  </w:r>
                </w:p>
              </w:tc>
              <w:tc>
                <w:tcPr>
                  <w:tcW w:w="1109" w:type="dxa"/>
                  <w:tcBorders>
                    <w:tl2br w:val="nil"/>
                    <w:tr2bl w:val="nil"/>
                  </w:tcBorders>
                  <w:noWrap w:val="0"/>
                  <w:vAlign w:val="center"/>
                </w:tcPr>
                <w:p w14:paraId="24531560">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eastAsia"/>
                      <w:color w:val="auto"/>
                      <w:sz w:val="21"/>
                      <w:szCs w:val="21"/>
                      <w:vertAlign w:val="baseline"/>
                      <w:lang w:val="en-US" w:eastAsia="zh-CN"/>
                    </w:rPr>
                  </w:pPr>
                  <w:r>
                    <w:rPr>
                      <w:rFonts w:hint="eastAsia" w:ascii="宋体" w:hAnsi="宋体"/>
                      <w:color w:val="auto"/>
                      <w:sz w:val="21"/>
                      <w:szCs w:val="21"/>
                    </w:rPr>
                    <w:t>生活垃圾</w:t>
                  </w:r>
                </w:p>
              </w:tc>
              <w:tc>
                <w:tcPr>
                  <w:tcW w:w="1364" w:type="dxa"/>
                  <w:tcBorders>
                    <w:tl2br w:val="nil"/>
                    <w:tr2bl w:val="nil"/>
                  </w:tcBorders>
                  <w:noWrap w:val="0"/>
                  <w:vAlign w:val="center"/>
                </w:tcPr>
                <w:p w14:paraId="3C751171">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eastAsia"/>
                      <w:color w:val="auto"/>
                      <w:sz w:val="21"/>
                      <w:szCs w:val="21"/>
                      <w:vertAlign w:val="baseline"/>
                      <w:lang w:val="en-US" w:eastAsia="zh-CN"/>
                    </w:rPr>
                  </w:pPr>
                  <w:r>
                    <w:rPr>
                      <w:rFonts w:hint="eastAsia"/>
                      <w:color w:val="auto"/>
                      <w:sz w:val="21"/>
                      <w:szCs w:val="21"/>
                    </w:rPr>
                    <w:t>日常生活</w:t>
                  </w:r>
                </w:p>
              </w:tc>
              <w:tc>
                <w:tcPr>
                  <w:tcW w:w="1077" w:type="dxa"/>
                  <w:tcBorders>
                    <w:tl2br w:val="nil"/>
                    <w:tr2bl w:val="nil"/>
                  </w:tcBorders>
                  <w:noWrap w:val="0"/>
                  <w:vAlign w:val="center"/>
                </w:tcPr>
                <w:p w14:paraId="278C10B1">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生活垃圾</w:t>
                  </w:r>
                </w:p>
              </w:tc>
              <w:tc>
                <w:tcPr>
                  <w:tcW w:w="1064" w:type="dxa"/>
                  <w:tcBorders>
                    <w:tl2br w:val="nil"/>
                    <w:tr2bl w:val="nil"/>
                  </w:tcBorders>
                  <w:noWrap w:val="0"/>
                  <w:vAlign w:val="center"/>
                </w:tcPr>
                <w:p w14:paraId="290B668E">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eastAsia"/>
                      <w:color w:val="auto"/>
                      <w:sz w:val="21"/>
                      <w:szCs w:val="21"/>
                      <w:vertAlign w:val="baseline"/>
                      <w:lang w:val="en-US" w:eastAsia="zh-CN"/>
                    </w:rPr>
                  </w:pPr>
                  <w:r>
                    <w:rPr>
                      <w:rFonts w:hint="default" w:ascii="Times New Roman" w:hAnsi="Times New Roman" w:cs="Times New Roman"/>
                      <w:color w:val="auto"/>
                      <w:sz w:val="21"/>
                      <w:szCs w:val="21"/>
                      <w:lang w:val="en-US" w:eastAsia="zh-CN"/>
                    </w:rPr>
                    <w:t>/</w:t>
                  </w:r>
                </w:p>
              </w:tc>
              <w:tc>
                <w:tcPr>
                  <w:tcW w:w="1090" w:type="dxa"/>
                  <w:tcBorders>
                    <w:tl2br w:val="nil"/>
                    <w:tr2bl w:val="nil"/>
                  </w:tcBorders>
                  <w:noWrap w:val="0"/>
                  <w:vAlign w:val="center"/>
                </w:tcPr>
                <w:p w14:paraId="5F7D0E8B">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eastAsia"/>
                      <w:color w:val="auto"/>
                      <w:sz w:val="21"/>
                      <w:szCs w:val="21"/>
                      <w:vertAlign w:val="baseline"/>
                      <w:lang w:val="en-US" w:eastAsia="zh-CN"/>
                    </w:rPr>
                  </w:pPr>
                  <w:r>
                    <w:rPr>
                      <w:rFonts w:hint="eastAsia" w:ascii="宋体" w:hAnsi="宋体"/>
                      <w:color w:val="auto"/>
                      <w:sz w:val="21"/>
                      <w:szCs w:val="21"/>
                    </w:rPr>
                    <w:t>生活垃圾</w:t>
                  </w:r>
                </w:p>
              </w:tc>
              <w:tc>
                <w:tcPr>
                  <w:tcW w:w="1664" w:type="dxa"/>
                  <w:tcBorders>
                    <w:tl2br w:val="nil"/>
                    <w:tr2bl w:val="nil"/>
                  </w:tcBorders>
                  <w:noWrap w:val="0"/>
                  <w:vAlign w:val="center"/>
                </w:tcPr>
                <w:p w14:paraId="377D1D80">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SW6</w:t>
                  </w:r>
                  <w:r>
                    <w:rPr>
                      <w:rFonts w:hint="eastAsia" w:ascii="Times New Roman" w:hAnsi="Times New Roman" w:cs="Times New Roman"/>
                      <w:color w:val="auto"/>
                      <w:sz w:val="21"/>
                      <w:szCs w:val="21"/>
                      <w:vertAlign w:val="baseline"/>
                      <w:lang w:val="en-US" w:eastAsia="zh-CN"/>
                    </w:rPr>
                    <w:t>4</w:t>
                  </w:r>
                  <w:r>
                    <w:rPr>
                      <w:rFonts w:hint="default" w:ascii="Times New Roman" w:hAnsi="Times New Roman" w:cs="Times New Roman"/>
                      <w:color w:val="auto"/>
                      <w:sz w:val="21"/>
                      <w:szCs w:val="21"/>
                      <w:vertAlign w:val="baseline"/>
                      <w:lang w:val="en-US" w:eastAsia="zh-CN"/>
                    </w:rPr>
                    <w:t>（900-099-S64）</w:t>
                  </w:r>
                </w:p>
              </w:tc>
              <w:tc>
                <w:tcPr>
                  <w:tcW w:w="1232" w:type="dxa"/>
                  <w:tcBorders>
                    <w:tl2br w:val="nil"/>
                    <w:tr2bl w:val="nil"/>
                  </w:tcBorders>
                  <w:noWrap w:val="0"/>
                  <w:vAlign w:val="center"/>
                </w:tcPr>
                <w:p w14:paraId="0A92B19B">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3.1</w:t>
                  </w:r>
                </w:p>
              </w:tc>
            </w:tr>
          </w:tbl>
          <w:p w14:paraId="34140D6A">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color w:val="FF0000"/>
                <w:sz w:val="24"/>
                <w:szCs w:val="24"/>
              </w:rPr>
            </w:pPr>
            <w:r>
              <w:rPr>
                <w:rFonts w:hint="eastAsia" w:ascii="Times New Roman" w:hAnsi="Times New Roman" w:cs="Times New Roman"/>
                <w:color w:val="auto"/>
                <w:sz w:val="24"/>
                <w:szCs w:val="24"/>
                <w:lang w:val="en-US" w:eastAsia="zh-CN"/>
              </w:rPr>
              <w:t>根据</w:t>
            </w:r>
            <w:r>
              <w:rPr>
                <w:rFonts w:hint="default" w:ascii="Times New Roman" w:hAnsi="Times New Roman" w:cs="Times New Roman"/>
                <w:color w:val="auto"/>
                <w:sz w:val="24"/>
                <w:szCs w:val="24"/>
              </w:rPr>
              <w:t>《建设项目危险废物环境影响评价指南》（公告2017年第43号），本项目危险废物汇总情况详见表4</w:t>
            </w:r>
            <w:r>
              <w:rPr>
                <w:rFonts w:hint="eastAsia"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w:t>
            </w:r>
            <w:r>
              <w:rPr>
                <w:rFonts w:hint="eastAsia" w:cs="Times New Roman"/>
                <w:color w:val="auto"/>
                <w:sz w:val="24"/>
                <w:szCs w:val="24"/>
                <w:lang w:val="en-US" w:eastAsia="zh-CN"/>
              </w:rPr>
              <w:t>3</w:t>
            </w:r>
            <w:r>
              <w:rPr>
                <w:rFonts w:hint="default" w:ascii="Times New Roman" w:hAnsi="Times New Roman" w:cs="Times New Roman"/>
                <w:color w:val="auto"/>
                <w:sz w:val="24"/>
                <w:szCs w:val="24"/>
              </w:rPr>
              <w:t>，危</w:t>
            </w:r>
            <w:r>
              <w:rPr>
                <w:rFonts w:hint="eastAsia" w:ascii="Times New Roman" w:hAnsi="Times New Roman" w:cs="Times New Roman"/>
                <w:color w:val="auto"/>
                <w:sz w:val="24"/>
                <w:szCs w:val="24"/>
                <w:lang w:val="en-US" w:eastAsia="zh-CN"/>
              </w:rPr>
              <w:t>险</w:t>
            </w:r>
            <w:r>
              <w:rPr>
                <w:rFonts w:hint="default" w:ascii="Times New Roman" w:hAnsi="Times New Roman" w:cs="Times New Roman"/>
                <w:color w:val="auto"/>
                <w:sz w:val="24"/>
                <w:szCs w:val="24"/>
              </w:rPr>
              <w:t>废</w:t>
            </w:r>
            <w:r>
              <w:rPr>
                <w:rFonts w:hint="eastAsia" w:ascii="Times New Roman" w:hAnsi="Times New Roman" w:cs="Times New Roman"/>
                <w:color w:val="auto"/>
                <w:sz w:val="24"/>
                <w:szCs w:val="24"/>
                <w:lang w:val="en-US" w:eastAsia="zh-CN"/>
              </w:rPr>
              <w:t>物</w:t>
            </w:r>
            <w:r>
              <w:rPr>
                <w:rFonts w:hint="default" w:ascii="Times New Roman" w:hAnsi="Times New Roman" w:cs="Times New Roman"/>
                <w:color w:val="auto"/>
                <w:sz w:val="24"/>
                <w:szCs w:val="24"/>
              </w:rPr>
              <w:t>贮存场所情况详见表4</w:t>
            </w:r>
            <w:r>
              <w:rPr>
                <w:rFonts w:hint="eastAsia"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w:t>
            </w:r>
          </w:p>
          <w:p w14:paraId="11E237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表4</w:t>
            </w:r>
            <w:r>
              <w:rPr>
                <w:rFonts w:hint="eastAsia" w:ascii="Times New Roman" w:hAnsi="Times New Roman" w:cs="Times New Roman"/>
                <w:b/>
                <w:bCs/>
                <w:color w:val="auto"/>
                <w:sz w:val="21"/>
                <w:szCs w:val="21"/>
                <w:lang w:val="en-US" w:eastAsia="zh-CN"/>
              </w:rPr>
              <w:t>.4</w:t>
            </w:r>
            <w:r>
              <w:rPr>
                <w:rFonts w:hint="default" w:ascii="Times New Roman" w:hAnsi="Times New Roman" w:cs="Times New Roman"/>
                <w:b/>
                <w:bCs/>
                <w:color w:val="auto"/>
                <w:sz w:val="21"/>
                <w:szCs w:val="21"/>
              </w:rPr>
              <w:t>-</w:t>
            </w:r>
            <w:r>
              <w:rPr>
                <w:rFonts w:hint="eastAsia" w:cs="Times New Roman"/>
                <w:b/>
                <w:bCs/>
                <w:color w:val="auto"/>
                <w:sz w:val="21"/>
                <w:szCs w:val="21"/>
                <w:lang w:val="en-US" w:eastAsia="zh-CN"/>
              </w:rPr>
              <w:t>3</w:t>
            </w:r>
            <w:r>
              <w:rPr>
                <w:rFonts w:hint="default" w:ascii="Times New Roman" w:hAnsi="Times New Roman" w:cs="Times New Roman"/>
                <w:b/>
                <w:bCs/>
                <w:color w:val="auto"/>
                <w:sz w:val="21"/>
                <w:szCs w:val="21"/>
              </w:rPr>
              <w:t xml:space="preserve"> </w:t>
            </w:r>
            <w:r>
              <w:rPr>
                <w:rFonts w:hint="eastAsia" w:ascii="Times New Roman" w:hAnsi="Times New Roman" w:cs="Times New Roman"/>
                <w:b/>
                <w:bCs/>
                <w:color w:val="auto"/>
                <w:sz w:val="21"/>
                <w:szCs w:val="21"/>
                <w:lang w:val="en-US" w:eastAsia="zh-CN"/>
              </w:rPr>
              <w:t xml:space="preserve"> </w:t>
            </w:r>
            <w:r>
              <w:rPr>
                <w:rFonts w:hint="default" w:ascii="Times New Roman" w:hAnsi="Times New Roman" w:cs="Times New Roman"/>
                <w:b/>
                <w:bCs/>
                <w:color w:val="auto"/>
                <w:sz w:val="21"/>
                <w:szCs w:val="21"/>
              </w:rPr>
              <w:t xml:space="preserve"> 项目危险废物汇总表</w:t>
            </w:r>
          </w:p>
          <w:tbl>
            <w:tblPr>
              <w:tblStyle w:val="3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8"/>
              <w:gridCol w:w="996"/>
              <w:gridCol w:w="818"/>
              <w:gridCol w:w="709"/>
              <w:gridCol w:w="886"/>
              <w:gridCol w:w="1078"/>
              <w:gridCol w:w="695"/>
              <w:gridCol w:w="641"/>
              <w:gridCol w:w="641"/>
              <w:gridCol w:w="641"/>
              <w:gridCol w:w="668"/>
              <w:gridCol w:w="850"/>
            </w:tblGrid>
            <w:tr w14:paraId="19AF1E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38" w:type="dxa"/>
                  <w:tcBorders>
                    <w:tl2br w:val="nil"/>
                    <w:tr2bl w:val="nil"/>
                  </w:tcBorders>
                  <w:noWrap w:val="0"/>
                  <w:vAlign w:val="center"/>
                </w:tcPr>
                <w:p w14:paraId="76A3C963">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default"/>
                      <w:color w:val="auto"/>
                      <w:vertAlign w:val="baseline"/>
                    </w:rPr>
                  </w:pPr>
                  <w:r>
                    <w:rPr>
                      <w:rFonts w:hint="default" w:ascii="Times New Roman" w:hAnsi="Times New Roman" w:cs="Times New Roman"/>
                      <w:b/>
                      <w:bCs/>
                      <w:color w:val="auto"/>
                      <w:kern w:val="0"/>
                      <w:sz w:val="21"/>
                      <w:szCs w:val="21"/>
                    </w:rPr>
                    <w:t>序号</w:t>
                  </w:r>
                </w:p>
              </w:tc>
              <w:tc>
                <w:tcPr>
                  <w:tcW w:w="996" w:type="dxa"/>
                  <w:tcBorders>
                    <w:tl2br w:val="nil"/>
                    <w:tr2bl w:val="nil"/>
                  </w:tcBorders>
                  <w:noWrap w:val="0"/>
                  <w:vAlign w:val="center"/>
                </w:tcPr>
                <w:p w14:paraId="07C2C174">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default"/>
                      <w:color w:val="auto"/>
                      <w:vertAlign w:val="baseline"/>
                    </w:rPr>
                  </w:pPr>
                  <w:r>
                    <w:rPr>
                      <w:rFonts w:hint="default" w:ascii="Times New Roman" w:hAnsi="Times New Roman" w:cs="Times New Roman"/>
                      <w:b/>
                      <w:bCs/>
                      <w:color w:val="auto"/>
                      <w:kern w:val="0"/>
                      <w:sz w:val="21"/>
                      <w:szCs w:val="21"/>
                    </w:rPr>
                    <w:t>名称</w:t>
                  </w:r>
                </w:p>
              </w:tc>
              <w:tc>
                <w:tcPr>
                  <w:tcW w:w="818" w:type="dxa"/>
                  <w:tcBorders>
                    <w:tl2br w:val="nil"/>
                    <w:tr2bl w:val="nil"/>
                  </w:tcBorders>
                  <w:noWrap w:val="0"/>
                  <w:vAlign w:val="center"/>
                </w:tcPr>
                <w:p w14:paraId="3776CD11">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default"/>
                      <w:color w:val="auto"/>
                      <w:vertAlign w:val="baseline"/>
                    </w:rPr>
                  </w:pPr>
                  <w:r>
                    <w:rPr>
                      <w:rFonts w:hint="default" w:ascii="Times New Roman" w:hAnsi="Times New Roman" w:cs="Times New Roman"/>
                      <w:b/>
                      <w:bCs/>
                      <w:color w:val="auto"/>
                      <w:kern w:val="0"/>
                      <w:sz w:val="21"/>
                      <w:szCs w:val="21"/>
                    </w:rPr>
                    <w:t>危废类别</w:t>
                  </w:r>
                </w:p>
              </w:tc>
              <w:tc>
                <w:tcPr>
                  <w:tcW w:w="709" w:type="dxa"/>
                  <w:tcBorders>
                    <w:tl2br w:val="nil"/>
                    <w:tr2bl w:val="nil"/>
                  </w:tcBorders>
                  <w:noWrap w:val="0"/>
                  <w:vAlign w:val="center"/>
                </w:tcPr>
                <w:p w14:paraId="517851F4">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default"/>
                      <w:color w:val="auto"/>
                      <w:vertAlign w:val="baseline"/>
                    </w:rPr>
                  </w:pPr>
                  <w:r>
                    <w:rPr>
                      <w:rFonts w:hint="default" w:ascii="Times New Roman" w:hAnsi="Times New Roman" w:cs="Times New Roman"/>
                      <w:b/>
                      <w:bCs/>
                      <w:color w:val="auto"/>
                      <w:kern w:val="0"/>
                      <w:sz w:val="21"/>
                      <w:szCs w:val="21"/>
                    </w:rPr>
                    <w:t>危废代码</w:t>
                  </w:r>
                </w:p>
              </w:tc>
              <w:tc>
                <w:tcPr>
                  <w:tcW w:w="886" w:type="dxa"/>
                  <w:tcBorders>
                    <w:tl2br w:val="nil"/>
                    <w:tr2bl w:val="nil"/>
                  </w:tcBorders>
                  <w:noWrap w:val="0"/>
                  <w:vAlign w:val="center"/>
                </w:tcPr>
                <w:p w14:paraId="5DA178D7">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default"/>
                      <w:color w:val="auto"/>
                      <w:vertAlign w:val="baseline"/>
                    </w:rPr>
                  </w:pPr>
                  <w:r>
                    <w:rPr>
                      <w:rFonts w:hint="default" w:ascii="Times New Roman" w:hAnsi="Times New Roman" w:cs="Times New Roman"/>
                      <w:b/>
                      <w:bCs/>
                      <w:color w:val="auto"/>
                      <w:kern w:val="0"/>
                      <w:sz w:val="21"/>
                      <w:szCs w:val="21"/>
                    </w:rPr>
                    <w:t>产生量</w:t>
                  </w:r>
                  <w:r>
                    <w:rPr>
                      <w:rFonts w:hint="eastAsia" w:ascii="Times New Roman" w:hAnsi="Times New Roman" w:cs="Times New Roman"/>
                      <w:b/>
                      <w:bCs/>
                      <w:color w:val="auto"/>
                      <w:kern w:val="0"/>
                      <w:sz w:val="21"/>
                      <w:szCs w:val="21"/>
                      <w:lang w:eastAsia="zh-CN"/>
                    </w:rPr>
                    <w:t>（</w:t>
                  </w:r>
                  <w:r>
                    <w:rPr>
                      <w:rFonts w:hint="default" w:ascii="Times New Roman" w:hAnsi="Times New Roman" w:cs="Times New Roman"/>
                      <w:b/>
                      <w:bCs/>
                      <w:color w:val="auto"/>
                      <w:kern w:val="0"/>
                      <w:sz w:val="21"/>
                      <w:szCs w:val="21"/>
                    </w:rPr>
                    <w:t>t/a</w:t>
                  </w:r>
                  <w:r>
                    <w:rPr>
                      <w:rFonts w:hint="eastAsia" w:ascii="Times New Roman" w:hAnsi="Times New Roman" w:cs="Times New Roman"/>
                      <w:b/>
                      <w:bCs/>
                      <w:color w:val="auto"/>
                      <w:kern w:val="0"/>
                      <w:sz w:val="21"/>
                      <w:szCs w:val="21"/>
                      <w:lang w:eastAsia="zh-CN"/>
                    </w:rPr>
                    <w:t>）</w:t>
                  </w:r>
                </w:p>
              </w:tc>
              <w:tc>
                <w:tcPr>
                  <w:tcW w:w="1078" w:type="dxa"/>
                  <w:tcBorders>
                    <w:tl2br w:val="nil"/>
                    <w:tr2bl w:val="nil"/>
                  </w:tcBorders>
                  <w:noWrap w:val="0"/>
                  <w:vAlign w:val="center"/>
                </w:tcPr>
                <w:p w14:paraId="425F52D7">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default"/>
                      <w:color w:val="auto"/>
                      <w:vertAlign w:val="baseline"/>
                    </w:rPr>
                  </w:pPr>
                  <w:r>
                    <w:rPr>
                      <w:rFonts w:hint="default" w:ascii="Times New Roman" w:hAnsi="Times New Roman" w:cs="Times New Roman"/>
                      <w:b/>
                      <w:bCs/>
                      <w:color w:val="auto"/>
                      <w:kern w:val="0"/>
                      <w:sz w:val="21"/>
                      <w:szCs w:val="21"/>
                    </w:rPr>
                    <w:t>产生</w:t>
                  </w:r>
                  <w:r>
                    <w:rPr>
                      <w:rFonts w:hint="eastAsia"/>
                      <w:b/>
                      <w:bCs/>
                      <w:color w:val="auto"/>
                      <w:sz w:val="21"/>
                      <w:szCs w:val="21"/>
                      <w:lang w:val="en-US" w:eastAsia="zh-CN"/>
                    </w:rPr>
                    <w:t>环节</w:t>
                  </w:r>
                </w:p>
              </w:tc>
              <w:tc>
                <w:tcPr>
                  <w:tcW w:w="695" w:type="dxa"/>
                  <w:tcBorders>
                    <w:tl2br w:val="nil"/>
                    <w:tr2bl w:val="nil"/>
                  </w:tcBorders>
                  <w:noWrap w:val="0"/>
                  <w:vAlign w:val="center"/>
                </w:tcPr>
                <w:p w14:paraId="5E025352">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default"/>
                      <w:color w:val="auto"/>
                      <w:vertAlign w:val="baseline"/>
                    </w:rPr>
                  </w:pPr>
                  <w:r>
                    <w:rPr>
                      <w:rFonts w:hint="default" w:ascii="Times New Roman" w:hAnsi="Times New Roman" w:cs="Times New Roman"/>
                      <w:b/>
                      <w:bCs/>
                      <w:color w:val="auto"/>
                      <w:kern w:val="0"/>
                      <w:sz w:val="21"/>
                      <w:szCs w:val="21"/>
                    </w:rPr>
                    <w:t>形态</w:t>
                  </w:r>
                </w:p>
              </w:tc>
              <w:tc>
                <w:tcPr>
                  <w:tcW w:w="641" w:type="dxa"/>
                  <w:tcBorders>
                    <w:tl2br w:val="nil"/>
                    <w:tr2bl w:val="nil"/>
                  </w:tcBorders>
                  <w:noWrap w:val="0"/>
                  <w:vAlign w:val="center"/>
                </w:tcPr>
                <w:p w14:paraId="39AE2731">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default"/>
                      <w:color w:val="auto"/>
                      <w:vertAlign w:val="baseline"/>
                    </w:rPr>
                  </w:pPr>
                  <w:r>
                    <w:rPr>
                      <w:rFonts w:hint="default" w:ascii="Times New Roman" w:hAnsi="Times New Roman" w:cs="Times New Roman"/>
                      <w:b/>
                      <w:bCs/>
                      <w:color w:val="auto"/>
                      <w:kern w:val="0"/>
                      <w:sz w:val="21"/>
                      <w:szCs w:val="21"/>
                    </w:rPr>
                    <w:t>主要成分</w:t>
                  </w:r>
                </w:p>
              </w:tc>
              <w:tc>
                <w:tcPr>
                  <w:tcW w:w="641" w:type="dxa"/>
                  <w:tcBorders>
                    <w:tl2br w:val="nil"/>
                    <w:tr2bl w:val="nil"/>
                  </w:tcBorders>
                  <w:noWrap w:val="0"/>
                  <w:vAlign w:val="center"/>
                </w:tcPr>
                <w:p w14:paraId="179B888B">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default"/>
                      <w:color w:val="auto"/>
                      <w:vertAlign w:val="baseline"/>
                    </w:rPr>
                  </w:pPr>
                  <w:r>
                    <w:rPr>
                      <w:rFonts w:hint="default" w:ascii="Times New Roman" w:hAnsi="Times New Roman" w:cs="Times New Roman"/>
                      <w:b/>
                      <w:bCs/>
                      <w:color w:val="auto"/>
                      <w:kern w:val="0"/>
                      <w:sz w:val="21"/>
                      <w:szCs w:val="21"/>
                    </w:rPr>
                    <w:t>有害成分</w:t>
                  </w:r>
                </w:p>
              </w:tc>
              <w:tc>
                <w:tcPr>
                  <w:tcW w:w="641" w:type="dxa"/>
                  <w:tcBorders>
                    <w:tl2br w:val="nil"/>
                    <w:tr2bl w:val="nil"/>
                  </w:tcBorders>
                  <w:noWrap w:val="0"/>
                  <w:vAlign w:val="center"/>
                </w:tcPr>
                <w:p w14:paraId="7298BC31">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default"/>
                      <w:color w:val="auto"/>
                      <w:vertAlign w:val="baseline"/>
                    </w:rPr>
                  </w:pPr>
                  <w:r>
                    <w:rPr>
                      <w:rFonts w:hint="default" w:ascii="Times New Roman" w:hAnsi="Times New Roman" w:cs="Times New Roman"/>
                      <w:b/>
                      <w:bCs/>
                      <w:color w:val="auto"/>
                      <w:kern w:val="0"/>
                      <w:sz w:val="21"/>
                      <w:szCs w:val="21"/>
                    </w:rPr>
                    <w:t>产废周期</w:t>
                  </w:r>
                </w:p>
              </w:tc>
              <w:tc>
                <w:tcPr>
                  <w:tcW w:w="668" w:type="dxa"/>
                  <w:tcBorders>
                    <w:tl2br w:val="nil"/>
                    <w:tr2bl w:val="nil"/>
                  </w:tcBorders>
                  <w:noWrap w:val="0"/>
                  <w:vAlign w:val="center"/>
                </w:tcPr>
                <w:p w14:paraId="700155AF">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default"/>
                      <w:color w:val="auto"/>
                      <w:vertAlign w:val="baseline"/>
                    </w:rPr>
                  </w:pPr>
                  <w:r>
                    <w:rPr>
                      <w:rFonts w:hint="default" w:ascii="Times New Roman" w:hAnsi="Times New Roman" w:cs="Times New Roman"/>
                      <w:b/>
                      <w:bCs/>
                      <w:color w:val="auto"/>
                      <w:kern w:val="0"/>
                      <w:sz w:val="21"/>
                      <w:szCs w:val="21"/>
                    </w:rPr>
                    <w:t>危险特性</w:t>
                  </w:r>
                </w:p>
              </w:tc>
              <w:tc>
                <w:tcPr>
                  <w:tcW w:w="850" w:type="dxa"/>
                  <w:tcBorders>
                    <w:tl2br w:val="nil"/>
                    <w:tr2bl w:val="nil"/>
                  </w:tcBorders>
                  <w:noWrap w:val="0"/>
                  <w:vAlign w:val="center"/>
                </w:tcPr>
                <w:p w14:paraId="1232D235">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default"/>
                      <w:color w:val="auto"/>
                      <w:vertAlign w:val="baseline"/>
                    </w:rPr>
                  </w:pPr>
                  <w:r>
                    <w:rPr>
                      <w:rFonts w:hint="default" w:ascii="Times New Roman" w:hAnsi="Times New Roman" w:cs="Times New Roman"/>
                      <w:b/>
                      <w:bCs/>
                      <w:color w:val="auto"/>
                      <w:kern w:val="0"/>
                      <w:sz w:val="21"/>
                      <w:szCs w:val="21"/>
                    </w:rPr>
                    <w:t>污染防治措施</w:t>
                  </w:r>
                </w:p>
              </w:tc>
            </w:tr>
            <w:tr w14:paraId="487CAF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96" w:hRule="atLeast"/>
              </w:trPr>
              <w:tc>
                <w:tcPr>
                  <w:tcW w:w="638" w:type="dxa"/>
                  <w:tcBorders>
                    <w:tl2br w:val="nil"/>
                    <w:tr2bl w:val="nil"/>
                  </w:tcBorders>
                  <w:noWrap w:val="0"/>
                  <w:vAlign w:val="center"/>
                </w:tcPr>
                <w:p w14:paraId="3A0B6AFE">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c>
                <w:tcPr>
                  <w:tcW w:w="996" w:type="dxa"/>
                  <w:tcBorders>
                    <w:tl2br w:val="nil"/>
                    <w:tr2bl w:val="nil"/>
                  </w:tcBorders>
                  <w:noWrap w:val="0"/>
                  <w:vAlign w:val="center"/>
                </w:tcPr>
                <w:p w14:paraId="1B8C8E3D">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default" w:eastAsia="宋体"/>
                      <w:color w:val="auto"/>
                      <w:sz w:val="21"/>
                      <w:szCs w:val="21"/>
                      <w:vertAlign w:val="baseline"/>
                      <w:lang w:val="en-US" w:eastAsia="zh-CN"/>
                    </w:rPr>
                  </w:pPr>
                  <w:r>
                    <w:rPr>
                      <w:rFonts w:hint="default"/>
                      <w:color w:val="auto"/>
                      <w:sz w:val="21"/>
                      <w:szCs w:val="21"/>
                      <w:vertAlign w:val="baseline"/>
                      <w:lang w:val="en-US" w:eastAsia="zh-CN"/>
                    </w:rPr>
                    <w:t>清罐废液</w:t>
                  </w:r>
                </w:p>
              </w:tc>
              <w:tc>
                <w:tcPr>
                  <w:tcW w:w="818" w:type="dxa"/>
                  <w:tcBorders>
                    <w:tl2br w:val="nil"/>
                    <w:tr2bl w:val="nil"/>
                  </w:tcBorders>
                  <w:noWrap w:val="0"/>
                  <w:vAlign w:val="center"/>
                </w:tcPr>
                <w:p w14:paraId="7F588F26">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default"/>
                      <w:color w:val="auto"/>
                      <w:sz w:val="21"/>
                      <w:szCs w:val="21"/>
                      <w:vertAlign w:val="baseline"/>
                      <w:lang w:val="en-US"/>
                    </w:rPr>
                  </w:pPr>
                  <w:r>
                    <w:rPr>
                      <w:rFonts w:hint="default" w:ascii="Times New Roman" w:hAnsi="Times New Roman" w:cs="Times New Roman"/>
                      <w:color w:val="auto"/>
                      <w:sz w:val="21"/>
                      <w:szCs w:val="21"/>
                      <w:vertAlign w:val="baseline"/>
                    </w:rPr>
                    <w:t>HW</w:t>
                  </w:r>
                  <w:r>
                    <w:rPr>
                      <w:rFonts w:hint="eastAsia" w:ascii="Times New Roman" w:hAnsi="Times New Roman" w:cs="Times New Roman"/>
                      <w:color w:val="auto"/>
                      <w:sz w:val="21"/>
                      <w:szCs w:val="21"/>
                      <w:vertAlign w:val="baseline"/>
                      <w:lang w:val="en-US" w:eastAsia="zh-CN"/>
                    </w:rPr>
                    <w:t>08</w:t>
                  </w:r>
                </w:p>
              </w:tc>
              <w:tc>
                <w:tcPr>
                  <w:tcW w:w="709" w:type="dxa"/>
                  <w:tcBorders>
                    <w:tl2br w:val="nil"/>
                    <w:tr2bl w:val="nil"/>
                  </w:tcBorders>
                  <w:noWrap w:val="0"/>
                  <w:vAlign w:val="center"/>
                </w:tcPr>
                <w:p w14:paraId="66806187">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900-249-08</w:t>
                  </w:r>
                </w:p>
              </w:tc>
              <w:tc>
                <w:tcPr>
                  <w:tcW w:w="886" w:type="dxa"/>
                  <w:tcBorders>
                    <w:tl2br w:val="nil"/>
                    <w:tr2bl w:val="nil"/>
                  </w:tcBorders>
                  <w:noWrap w:val="0"/>
                  <w:vAlign w:val="center"/>
                </w:tcPr>
                <w:p w14:paraId="519952AA">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0.8</w:t>
                  </w:r>
                </w:p>
              </w:tc>
              <w:tc>
                <w:tcPr>
                  <w:tcW w:w="1078" w:type="dxa"/>
                  <w:tcBorders>
                    <w:tl2br w:val="nil"/>
                    <w:tr2bl w:val="nil"/>
                  </w:tcBorders>
                  <w:noWrap w:val="0"/>
                  <w:vAlign w:val="center"/>
                </w:tcPr>
                <w:p w14:paraId="5487DBE1">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油罐清理</w:t>
                  </w:r>
                </w:p>
              </w:tc>
              <w:tc>
                <w:tcPr>
                  <w:tcW w:w="695" w:type="dxa"/>
                  <w:tcBorders>
                    <w:tl2br w:val="nil"/>
                    <w:tr2bl w:val="nil"/>
                  </w:tcBorders>
                  <w:noWrap w:val="0"/>
                  <w:vAlign w:val="center"/>
                </w:tcPr>
                <w:p w14:paraId="5A0FF5C9">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eastAsia" w:eastAsia="宋体"/>
                      <w:color w:val="auto"/>
                      <w:sz w:val="21"/>
                      <w:szCs w:val="21"/>
                      <w:vertAlign w:val="baseline"/>
                      <w:lang w:val="en-US" w:eastAsia="zh-CN"/>
                    </w:rPr>
                  </w:pPr>
                  <w:r>
                    <w:rPr>
                      <w:rFonts w:hint="eastAsia"/>
                      <w:color w:val="auto"/>
                      <w:sz w:val="21"/>
                      <w:szCs w:val="21"/>
                      <w:lang w:val="en-US" w:eastAsia="zh-CN"/>
                    </w:rPr>
                    <w:t>液态</w:t>
                  </w:r>
                </w:p>
              </w:tc>
              <w:tc>
                <w:tcPr>
                  <w:tcW w:w="641" w:type="dxa"/>
                  <w:tcBorders>
                    <w:tl2br w:val="nil"/>
                    <w:tr2bl w:val="nil"/>
                  </w:tcBorders>
                  <w:noWrap w:val="0"/>
                  <w:vAlign w:val="center"/>
                </w:tcPr>
                <w:p w14:paraId="0C424AB5">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default"/>
                      <w:color w:val="auto"/>
                      <w:sz w:val="21"/>
                      <w:szCs w:val="21"/>
                      <w:vertAlign w:val="baseline"/>
                    </w:rPr>
                  </w:pPr>
                  <w:r>
                    <w:rPr>
                      <w:rFonts w:hint="eastAsia"/>
                      <w:color w:val="auto"/>
                      <w:sz w:val="21"/>
                      <w:szCs w:val="21"/>
                      <w:vertAlign w:val="baseline"/>
                      <w:lang w:val="en-US" w:eastAsia="zh-CN"/>
                    </w:rPr>
                    <w:t>矿物油</w:t>
                  </w:r>
                </w:p>
              </w:tc>
              <w:tc>
                <w:tcPr>
                  <w:tcW w:w="641" w:type="dxa"/>
                  <w:tcBorders>
                    <w:tl2br w:val="nil"/>
                    <w:tr2bl w:val="nil"/>
                  </w:tcBorders>
                  <w:noWrap w:val="0"/>
                  <w:vAlign w:val="center"/>
                </w:tcPr>
                <w:p w14:paraId="4E188FEC">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default"/>
                      <w:color w:val="auto"/>
                      <w:sz w:val="21"/>
                      <w:szCs w:val="21"/>
                      <w:vertAlign w:val="baseline"/>
                    </w:rPr>
                  </w:pPr>
                  <w:r>
                    <w:rPr>
                      <w:rFonts w:hint="eastAsia"/>
                      <w:color w:val="auto"/>
                      <w:sz w:val="21"/>
                      <w:szCs w:val="21"/>
                      <w:vertAlign w:val="baseline"/>
                      <w:lang w:val="en-US" w:eastAsia="zh-CN"/>
                    </w:rPr>
                    <w:t>矿物油</w:t>
                  </w:r>
                </w:p>
              </w:tc>
              <w:tc>
                <w:tcPr>
                  <w:tcW w:w="641" w:type="dxa"/>
                  <w:tcBorders>
                    <w:tl2br w:val="nil"/>
                    <w:tr2bl w:val="nil"/>
                  </w:tcBorders>
                  <w:noWrap w:val="0"/>
                  <w:vAlign w:val="center"/>
                </w:tcPr>
                <w:p w14:paraId="76DF151F">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default"/>
                      <w:color w:val="auto"/>
                      <w:sz w:val="21"/>
                      <w:szCs w:val="21"/>
                      <w:vertAlign w:val="baseline"/>
                    </w:rPr>
                  </w:pPr>
                  <w:r>
                    <w:rPr>
                      <w:rFonts w:hint="eastAsia" w:cs="Times New Roman"/>
                      <w:color w:val="auto"/>
                      <w:kern w:val="0"/>
                      <w:sz w:val="21"/>
                      <w:szCs w:val="21"/>
                      <w:lang w:val="en-US" w:eastAsia="zh-CN"/>
                    </w:rPr>
                    <w:t>两年</w:t>
                  </w:r>
                </w:p>
              </w:tc>
              <w:tc>
                <w:tcPr>
                  <w:tcW w:w="668" w:type="dxa"/>
                  <w:tcBorders>
                    <w:tl2br w:val="nil"/>
                    <w:tr2bl w:val="nil"/>
                  </w:tcBorders>
                  <w:noWrap w:val="0"/>
                  <w:vAlign w:val="center"/>
                </w:tcPr>
                <w:p w14:paraId="0A6F52BC">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T，I</w:t>
                  </w:r>
                </w:p>
              </w:tc>
              <w:tc>
                <w:tcPr>
                  <w:tcW w:w="850" w:type="dxa"/>
                  <w:vMerge w:val="restart"/>
                  <w:tcBorders>
                    <w:tl2br w:val="nil"/>
                    <w:tr2bl w:val="nil"/>
                  </w:tcBorders>
                  <w:noWrap w:val="0"/>
                  <w:vAlign w:val="center"/>
                </w:tcPr>
                <w:p w14:paraId="508D7033">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default"/>
                      <w:color w:val="auto"/>
                      <w:sz w:val="21"/>
                      <w:szCs w:val="21"/>
                      <w:vertAlign w:val="baseline"/>
                    </w:rPr>
                  </w:pPr>
                  <w:r>
                    <w:rPr>
                      <w:rFonts w:hint="default"/>
                      <w:color w:val="auto"/>
                      <w:sz w:val="21"/>
                      <w:szCs w:val="21"/>
                      <w:vertAlign w:val="baseline"/>
                    </w:rPr>
                    <w:t>由</w:t>
                  </w:r>
                  <w:r>
                    <w:rPr>
                      <w:rFonts w:hint="default"/>
                      <w:color w:val="auto"/>
                      <w:sz w:val="21"/>
                      <w:szCs w:val="21"/>
                      <w:vertAlign w:val="baseline"/>
                      <w:lang w:val="en-US" w:eastAsia="zh-CN"/>
                    </w:rPr>
                    <w:t>委托的具有危险废物处理资质的单位带走处置，不在厂区内暂存</w:t>
                  </w:r>
                </w:p>
              </w:tc>
            </w:tr>
            <w:tr w14:paraId="0D561D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638" w:type="dxa"/>
                  <w:tcBorders>
                    <w:tl2br w:val="nil"/>
                    <w:tr2bl w:val="nil"/>
                  </w:tcBorders>
                  <w:noWrap w:val="0"/>
                  <w:vAlign w:val="center"/>
                </w:tcPr>
                <w:p w14:paraId="781321FB">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w:t>
                  </w:r>
                </w:p>
              </w:tc>
              <w:tc>
                <w:tcPr>
                  <w:tcW w:w="996" w:type="dxa"/>
                  <w:tcBorders>
                    <w:tl2br w:val="nil"/>
                    <w:tr2bl w:val="nil"/>
                  </w:tcBorders>
                  <w:noWrap w:val="0"/>
                  <w:vAlign w:val="center"/>
                </w:tcPr>
                <w:p w14:paraId="7346AE08">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eastAsia="宋体" w:cs="Times New Roman"/>
                      <w:color w:val="auto"/>
                      <w:sz w:val="21"/>
                      <w:szCs w:val="21"/>
                      <w:lang w:val="en-US" w:eastAsia="zh-CN"/>
                    </w:rPr>
                    <w:t>含油污泥</w:t>
                  </w:r>
                </w:p>
              </w:tc>
              <w:tc>
                <w:tcPr>
                  <w:tcW w:w="818" w:type="dxa"/>
                  <w:tcBorders>
                    <w:tl2br w:val="nil"/>
                    <w:tr2bl w:val="nil"/>
                  </w:tcBorders>
                  <w:noWrap w:val="0"/>
                  <w:vAlign w:val="center"/>
                </w:tcPr>
                <w:p w14:paraId="4D977F8A">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HW08</w:t>
                  </w:r>
                </w:p>
              </w:tc>
              <w:tc>
                <w:tcPr>
                  <w:tcW w:w="709" w:type="dxa"/>
                  <w:tcBorders>
                    <w:tl2br w:val="nil"/>
                    <w:tr2bl w:val="nil"/>
                  </w:tcBorders>
                  <w:noWrap w:val="0"/>
                  <w:vAlign w:val="center"/>
                </w:tcPr>
                <w:p w14:paraId="44BD7A2C">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900-210-08</w:t>
                  </w:r>
                </w:p>
              </w:tc>
              <w:tc>
                <w:tcPr>
                  <w:tcW w:w="886" w:type="dxa"/>
                  <w:tcBorders>
                    <w:tl2br w:val="nil"/>
                    <w:tr2bl w:val="nil"/>
                  </w:tcBorders>
                  <w:noWrap w:val="0"/>
                  <w:vAlign w:val="center"/>
                </w:tcPr>
                <w:p w14:paraId="421D0F2D">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1.0</w:t>
                  </w:r>
                </w:p>
              </w:tc>
              <w:tc>
                <w:tcPr>
                  <w:tcW w:w="1078" w:type="dxa"/>
                  <w:tcBorders>
                    <w:tl2br w:val="nil"/>
                    <w:tr2bl w:val="nil"/>
                  </w:tcBorders>
                  <w:noWrap w:val="0"/>
                  <w:vAlign w:val="center"/>
                </w:tcPr>
                <w:p w14:paraId="204BA24E">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default" w:ascii="Times New Roman" w:hAnsi="Times New Roman" w:cs="Times New Roman"/>
                      <w:color w:val="auto"/>
                      <w:sz w:val="21"/>
                      <w:szCs w:val="21"/>
                      <w:vertAlign w:val="baseline"/>
                      <w:lang w:val="en-US" w:eastAsia="zh-CN"/>
                    </w:rPr>
                  </w:pPr>
                  <w:r>
                    <w:rPr>
                      <w:rFonts w:hint="eastAsia"/>
                      <w:color w:val="auto"/>
                      <w:sz w:val="21"/>
                      <w:szCs w:val="21"/>
                      <w:lang w:val="en-US" w:eastAsia="zh-CN"/>
                    </w:rPr>
                    <w:t>隔油池、一体化（</w:t>
                  </w:r>
                  <w:r>
                    <w:rPr>
                      <w:rFonts w:hint="default" w:ascii="Times New Roman" w:hAnsi="Times New Roman" w:cs="Times New Roman"/>
                      <w:color w:val="auto"/>
                      <w:sz w:val="21"/>
                      <w:szCs w:val="21"/>
                      <w:lang w:val="en-US" w:eastAsia="zh-CN"/>
                    </w:rPr>
                    <w:t>MBR</w:t>
                  </w:r>
                  <w:r>
                    <w:rPr>
                      <w:rFonts w:hint="eastAsia"/>
                      <w:color w:val="auto"/>
                      <w:sz w:val="21"/>
                      <w:szCs w:val="21"/>
                      <w:lang w:val="en-US" w:eastAsia="zh-CN"/>
                    </w:rPr>
                    <w:t>）洗车废水处理设施</w:t>
                  </w:r>
                </w:p>
              </w:tc>
              <w:tc>
                <w:tcPr>
                  <w:tcW w:w="695" w:type="dxa"/>
                  <w:tcBorders>
                    <w:tl2br w:val="nil"/>
                    <w:tr2bl w:val="nil"/>
                  </w:tcBorders>
                  <w:noWrap w:val="0"/>
                  <w:vAlign w:val="center"/>
                </w:tcPr>
                <w:p w14:paraId="76BD2391">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default" w:ascii="Times New Roman" w:hAnsi="Times New Roman" w:cs="Times New Roman"/>
                      <w:color w:val="auto"/>
                      <w:sz w:val="21"/>
                      <w:szCs w:val="21"/>
                      <w:vertAlign w:val="baseline"/>
                      <w:lang w:val="en-US" w:eastAsia="zh-CN"/>
                    </w:rPr>
                  </w:pPr>
                  <w:r>
                    <w:rPr>
                      <w:rFonts w:hint="eastAsia"/>
                      <w:color w:val="auto"/>
                      <w:sz w:val="21"/>
                      <w:szCs w:val="21"/>
                      <w:vertAlign w:val="baseline"/>
                      <w:lang w:val="en-US" w:eastAsia="zh-CN"/>
                    </w:rPr>
                    <w:t>半固态</w:t>
                  </w:r>
                </w:p>
              </w:tc>
              <w:tc>
                <w:tcPr>
                  <w:tcW w:w="641" w:type="dxa"/>
                  <w:tcBorders>
                    <w:tl2br w:val="nil"/>
                    <w:tr2bl w:val="nil"/>
                  </w:tcBorders>
                  <w:noWrap w:val="0"/>
                  <w:vAlign w:val="center"/>
                </w:tcPr>
                <w:p w14:paraId="733BFDF2">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eastAsia="宋体" w:cs="Times New Roman"/>
                      <w:color w:val="auto"/>
                      <w:sz w:val="21"/>
                      <w:szCs w:val="21"/>
                      <w:lang w:val="en-US" w:eastAsia="zh-CN"/>
                    </w:rPr>
                    <w:t>污泥</w:t>
                  </w:r>
                </w:p>
              </w:tc>
              <w:tc>
                <w:tcPr>
                  <w:tcW w:w="641" w:type="dxa"/>
                  <w:tcBorders>
                    <w:tl2br w:val="nil"/>
                    <w:tr2bl w:val="nil"/>
                  </w:tcBorders>
                  <w:noWrap w:val="0"/>
                  <w:vAlign w:val="center"/>
                </w:tcPr>
                <w:p w14:paraId="04B80418">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default" w:ascii="Times New Roman" w:hAnsi="Times New Roman" w:cs="Times New Roman"/>
                      <w:color w:val="auto"/>
                      <w:sz w:val="21"/>
                      <w:szCs w:val="21"/>
                      <w:vertAlign w:val="baseline"/>
                      <w:lang w:val="en-US" w:eastAsia="zh-CN"/>
                    </w:rPr>
                  </w:pPr>
                  <w:r>
                    <w:rPr>
                      <w:rFonts w:hint="eastAsia"/>
                      <w:color w:val="auto"/>
                      <w:sz w:val="21"/>
                      <w:szCs w:val="21"/>
                      <w:vertAlign w:val="baseline"/>
                      <w:lang w:val="en-US" w:eastAsia="zh-CN"/>
                    </w:rPr>
                    <w:t>矿物油</w:t>
                  </w:r>
                </w:p>
              </w:tc>
              <w:tc>
                <w:tcPr>
                  <w:tcW w:w="641" w:type="dxa"/>
                  <w:tcBorders>
                    <w:tl2br w:val="nil"/>
                    <w:tr2bl w:val="nil"/>
                  </w:tcBorders>
                  <w:noWrap w:val="0"/>
                  <w:vAlign w:val="center"/>
                </w:tcPr>
                <w:p w14:paraId="4ED9914F">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kern w:val="0"/>
                      <w:sz w:val="21"/>
                      <w:szCs w:val="21"/>
                      <w:lang w:val="en-US" w:eastAsia="zh-CN"/>
                    </w:rPr>
                    <w:t>三</w:t>
                  </w:r>
                  <w:r>
                    <w:rPr>
                      <w:rFonts w:hint="eastAsia" w:ascii="Times New Roman" w:hAnsi="Times New Roman" w:cs="Times New Roman"/>
                      <w:color w:val="auto"/>
                      <w:sz w:val="21"/>
                      <w:szCs w:val="21"/>
                      <w:lang w:val="en-US" w:eastAsia="zh-CN"/>
                    </w:rPr>
                    <w:t>个月</w:t>
                  </w:r>
                </w:p>
              </w:tc>
              <w:tc>
                <w:tcPr>
                  <w:tcW w:w="668" w:type="dxa"/>
                  <w:tcBorders>
                    <w:tl2br w:val="nil"/>
                    <w:tr2bl w:val="nil"/>
                  </w:tcBorders>
                  <w:noWrap w:val="0"/>
                  <w:vAlign w:val="center"/>
                </w:tcPr>
                <w:p w14:paraId="2E33B267">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rPr>
                    <w:t>T，I</w:t>
                  </w:r>
                </w:p>
              </w:tc>
              <w:tc>
                <w:tcPr>
                  <w:tcW w:w="850" w:type="dxa"/>
                  <w:vMerge w:val="continue"/>
                  <w:tcBorders>
                    <w:tl2br w:val="nil"/>
                    <w:tr2bl w:val="nil"/>
                  </w:tcBorders>
                  <w:noWrap w:val="0"/>
                  <w:vAlign w:val="center"/>
                </w:tcPr>
                <w:p w14:paraId="3B02C0B9">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default" w:ascii="Times New Roman" w:hAnsi="Times New Roman" w:cs="Times New Roman"/>
                      <w:color w:val="auto"/>
                      <w:sz w:val="21"/>
                      <w:szCs w:val="21"/>
                      <w:vertAlign w:val="baseline"/>
                      <w:lang w:val="en-US" w:eastAsia="zh-CN"/>
                    </w:rPr>
                  </w:pPr>
                </w:p>
              </w:tc>
            </w:tr>
            <w:tr w14:paraId="6D6010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638" w:type="dxa"/>
                  <w:tcBorders>
                    <w:tl2br w:val="nil"/>
                    <w:tr2bl w:val="nil"/>
                  </w:tcBorders>
                  <w:noWrap w:val="0"/>
                  <w:vAlign w:val="center"/>
                </w:tcPr>
                <w:p w14:paraId="1FD0A3D8">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3</w:t>
                  </w:r>
                </w:p>
              </w:tc>
              <w:tc>
                <w:tcPr>
                  <w:tcW w:w="996" w:type="dxa"/>
                  <w:tcBorders>
                    <w:tl2br w:val="nil"/>
                    <w:tr2bl w:val="nil"/>
                  </w:tcBorders>
                  <w:noWrap w:val="0"/>
                  <w:vAlign w:val="center"/>
                </w:tcPr>
                <w:p w14:paraId="242518AB">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default"/>
                      <w:color w:val="auto"/>
                      <w:sz w:val="21"/>
                      <w:szCs w:val="21"/>
                      <w:vertAlign w:val="baseline"/>
                    </w:rPr>
                  </w:pPr>
                  <w:r>
                    <w:rPr>
                      <w:rFonts w:hint="eastAsia" w:ascii="Times New Roman" w:hAnsi="Times New Roman" w:cs="Times New Roman"/>
                      <w:color w:val="auto"/>
                      <w:sz w:val="21"/>
                      <w:szCs w:val="21"/>
                      <w:vertAlign w:val="baseline"/>
                      <w:lang w:val="en-US" w:eastAsia="zh-CN"/>
                    </w:rPr>
                    <w:t>废吸油毡</w:t>
                  </w:r>
                </w:p>
              </w:tc>
              <w:tc>
                <w:tcPr>
                  <w:tcW w:w="818" w:type="dxa"/>
                  <w:tcBorders>
                    <w:tl2br w:val="nil"/>
                    <w:tr2bl w:val="nil"/>
                  </w:tcBorders>
                  <w:noWrap w:val="0"/>
                  <w:vAlign w:val="center"/>
                </w:tcPr>
                <w:p w14:paraId="600B6B2E">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default"/>
                      <w:color w:val="auto"/>
                      <w:sz w:val="21"/>
                      <w:szCs w:val="21"/>
                      <w:vertAlign w:val="baseline"/>
                    </w:rPr>
                  </w:pPr>
                  <w:r>
                    <w:rPr>
                      <w:rFonts w:hint="eastAsia" w:ascii="Times New Roman" w:hAnsi="Times New Roman" w:cs="Times New Roman"/>
                      <w:color w:val="auto"/>
                      <w:sz w:val="21"/>
                      <w:szCs w:val="21"/>
                      <w:vertAlign w:val="baseline"/>
                      <w:lang w:val="en-US" w:eastAsia="zh-CN"/>
                    </w:rPr>
                    <w:t>HW49</w:t>
                  </w:r>
                </w:p>
              </w:tc>
              <w:tc>
                <w:tcPr>
                  <w:tcW w:w="709" w:type="dxa"/>
                  <w:tcBorders>
                    <w:tl2br w:val="nil"/>
                    <w:tr2bl w:val="nil"/>
                  </w:tcBorders>
                  <w:noWrap w:val="0"/>
                  <w:vAlign w:val="center"/>
                </w:tcPr>
                <w:p w14:paraId="2968C933">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900-041-49</w:t>
                  </w:r>
                </w:p>
              </w:tc>
              <w:tc>
                <w:tcPr>
                  <w:tcW w:w="886" w:type="dxa"/>
                  <w:tcBorders>
                    <w:tl2br w:val="nil"/>
                    <w:tr2bl w:val="nil"/>
                  </w:tcBorders>
                  <w:noWrap w:val="0"/>
                  <w:vAlign w:val="center"/>
                </w:tcPr>
                <w:p w14:paraId="118BF65F">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0.2</w:t>
                  </w:r>
                </w:p>
              </w:tc>
              <w:tc>
                <w:tcPr>
                  <w:tcW w:w="1078" w:type="dxa"/>
                  <w:tcBorders>
                    <w:tl2br w:val="nil"/>
                    <w:tr2bl w:val="nil"/>
                  </w:tcBorders>
                  <w:noWrap w:val="0"/>
                  <w:vAlign w:val="center"/>
                </w:tcPr>
                <w:p w14:paraId="3465FCB5">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default"/>
                      <w:color w:val="auto"/>
                      <w:sz w:val="21"/>
                      <w:szCs w:val="21"/>
                      <w:vertAlign w:val="baseline"/>
                    </w:rPr>
                  </w:pPr>
                  <w:r>
                    <w:rPr>
                      <w:rFonts w:hint="eastAsia" w:ascii="Times New Roman" w:hAnsi="Times New Roman" w:cs="Times New Roman"/>
                      <w:color w:val="auto"/>
                      <w:sz w:val="21"/>
                      <w:szCs w:val="21"/>
                      <w:vertAlign w:val="baseline"/>
                      <w:lang w:val="en-US" w:eastAsia="zh-CN"/>
                    </w:rPr>
                    <w:t>卸油、加油</w:t>
                  </w:r>
                </w:p>
              </w:tc>
              <w:tc>
                <w:tcPr>
                  <w:tcW w:w="695" w:type="dxa"/>
                  <w:tcBorders>
                    <w:tl2br w:val="nil"/>
                    <w:tr2bl w:val="nil"/>
                  </w:tcBorders>
                  <w:noWrap w:val="0"/>
                  <w:vAlign w:val="center"/>
                </w:tcPr>
                <w:p w14:paraId="259980C3">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eastAsia" w:eastAsia="宋体"/>
                      <w:color w:val="auto"/>
                      <w:sz w:val="21"/>
                      <w:szCs w:val="21"/>
                      <w:vertAlign w:val="baseline"/>
                      <w:lang w:val="en-US" w:eastAsia="zh-CN"/>
                    </w:rPr>
                  </w:pPr>
                  <w:r>
                    <w:rPr>
                      <w:rFonts w:hint="eastAsia" w:ascii="Times New Roman" w:hAnsi="Times New Roman" w:cs="Times New Roman"/>
                      <w:color w:val="auto"/>
                      <w:sz w:val="21"/>
                      <w:szCs w:val="21"/>
                      <w:lang w:val="en-US" w:eastAsia="zh-CN"/>
                    </w:rPr>
                    <w:t>固态</w:t>
                  </w:r>
                </w:p>
              </w:tc>
              <w:tc>
                <w:tcPr>
                  <w:tcW w:w="641" w:type="dxa"/>
                  <w:tcBorders>
                    <w:tl2br w:val="nil"/>
                    <w:tr2bl w:val="nil"/>
                  </w:tcBorders>
                  <w:noWrap w:val="0"/>
                  <w:vAlign w:val="center"/>
                </w:tcPr>
                <w:p w14:paraId="5E132F0F">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default"/>
                      <w:color w:val="auto"/>
                      <w:sz w:val="21"/>
                      <w:szCs w:val="21"/>
                      <w:vertAlign w:val="baseline"/>
                    </w:rPr>
                  </w:pPr>
                  <w:r>
                    <w:rPr>
                      <w:rFonts w:hint="eastAsia" w:ascii="Times New Roman" w:hAnsi="Times New Roman" w:cs="Times New Roman"/>
                      <w:color w:val="auto"/>
                      <w:sz w:val="21"/>
                      <w:szCs w:val="21"/>
                      <w:vertAlign w:val="baseline"/>
                      <w:lang w:val="en-US" w:eastAsia="zh-CN"/>
                    </w:rPr>
                    <w:t>吸油毡</w:t>
                  </w:r>
                </w:p>
              </w:tc>
              <w:tc>
                <w:tcPr>
                  <w:tcW w:w="641" w:type="dxa"/>
                  <w:tcBorders>
                    <w:tl2br w:val="nil"/>
                    <w:tr2bl w:val="nil"/>
                  </w:tcBorders>
                  <w:noWrap w:val="0"/>
                  <w:vAlign w:val="center"/>
                </w:tcPr>
                <w:p w14:paraId="7A6263E8">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default"/>
                      <w:color w:val="auto"/>
                      <w:sz w:val="21"/>
                      <w:szCs w:val="21"/>
                      <w:vertAlign w:val="baseline"/>
                    </w:rPr>
                  </w:pPr>
                  <w:r>
                    <w:rPr>
                      <w:rFonts w:hint="eastAsia" w:ascii="Times New Roman" w:hAnsi="Times New Roman" w:eastAsia="宋体" w:cs="Times New Roman"/>
                      <w:color w:val="auto"/>
                      <w:sz w:val="21"/>
                      <w:szCs w:val="21"/>
                      <w:lang w:val="en-US" w:eastAsia="zh-CN"/>
                    </w:rPr>
                    <w:t>矿物油</w:t>
                  </w:r>
                </w:p>
              </w:tc>
              <w:tc>
                <w:tcPr>
                  <w:tcW w:w="641" w:type="dxa"/>
                  <w:tcBorders>
                    <w:tl2br w:val="nil"/>
                    <w:tr2bl w:val="nil"/>
                  </w:tcBorders>
                  <w:noWrap w:val="0"/>
                  <w:vAlign w:val="center"/>
                </w:tcPr>
                <w:p w14:paraId="4BEE79AE">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default"/>
                      <w:color w:val="auto"/>
                      <w:sz w:val="21"/>
                      <w:szCs w:val="21"/>
                      <w:vertAlign w:val="baseline"/>
                    </w:rPr>
                  </w:pPr>
                  <w:r>
                    <w:rPr>
                      <w:rFonts w:hint="eastAsia" w:cs="Times New Roman"/>
                      <w:color w:val="auto"/>
                      <w:kern w:val="0"/>
                      <w:sz w:val="21"/>
                      <w:szCs w:val="21"/>
                      <w:lang w:val="en-US" w:eastAsia="zh-CN"/>
                    </w:rPr>
                    <w:t>三个月</w:t>
                  </w:r>
                </w:p>
              </w:tc>
              <w:tc>
                <w:tcPr>
                  <w:tcW w:w="668" w:type="dxa"/>
                  <w:tcBorders>
                    <w:tl2br w:val="nil"/>
                    <w:tr2bl w:val="nil"/>
                  </w:tcBorders>
                  <w:noWrap w:val="0"/>
                  <w:vAlign w:val="center"/>
                </w:tcPr>
                <w:p w14:paraId="17DF737E">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T，In</w:t>
                  </w:r>
                </w:p>
              </w:tc>
              <w:tc>
                <w:tcPr>
                  <w:tcW w:w="850" w:type="dxa"/>
                  <w:vMerge w:val="restart"/>
                  <w:tcBorders>
                    <w:tl2br w:val="nil"/>
                    <w:tr2bl w:val="nil"/>
                  </w:tcBorders>
                  <w:noWrap w:val="0"/>
                  <w:vAlign w:val="center"/>
                </w:tcPr>
                <w:p w14:paraId="57966827">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危险废物暂存箱暂存，</w:t>
                  </w:r>
                  <w:r>
                    <w:rPr>
                      <w:rFonts w:hint="default" w:ascii="Times New Roman" w:hAnsi="Times New Roman" w:cs="Times New Roman"/>
                      <w:color w:val="auto"/>
                      <w:kern w:val="0"/>
                      <w:sz w:val="21"/>
                      <w:szCs w:val="21"/>
                    </w:rPr>
                    <w:t>委托有危险废物处置资质的单位处置</w:t>
                  </w:r>
                </w:p>
              </w:tc>
            </w:tr>
            <w:tr w14:paraId="616AD0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638" w:type="dxa"/>
                  <w:tcBorders>
                    <w:tl2br w:val="nil"/>
                    <w:tr2bl w:val="nil"/>
                  </w:tcBorders>
                  <w:noWrap w:val="0"/>
                  <w:vAlign w:val="center"/>
                </w:tcPr>
                <w:p w14:paraId="5E4CB2D7">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4</w:t>
                  </w:r>
                </w:p>
              </w:tc>
              <w:tc>
                <w:tcPr>
                  <w:tcW w:w="996" w:type="dxa"/>
                  <w:tcBorders>
                    <w:tl2br w:val="nil"/>
                    <w:tr2bl w:val="nil"/>
                  </w:tcBorders>
                  <w:noWrap w:val="0"/>
                  <w:vAlign w:val="center"/>
                </w:tcPr>
                <w:p w14:paraId="2669270D">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default"/>
                      <w:color w:val="auto"/>
                      <w:sz w:val="21"/>
                      <w:szCs w:val="21"/>
                      <w:vertAlign w:val="baseline"/>
                    </w:rPr>
                  </w:pPr>
                  <w:r>
                    <w:rPr>
                      <w:rFonts w:hint="eastAsia" w:ascii="Times New Roman" w:hAnsi="Times New Roman" w:cs="Times New Roman"/>
                      <w:color w:val="auto"/>
                      <w:sz w:val="21"/>
                      <w:szCs w:val="21"/>
                      <w:vertAlign w:val="baseline"/>
                      <w:lang w:val="en-US" w:eastAsia="zh-CN"/>
                    </w:rPr>
                    <w:t>废滤芯</w:t>
                  </w:r>
                </w:p>
              </w:tc>
              <w:tc>
                <w:tcPr>
                  <w:tcW w:w="818" w:type="dxa"/>
                  <w:tcBorders>
                    <w:tl2br w:val="nil"/>
                    <w:tr2bl w:val="nil"/>
                  </w:tcBorders>
                  <w:noWrap w:val="0"/>
                  <w:vAlign w:val="center"/>
                </w:tcPr>
                <w:p w14:paraId="5AB56362">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default"/>
                      <w:color w:val="auto"/>
                      <w:sz w:val="21"/>
                      <w:szCs w:val="21"/>
                      <w:vertAlign w:val="baseline"/>
                    </w:rPr>
                  </w:pPr>
                  <w:r>
                    <w:rPr>
                      <w:rFonts w:hint="eastAsia" w:ascii="Times New Roman" w:hAnsi="Times New Roman" w:cs="Times New Roman"/>
                      <w:color w:val="auto"/>
                      <w:sz w:val="21"/>
                      <w:szCs w:val="21"/>
                      <w:vertAlign w:val="baseline"/>
                      <w:lang w:val="en-US" w:eastAsia="zh-CN"/>
                    </w:rPr>
                    <w:t>HW49</w:t>
                  </w:r>
                </w:p>
              </w:tc>
              <w:tc>
                <w:tcPr>
                  <w:tcW w:w="709" w:type="dxa"/>
                  <w:tcBorders>
                    <w:tl2br w:val="nil"/>
                    <w:tr2bl w:val="nil"/>
                  </w:tcBorders>
                  <w:noWrap w:val="0"/>
                  <w:vAlign w:val="center"/>
                </w:tcPr>
                <w:p w14:paraId="2BF873F3">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900-041-49</w:t>
                  </w:r>
                </w:p>
              </w:tc>
              <w:tc>
                <w:tcPr>
                  <w:tcW w:w="886" w:type="dxa"/>
                  <w:tcBorders>
                    <w:tl2br w:val="nil"/>
                    <w:tr2bl w:val="nil"/>
                  </w:tcBorders>
                  <w:noWrap w:val="0"/>
                  <w:vAlign w:val="center"/>
                </w:tcPr>
                <w:p w14:paraId="72D687FD">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1.0</w:t>
                  </w:r>
                </w:p>
              </w:tc>
              <w:tc>
                <w:tcPr>
                  <w:tcW w:w="1078" w:type="dxa"/>
                  <w:tcBorders>
                    <w:tl2br w:val="nil"/>
                    <w:tr2bl w:val="nil"/>
                  </w:tcBorders>
                  <w:noWrap w:val="0"/>
                  <w:vAlign w:val="center"/>
                </w:tcPr>
                <w:p w14:paraId="5953A198">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default"/>
                      <w:color w:val="auto"/>
                      <w:sz w:val="21"/>
                      <w:szCs w:val="21"/>
                      <w:vertAlign w:val="baseline"/>
                    </w:rPr>
                  </w:pPr>
                  <w:r>
                    <w:rPr>
                      <w:rFonts w:hint="eastAsia" w:ascii="Times New Roman" w:hAnsi="Times New Roman" w:cs="Times New Roman"/>
                      <w:color w:val="auto"/>
                      <w:sz w:val="21"/>
                      <w:szCs w:val="21"/>
                      <w:vertAlign w:val="baseline"/>
                      <w:lang w:val="en-US" w:eastAsia="zh-CN"/>
                    </w:rPr>
                    <w:t>加油机</w:t>
                  </w:r>
                </w:p>
              </w:tc>
              <w:tc>
                <w:tcPr>
                  <w:tcW w:w="695" w:type="dxa"/>
                  <w:tcBorders>
                    <w:tl2br w:val="nil"/>
                    <w:tr2bl w:val="nil"/>
                  </w:tcBorders>
                  <w:noWrap w:val="0"/>
                  <w:vAlign w:val="center"/>
                </w:tcPr>
                <w:p w14:paraId="00F0CF8D">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default"/>
                      <w:color w:val="auto"/>
                      <w:sz w:val="21"/>
                      <w:szCs w:val="21"/>
                      <w:vertAlign w:val="baseline"/>
                    </w:rPr>
                  </w:pPr>
                  <w:r>
                    <w:rPr>
                      <w:rFonts w:hint="eastAsia" w:ascii="Times New Roman" w:hAnsi="Times New Roman" w:cs="Times New Roman"/>
                      <w:color w:val="auto"/>
                      <w:sz w:val="21"/>
                      <w:szCs w:val="21"/>
                      <w:lang w:val="en-US" w:eastAsia="zh-CN"/>
                    </w:rPr>
                    <w:t>固态</w:t>
                  </w:r>
                </w:p>
              </w:tc>
              <w:tc>
                <w:tcPr>
                  <w:tcW w:w="641" w:type="dxa"/>
                  <w:tcBorders>
                    <w:tl2br w:val="nil"/>
                    <w:tr2bl w:val="nil"/>
                  </w:tcBorders>
                  <w:noWrap w:val="0"/>
                  <w:vAlign w:val="center"/>
                </w:tcPr>
                <w:p w14:paraId="3DF70C8A">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default"/>
                      <w:color w:val="auto"/>
                      <w:sz w:val="21"/>
                      <w:szCs w:val="21"/>
                      <w:vertAlign w:val="baseline"/>
                    </w:rPr>
                  </w:pPr>
                  <w:r>
                    <w:rPr>
                      <w:rFonts w:hint="eastAsia" w:ascii="Times New Roman" w:hAnsi="Times New Roman" w:cs="Times New Roman"/>
                      <w:color w:val="auto"/>
                      <w:sz w:val="21"/>
                      <w:szCs w:val="21"/>
                      <w:vertAlign w:val="baseline"/>
                      <w:lang w:val="en-US" w:eastAsia="zh-CN"/>
                    </w:rPr>
                    <w:t>滤芯</w:t>
                  </w:r>
                </w:p>
              </w:tc>
              <w:tc>
                <w:tcPr>
                  <w:tcW w:w="641" w:type="dxa"/>
                  <w:tcBorders>
                    <w:tl2br w:val="nil"/>
                    <w:tr2bl w:val="nil"/>
                  </w:tcBorders>
                  <w:noWrap w:val="0"/>
                  <w:vAlign w:val="center"/>
                </w:tcPr>
                <w:p w14:paraId="691875C4">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default"/>
                      <w:color w:val="auto"/>
                      <w:sz w:val="21"/>
                      <w:szCs w:val="21"/>
                      <w:vertAlign w:val="baseline"/>
                    </w:rPr>
                  </w:pPr>
                  <w:r>
                    <w:rPr>
                      <w:rFonts w:hint="eastAsia" w:ascii="Times New Roman" w:hAnsi="Times New Roman" w:eastAsia="宋体" w:cs="Times New Roman"/>
                      <w:color w:val="auto"/>
                      <w:sz w:val="21"/>
                      <w:szCs w:val="21"/>
                      <w:lang w:val="en-US" w:eastAsia="zh-CN"/>
                    </w:rPr>
                    <w:t>矿物油</w:t>
                  </w:r>
                </w:p>
              </w:tc>
              <w:tc>
                <w:tcPr>
                  <w:tcW w:w="641" w:type="dxa"/>
                  <w:tcBorders>
                    <w:tl2br w:val="nil"/>
                    <w:tr2bl w:val="nil"/>
                  </w:tcBorders>
                  <w:noWrap w:val="0"/>
                  <w:vAlign w:val="center"/>
                </w:tcPr>
                <w:p w14:paraId="52521B6D">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default"/>
                      <w:color w:val="auto"/>
                      <w:sz w:val="21"/>
                      <w:szCs w:val="21"/>
                      <w:vertAlign w:val="baseline"/>
                    </w:rPr>
                  </w:pPr>
                  <w:r>
                    <w:rPr>
                      <w:rFonts w:hint="eastAsia" w:cs="Times New Roman"/>
                      <w:color w:val="auto"/>
                      <w:kern w:val="0"/>
                      <w:sz w:val="21"/>
                      <w:szCs w:val="21"/>
                      <w:lang w:val="en-US" w:eastAsia="zh-CN"/>
                    </w:rPr>
                    <w:t>三个月</w:t>
                  </w:r>
                </w:p>
              </w:tc>
              <w:tc>
                <w:tcPr>
                  <w:tcW w:w="668" w:type="dxa"/>
                  <w:tcBorders>
                    <w:tl2br w:val="nil"/>
                    <w:tr2bl w:val="nil"/>
                  </w:tcBorders>
                  <w:noWrap w:val="0"/>
                  <w:vAlign w:val="center"/>
                </w:tcPr>
                <w:p w14:paraId="029A505A">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T，In</w:t>
                  </w:r>
                </w:p>
              </w:tc>
              <w:tc>
                <w:tcPr>
                  <w:tcW w:w="850" w:type="dxa"/>
                  <w:vMerge w:val="continue"/>
                  <w:tcBorders>
                    <w:tl2br w:val="nil"/>
                    <w:tr2bl w:val="nil"/>
                  </w:tcBorders>
                  <w:noWrap w:val="0"/>
                  <w:vAlign w:val="center"/>
                </w:tcPr>
                <w:p w14:paraId="77B51FCA">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default"/>
                      <w:color w:val="auto"/>
                      <w:sz w:val="21"/>
                      <w:szCs w:val="21"/>
                      <w:vertAlign w:val="baseline"/>
                    </w:rPr>
                  </w:pPr>
                </w:p>
              </w:tc>
            </w:tr>
            <w:tr w14:paraId="41A164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638" w:type="dxa"/>
                  <w:tcBorders>
                    <w:tl2br w:val="nil"/>
                    <w:tr2bl w:val="nil"/>
                  </w:tcBorders>
                  <w:noWrap w:val="0"/>
                  <w:vAlign w:val="center"/>
                </w:tcPr>
                <w:p w14:paraId="7D57F6EE">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default" w:ascii="Times New Roman" w:hAnsi="Times New Roman" w:cs="Times New Roman"/>
                      <w:color w:val="FF0000"/>
                      <w:sz w:val="21"/>
                      <w:szCs w:val="21"/>
                      <w:vertAlign w:val="baseline"/>
                      <w:lang w:val="en-US" w:eastAsia="zh-CN"/>
                    </w:rPr>
                  </w:pPr>
                  <w:r>
                    <w:rPr>
                      <w:rFonts w:hint="eastAsia" w:ascii="Times New Roman" w:hAnsi="Times New Roman" w:cs="Times New Roman"/>
                      <w:color w:val="FF0000"/>
                      <w:sz w:val="21"/>
                      <w:szCs w:val="21"/>
                      <w:vertAlign w:val="baseline"/>
                      <w:lang w:val="en-US" w:eastAsia="zh-CN"/>
                    </w:rPr>
                    <w:t>5</w:t>
                  </w:r>
                </w:p>
              </w:tc>
              <w:tc>
                <w:tcPr>
                  <w:tcW w:w="996" w:type="dxa"/>
                  <w:tcBorders>
                    <w:tl2br w:val="nil"/>
                    <w:tr2bl w:val="nil"/>
                  </w:tcBorders>
                  <w:noWrap w:val="0"/>
                  <w:vAlign w:val="center"/>
                </w:tcPr>
                <w:p w14:paraId="54F7DB89">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default" w:ascii="Times New Roman" w:hAnsi="Times New Roman" w:cs="Times New Roman"/>
                      <w:color w:val="FF0000"/>
                      <w:sz w:val="21"/>
                      <w:szCs w:val="21"/>
                      <w:vertAlign w:val="baseline"/>
                      <w:lang w:val="en-US" w:eastAsia="zh-CN"/>
                    </w:rPr>
                  </w:pPr>
                  <w:r>
                    <w:rPr>
                      <w:rFonts w:hint="eastAsia" w:ascii="Times New Roman" w:hAnsi="Times New Roman" w:cs="Times New Roman"/>
                      <w:color w:val="FF0000"/>
                      <w:sz w:val="21"/>
                      <w:szCs w:val="21"/>
                      <w:vertAlign w:val="baseline"/>
                      <w:lang w:val="en-US" w:eastAsia="zh-CN"/>
                    </w:rPr>
                    <w:t>废含油抹布手套</w:t>
                  </w:r>
                </w:p>
              </w:tc>
              <w:tc>
                <w:tcPr>
                  <w:tcW w:w="818" w:type="dxa"/>
                  <w:tcBorders>
                    <w:tl2br w:val="nil"/>
                    <w:tr2bl w:val="nil"/>
                  </w:tcBorders>
                  <w:noWrap w:val="0"/>
                  <w:vAlign w:val="center"/>
                </w:tcPr>
                <w:p w14:paraId="26F54433">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eastAsia" w:ascii="Times New Roman" w:hAnsi="Times New Roman" w:cs="Times New Roman"/>
                      <w:color w:val="FF0000"/>
                      <w:sz w:val="21"/>
                      <w:szCs w:val="21"/>
                      <w:vertAlign w:val="baseline"/>
                      <w:lang w:val="en-US" w:eastAsia="zh-CN"/>
                    </w:rPr>
                  </w:pPr>
                  <w:r>
                    <w:rPr>
                      <w:rFonts w:hint="eastAsia" w:ascii="Times New Roman" w:hAnsi="Times New Roman" w:cs="Times New Roman"/>
                      <w:color w:val="FF0000"/>
                      <w:sz w:val="21"/>
                      <w:szCs w:val="21"/>
                      <w:vertAlign w:val="baseline"/>
                      <w:lang w:val="en-US" w:eastAsia="zh-CN"/>
                    </w:rPr>
                    <w:t>HW49</w:t>
                  </w:r>
                </w:p>
              </w:tc>
              <w:tc>
                <w:tcPr>
                  <w:tcW w:w="709" w:type="dxa"/>
                  <w:tcBorders>
                    <w:tl2br w:val="nil"/>
                    <w:tr2bl w:val="nil"/>
                  </w:tcBorders>
                  <w:noWrap w:val="0"/>
                  <w:vAlign w:val="center"/>
                </w:tcPr>
                <w:p w14:paraId="0C7CFCCA">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eastAsia" w:ascii="Times New Roman" w:hAnsi="Times New Roman" w:cs="Times New Roman"/>
                      <w:color w:val="FF0000"/>
                      <w:sz w:val="21"/>
                      <w:szCs w:val="21"/>
                      <w:vertAlign w:val="baseline"/>
                      <w:lang w:val="en-US" w:eastAsia="zh-CN"/>
                    </w:rPr>
                  </w:pPr>
                  <w:r>
                    <w:rPr>
                      <w:rFonts w:hint="eastAsia" w:ascii="Times New Roman" w:hAnsi="Times New Roman" w:cs="Times New Roman"/>
                      <w:color w:val="FF0000"/>
                      <w:sz w:val="21"/>
                      <w:szCs w:val="21"/>
                      <w:vertAlign w:val="baseline"/>
                      <w:lang w:val="en-US" w:eastAsia="zh-CN"/>
                    </w:rPr>
                    <w:t>900-041-49</w:t>
                  </w:r>
                </w:p>
              </w:tc>
              <w:tc>
                <w:tcPr>
                  <w:tcW w:w="886" w:type="dxa"/>
                  <w:tcBorders>
                    <w:tl2br w:val="nil"/>
                    <w:tr2bl w:val="nil"/>
                  </w:tcBorders>
                  <w:noWrap w:val="0"/>
                  <w:vAlign w:val="center"/>
                </w:tcPr>
                <w:p w14:paraId="5EE93715">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default" w:ascii="Times New Roman" w:hAnsi="Times New Roman" w:cs="Times New Roman"/>
                      <w:color w:val="FF0000"/>
                      <w:sz w:val="21"/>
                      <w:szCs w:val="21"/>
                      <w:vertAlign w:val="baseline"/>
                      <w:lang w:val="en-US" w:eastAsia="zh-CN"/>
                    </w:rPr>
                  </w:pPr>
                  <w:r>
                    <w:rPr>
                      <w:rFonts w:hint="eastAsia" w:ascii="Times New Roman" w:hAnsi="Times New Roman" w:cs="Times New Roman"/>
                      <w:color w:val="FF0000"/>
                      <w:sz w:val="21"/>
                      <w:szCs w:val="21"/>
                      <w:vertAlign w:val="baseline"/>
                      <w:lang w:val="en-US" w:eastAsia="zh-CN"/>
                    </w:rPr>
                    <w:t>0.05</w:t>
                  </w:r>
                </w:p>
              </w:tc>
              <w:tc>
                <w:tcPr>
                  <w:tcW w:w="1078" w:type="dxa"/>
                  <w:tcBorders>
                    <w:tl2br w:val="nil"/>
                    <w:tr2bl w:val="nil"/>
                  </w:tcBorders>
                  <w:noWrap w:val="0"/>
                  <w:vAlign w:val="center"/>
                </w:tcPr>
                <w:p w14:paraId="760212A4">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eastAsia" w:ascii="Times New Roman" w:hAnsi="Times New Roman" w:cs="Times New Roman"/>
                      <w:color w:val="FF0000"/>
                      <w:sz w:val="21"/>
                      <w:szCs w:val="21"/>
                      <w:vertAlign w:val="baseline"/>
                      <w:lang w:val="en-US" w:eastAsia="zh-CN"/>
                    </w:rPr>
                  </w:pPr>
                  <w:r>
                    <w:rPr>
                      <w:rFonts w:hint="eastAsia" w:ascii="Times New Roman" w:hAnsi="Times New Roman" w:cs="Times New Roman"/>
                      <w:color w:val="FF0000"/>
                      <w:sz w:val="21"/>
                      <w:szCs w:val="21"/>
                      <w:vertAlign w:val="baseline"/>
                      <w:lang w:val="en-US" w:eastAsia="zh-CN"/>
                    </w:rPr>
                    <w:t>卸油、加油、维修保养</w:t>
                  </w:r>
                </w:p>
              </w:tc>
              <w:tc>
                <w:tcPr>
                  <w:tcW w:w="695" w:type="dxa"/>
                  <w:tcBorders>
                    <w:tl2br w:val="nil"/>
                    <w:tr2bl w:val="nil"/>
                  </w:tcBorders>
                  <w:noWrap w:val="0"/>
                  <w:vAlign w:val="center"/>
                </w:tcPr>
                <w:p w14:paraId="21702817">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eastAsia" w:ascii="Times New Roman" w:hAnsi="Times New Roman" w:cs="Times New Roman"/>
                      <w:color w:val="FF0000"/>
                      <w:sz w:val="21"/>
                      <w:szCs w:val="21"/>
                      <w:vertAlign w:val="baseline"/>
                      <w:lang w:val="en-US" w:eastAsia="zh-CN"/>
                    </w:rPr>
                  </w:pPr>
                  <w:r>
                    <w:rPr>
                      <w:rFonts w:hint="eastAsia" w:ascii="Times New Roman" w:hAnsi="Times New Roman" w:cs="Times New Roman"/>
                      <w:color w:val="FF0000"/>
                      <w:sz w:val="21"/>
                      <w:szCs w:val="21"/>
                      <w:lang w:val="en-US" w:eastAsia="zh-CN"/>
                    </w:rPr>
                    <w:t>固态</w:t>
                  </w:r>
                </w:p>
              </w:tc>
              <w:tc>
                <w:tcPr>
                  <w:tcW w:w="641" w:type="dxa"/>
                  <w:tcBorders>
                    <w:tl2br w:val="nil"/>
                    <w:tr2bl w:val="nil"/>
                  </w:tcBorders>
                  <w:noWrap w:val="0"/>
                  <w:vAlign w:val="center"/>
                </w:tcPr>
                <w:p w14:paraId="2B5CDFDE">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eastAsia" w:ascii="Times New Roman" w:hAnsi="Times New Roman" w:cs="Times New Roman"/>
                      <w:color w:val="FF0000"/>
                      <w:sz w:val="21"/>
                      <w:szCs w:val="21"/>
                      <w:vertAlign w:val="baseline"/>
                      <w:lang w:val="en-US" w:eastAsia="zh-CN"/>
                    </w:rPr>
                  </w:pPr>
                  <w:r>
                    <w:rPr>
                      <w:rFonts w:hint="eastAsia" w:ascii="Times New Roman" w:hAnsi="Times New Roman" w:cs="Times New Roman"/>
                      <w:color w:val="FF0000"/>
                      <w:sz w:val="21"/>
                      <w:szCs w:val="21"/>
                      <w:vertAlign w:val="baseline"/>
                      <w:lang w:val="en-US" w:eastAsia="zh-CN"/>
                    </w:rPr>
                    <w:t>抹布手套</w:t>
                  </w:r>
                </w:p>
              </w:tc>
              <w:tc>
                <w:tcPr>
                  <w:tcW w:w="641" w:type="dxa"/>
                  <w:tcBorders>
                    <w:tl2br w:val="nil"/>
                    <w:tr2bl w:val="nil"/>
                  </w:tcBorders>
                  <w:noWrap w:val="0"/>
                  <w:vAlign w:val="center"/>
                </w:tcPr>
                <w:p w14:paraId="06601583">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eastAsia" w:ascii="Times New Roman" w:hAnsi="Times New Roman" w:cs="Times New Roman"/>
                      <w:color w:val="FF0000"/>
                      <w:sz w:val="21"/>
                      <w:szCs w:val="21"/>
                      <w:vertAlign w:val="baseline"/>
                      <w:lang w:val="en-US" w:eastAsia="zh-CN"/>
                    </w:rPr>
                  </w:pPr>
                  <w:r>
                    <w:rPr>
                      <w:rFonts w:hint="eastAsia" w:ascii="Times New Roman" w:hAnsi="Times New Roman" w:eastAsia="宋体" w:cs="Times New Roman"/>
                      <w:color w:val="FF0000"/>
                      <w:sz w:val="21"/>
                      <w:szCs w:val="21"/>
                      <w:lang w:val="en-US" w:eastAsia="zh-CN"/>
                    </w:rPr>
                    <w:t>矿物油</w:t>
                  </w:r>
                </w:p>
              </w:tc>
              <w:tc>
                <w:tcPr>
                  <w:tcW w:w="641" w:type="dxa"/>
                  <w:tcBorders>
                    <w:tl2br w:val="nil"/>
                    <w:tr2bl w:val="nil"/>
                  </w:tcBorders>
                  <w:noWrap w:val="0"/>
                  <w:vAlign w:val="center"/>
                </w:tcPr>
                <w:p w14:paraId="4FE54ADD">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eastAsia" w:ascii="Times New Roman" w:hAnsi="Times New Roman" w:cs="Times New Roman"/>
                      <w:color w:val="FF0000"/>
                      <w:sz w:val="21"/>
                      <w:szCs w:val="21"/>
                      <w:vertAlign w:val="baseline"/>
                      <w:lang w:val="en-US" w:eastAsia="zh-CN"/>
                    </w:rPr>
                  </w:pPr>
                  <w:r>
                    <w:rPr>
                      <w:rFonts w:hint="eastAsia" w:cs="Times New Roman"/>
                      <w:color w:val="FF0000"/>
                      <w:kern w:val="0"/>
                      <w:sz w:val="21"/>
                      <w:szCs w:val="21"/>
                      <w:lang w:val="en-US" w:eastAsia="zh-CN"/>
                    </w:rPr>
                    <w:t>三个月</w:t>
                  </w:r>
                </w:p>
              </w:tc>
              <w:tc>
                <w:tcPr>
                  <w:tcW w:w="668" w:type="dxa"/>
                  <w:tcBorders>
                    <w:tl2br w:val="nil"/>
                    <w:tr2bl w:val="nil"/>
                  </w:tcBorders>
                  <w:noWrap w:val="0"/>
                  <w:vAlign w:val="center"/>
                </w:tcPr>
                <w:p w14:paraId="5AB1CD79">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eastAsia" w:ascii="Times New Roman" w:hAnsi="Times New Roman" w:cs="Times New Roman"/>
                      <w:color w:val="FF0000"/>
                      <w:sz w:val="21"/>
                      <w:szCs w:val="21"/>
                      <w:vertAlign w:val="baseline"/>
                      <w:lang w:val="en-US" w:eastAsia="zh-CN"/>
                    </w:rPr>
                  </w:pPr>
                  <w:r>
                    <w:rPr>
                      <w:rFonts w:hint="default" w:ascii="Times New Roman" w:hAnsi="Times New Roman" w:cs="Times New Roman"/>
                      <w:color w:val="FF0000"/>
                      <w:sz w:val="21"/>
                      <w:szCs w:val="21"/>
                      <w:vertAlign w:val="baseline"/>
                    </w:rPr>
                    <w:t>T，In</w:t>
                  </w:r>
                </w:p>
              </w:tc>
              <w:tc>
                <w:tcPr>
                  <w:tcW w:w="850" w:type="dxa"/>
                  <w:vMerge w:val="continue"/>
                  <w:tcBorders>
                    <w:tl2br w:val="nil"/>
                    <w:tr2bl w:val="nil"/>
                  </w:tcBorders>
                  <w:noWrap w:val="0"/>
                  <w:vAlign w:val="center"/>
                </w:tcPr>
                <w:p w14:paraId="40D02310">
                  <w:pPr>
                    <w:pStyle w:val="2"/>
                    <w:keepNext w:val="0"/>
                    <w:keepLines w:val="0"/>
                    <w:pageBreakBefore w:val="0"/>
                    <w:widowControl w:val="0"/>
                    <w:kinsoku/>
                    <w:wordWrap/>
                    <w:overflowPunct/>
                    <w:topLinePunct w:val="0"/>
                    <w:autoSpaceDE w:val="0"/>
                    <w:autoSpaceDN w:val="0"/>
                    <w:bidi w:val="0"/>
                    <w:adjustRightInd/>
                    <w:snapToGrid w:val="0"/>
                    <w:spacing w:before="0" w:after="0" w:line="240" w:lineRule="auto"/>
                    <w:ind w:firstLine="0"/>
                    <w:jc w:val="center"/>
                    <w:textAlignment w:val="auto"/>
                    <w:rPr>
                      <w:rFonts w:hint="eastAsia" w:ascii="Times New Roman" w:hAnsi="Times New Roman" w:cs="Times New Roman"/>
                      <w:color w:val="auto"/>
                      <w:sz w:val="21"/>
                      <w:szCs w:val="21"/>
                      <w:vertAlign w:val="baseline"/>
                      <w:lang w:val="en-US" w:eastAsia="zh-CN"/>
                    </w:rPr>
                  </w:pPr>
                </w:p>
              </w:tc>
            </w:tr>
          </w:tbl>
          <w:p w14:paraId="05200C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rPr>
              <w:t>表4</w:t>
            </w:r>
            <w:r>
              <w:rPr>
                <w:rFonts w:hint="eastAsia" w:ascii="Times New Roman" w:hAnsi="Times New Roman" w:cs="Times New Roman"/>
                <w:b/>
                <w:bCs/>
                <w:color w:val="auto"/>
                <w:sz w:val="21"/>
                <w:szCs w:val="21"/>
                <w:lang w:val="en-US" w:eastAsia="zh-CN"/>
              </w:rPr>
              <w:t>.4</w:t>
            </w:r>
            <w:r>
              <w:rPr>
                <w:rFonts w:hint="default" w:ascii="Times New Roman" w:hAnsi="Times New Roman" w:cs="Times New Roman"/>
                <w:b/>
                <w:bCs/>
                <w:color w:val="auto"/>
                <w:sz w:val="21"/>
                <w:szCs w:val="21"/>
              </w:rPr>
              <w:t>-</w:t>
            </w:r>
            <w:r>
              <w:rPr>
                <w:rFonts w:hint="eastAsia" w:cs="Times New Roman"/>
                <w:b/>
                <w:bCs/>
                <w:color w:val="auto"/>
                <w:sz w:val="21"/>
                <w:szCs w:val="21"/>
                <w:lang w:val="en-US" w:eastAsia="zh-CN"/>
              </w:rPr>
              <w:t xml:space="preserve">4 </w:t>
            </w:r>
            <w:r>
              <w:rPr>
                <w:rFonts w:hint="default" w:ascii="Times New Roman" w:hAnsi="Times New Roman" w:cs="Times New Roman"/>
                <w:b/>
                <w:bCs/>
                <w:color w:val="auto"/>
                <w:sz w:val="21"/>
                <w:szCs w:val="21"/>
              </w:rPr>
              <w:t xml:space="preserve">  </w:t>
            </w:r>
            <w:r>
              <w:rPr>
                <w:rFonts w:hint="eastAsia" w:ascii="Times New Roman" w:hAnsi="Times New Roman" w:cs="Times New Roman"/>
                <w:b/>
                <w:bCs/>
                <w:color w:val="auto"/>
                <w:sz w:val="21"/>
                <w:szCs w:val="21"/>
                <w:lang w:val="en-US" w:eastAsia="zh-CN"/>
              </w:rPr>
              <w:t>项目</w:t>
            </w:r>
            <w:r>
              <w:rPr>
                <w:rFonts w:hint="default" w:ascii="Times New Roman" w:hAnsi="Times New Roman" w:cs="Times New Roman"/>
                <w:b/>
                <w:bCs/>
                <w:color w:val="auto"/>
                <w:sz w:val="21"/>
                <w:szCs w:val="21"/>
              </w:rPr>
              <w:t>危险废物贮存场所基本情况</w:t>
            </w:r>
            <w:r>
              <w:rPr>
                <w:rFonts w:hint="eastAsia" w:ascii="Times New Roman" w:hAnsi="Times New Roman" w:cs="Times New Roman"/>
                <w:b/>
                <w:bCs/>
                <w:color w:val="auto"/>
                <w:sz w:val="21"/>
                <w:szCs w:val="21"/>
                <w:lang w:val="en-US" w:eastAsia="zh-CN"/>
              </w:rPr>
              <w:t>一览表</w:t>
            </w:r>
          </w:p>
          <w:tbl>
            <w:tblPr>
              <w:tblStyle w:val="3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8"/>
              <w:gridCol w:w="891"/>
              <w:gridCol w:w="1104"/>
              <w:gridCol w:w="900"/>
              <w:gridCol w:w="1241"/>
              <w:gridCol w:w="709"/>
              <w:gridCol w:w="722"/>
              <w:gridCol w:w="1712"/>
              <w:gridCol w:w="684"/>
              <w:gridCol w:w="650"/>
            </w:tblGrid>
            <w:tr w14:paraId="080DA0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8" w:type="dxa"/>
                  <w:noWrap w:val="0"/>
                  <w:vAlign w:val="center"/>
                </w:tcPr>
                <w:p w14:paraId="291D2DC4">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b/>
                      <w:color w:val="auto"/>
                      <w:sz w:val="21"/>
                      <w:szCs w:val="21"/>
                      <w:highlight w:val="none"/>
                      <w:lang w:eastAsia="zh-CN" w:bidi="he-IL"/>
                    </w:rPr>
                  </w:pPr>
                  <w:r>
                    <w:rPr>
                      <w:rFonts w:hint="eastAsia"/>
                      <w:b/>
                      <w:color w:val="auto"/>
                      <w:sz w:val="21"/>
                      <w:szCs w:val="21"/>
                      <w:highlight w:val="none"/>
                      <w:lang w:eastAsia="zh-CN" w:bidi="he-IL"/>
                    </w:rPr>
                    <w:t>序号</w:t>
                  </w:r>
                </w:p>
              </w:tc>
              <w:tc>
                <w:tcPr>
                  <w:tcW w:w="891" w:type="dxa"/>
                  <w:noWrap w:val="0"/>
                  <w:vAlign w:val="center"/>
                </w:tcPr>
                <w:p w14:paraId="61E55F20">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b/>
                      <w:color w:val="auto"/>
                      <w:sz w:val="21"/>
                      <w:szCs w:val="21"/>
                      <w:highlight w:val="none"/>
                      <w:lang w:bidi="he-IL"/>
                    </w:rPr>
                  </w:pPr>
                  <w:r>
                    <w:rPr>
                      <w:rFonts w:ascii="Times New Roman" w:hAnsi="Times New Roman"/>
                      <w:b/>
                      <w:color w:val="auto"/>
                      <w:sz w:val="21"/>
                      <w:szCs w:val="21"/>
                      <w:highlight w:val="none"/>
                      <w:lang w:bidi="he-IL"/>
                    </w:rPr>
                    <w:t>贮存场所名称</w:t>
                  </w:r>
                </w:p>
              </w:tc>
              <w:tc>
                <w:tcPr>
                  <w:tcW w:w="1104" w:type="dxa"/>
                  <w:noWrap w:val="0"/>
                  <w:vAlign w:val="center"/>
                </w:tcPr>
                <w:p w14:paraId="0564FC17">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b/>
                      <w:color w:val="auto"/>
                      <w:sz w:val="21"/>
                      <w:szCs w:val="21"/>
                      <w:highlight w:val="none"/>
                      <w:lang w:bidi="he-IL"/>
                    </w:rPr>
                  </w:pPr>
                  <w:r>
                    <w:rPr>
                      <w:rFonts w:ascii="Times New Roman" w:hAnsi="Times New Roman"/>
                      <w:b/>
                      <w:color w:val="auto"/>
                      <w:sz w:val="21"/>
                      <w:szCs w:val="21"/>
                      <w:highlight w:val="none"/>
                      <w:lang w:bidi="he-IL"/>
                    </w:rPr>
                    <w:t>危险废物名称</w:t>
                  </w:r>
                </w:p>
              </w:tc>
              <w:tc>
                <w:tcPr>
                  <w:tcW w:w="900" w:type="dxa"/>
                  <w:noWrap w:val="0"/>
                  <w:vAlign w:val="center"/>
                </w:tcPr>
                <w:p w14:paraId="0FB5EF4A">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b/>
                      <w:color w:val="auto"/>
                      <w:sz w:val="21"/>
                      <w:szCs w:val="21"/>
                      <w:highlight w:val="none"/>
                      <w:lang w:bidi="he-IL"/>
                    </w:rPr>
                  </w:pPr>
                  <w:r>
                    <w:rPr>
                      <w:rFonts w:ascii="Times New Roman" w:hAnsi="Times New Roman"/>
                      <w:b/>
                      <w:color w:val="auto"/>
                      <w:sz w:val="21"/>
                      <w:szCs w:val="21"/>
                      <w:highlight w:val="none"/>
                      <w:lang w:bidi="he-IL"/>
                    </w:rPr>
                    <w:t>危险废物类别</w:t>
                  </w:r>
                </w:p>
              </w:tc>
              <w:tc>
                <w:tcPr>
                  <w:tcW w:w="1241" w:type="dxa"/>
                  <w:noWrap w:val="0"/>
                  <w:vAlign w:val="center"/>
                </w:tcPr>
                <w:p w14:paraId="528E63E7">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b/>
                      <w:color w:val="auto"/>
                      <w:sz w:val="21"/>
                      <w:szCs w:val="21"/>
                      <w:highlight w:val="none"/>
                      <w:lang w:bidi="he-IL"/>
                    </w:rPr>
                  </w:pPr>
                  <w:r>
                    <w:rPr>
                      <w:rFonts w:ascii="Times New Roman" w:hAnsi="Times New Roman"/>
                      <w:b/>
                      <w:color w:val="auto"/>
                      <w:sz w:val="21"/>
                      <w:szCs w:val="21"/>
                      <w:highlight w:val="none"/>
                      <w:lang w:bidi="he-IL"/>
                    </w:rPr>
                    <w:t>危险废物代码</w:t>
                  </w:r>
                </w:p>
              </w:tc>
              <w:tc>
                <w:tcPr>
                  <w:tcW w:w="709" w:type="dxa"/>
                  <w:noWrap w:val="0"/>
                  <w:vAlign w:val="center"/>
                </w:tcPr>
                <w:p w14:paraId="5F03705B">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b/>
                      <w:color w:val="auto"/>
                      <w:sz w:val="21"/>
                      <w:szCs w:val="21"/>
                      <w:highlight w:val="none"/>
                      <w:lang w:bidi="he-IL"/>
                    </w:rPr>
                  </w:pPr>
                  <w:r>
                    <w:rPr>
                      <w:rFonts w:ascii="Times New Roman" w:hAnsi="Times New Roman"/>
                      <w:b/>
                      <w:color w:val="auto"/>
                      <w:sz w:val="21"/>
                      <w:szCs w:val="21"/>
                      <w:highlight w:val="none"/>
                      <w:lang w:bidi="he-IL"/>
                    </w:rPr>
                    <w:t>位置</w:t>
                  </w:r>
                </w:p>
              </w:tc>
              <w:tc>
                <w:tcPr>
                  <w:tcW w:w="722" w:type="dxa"/>
                  <w:noWrap w:val="0"/>
                  <w:vAlign w:val="center"/>
                </w:tcPr>
                <w:p w14:paraId="4A927D7F">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b/>
                      <w:color w:val="auto"/>
                      <w:sz w:val="21"/>
                      <w:szCs w:val="21"/>
                      <w:highlight w:val="none"/>
                      <w:lang w:bidi="he-IL"/>
                    </w:rPr>
                  </w:pPr>
                  <w:r>
                    <w:rPr>
                      <w:rFonts w:ascii="Times New Roman" w:hAnsi="Times New Roman"/>
                      <w:b/>
                      <w:color w:val="auto"/>
                      <w:sz w:val="21"/>
                      <w:szCs w:val="21"/>
                      <w:highlight w:val="none"/>
                      <w:lang w:bidi="he-IL"/>
                    </w:rPr>
                    <w:t>占地面积</w:t>
                  </w:r>
                </w:p>
              </w:tc>
              <w:tc>
                <w:tcPr>
                  <w:tcW w:w="1712" w:type="dxa"/>
                  <w:noWrap w:val="0"/>
                  <w:vAlign w:val="center"/>
                </w:tcPr>
                <w:p w14:paraId="002507CA">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b/>
                      <w:color w:val="auto"/>
                      <w:sz w:val="21"/>
                      <w:szCs w:val="21"/>
                      <w:highlight w:val="none"/>
                      <w:lang w:bidi="he-IL"/>
                    </w:rPr>
                  </w:pPr>
                  <w:r>
                    <w:rPr>
                      <w:rFonts w:ascii="Times New Roman" w:hAnsi="Times New Roman"/>
                      <w:b/>
                      <w:color w:val="auto"/>
                      <w:sz w:val="21"/>
                      <w:szCs w:val="21"/>
                      <w:highlight w:val="none"/>
                      <w:lang w:bidi="he-IL"/>
                    </w:rPr>
                    <w:t>贮存方式</w:t>
                  </w:r>
                </w:p>
              </w:tc>
              <w:tc>
                <w:tcPr>
                  <w:tcW w:w="684" w:type="dxa"/>
                  <w:noWrap w:val="0"/>
                  <w:vAlign w:val="center"/>
                </w:tcPr>
                <w:p w14:paraId="64D61387">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b/>
                      <w:color w:val="auto"/>
                      <w:sz w:val="21"/>
                      <w:szCs w:val="21"/>
                      <w:highlight w:val="none"/>
                      <w:lang w:bidi="he-IL"/>
                    </w:rPr>
                  </w:pPr>
                  <w:r>
                    <w:rPr>
                      <w:rFonts w:ascii="Times New Roman" w:hAnsi="Times New Roman"/>
                      <w:b/>
                      <w:color w:val="auto"/>
                      <w:sz w:val="21"/>
                      <w:szCs w:val="21"/>
                      <w:highlight w:val="none"/>
                      <w:lang w:bidi="he-IL"/>
                    </w:rPr>
                    <w:t>贮存能力</w:t>
                  </w:r>
                </w:p>
              </w:tc>
              <w:tc>
                <w:tcPr>
                  <w:tcW w:w="650" w:type="dxa"/>
                  <w:noWrap w:val="0"/>
                  <w:vAlign w:val="center"/>
                </w:tcPr>
                <w:p w14:paraId="6AFC717B">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b/>
                      <w:color w:val="auto"/>
                      <w:sz w:val="21"/>
                      <w:szCs w:val="21"/>
                      <w:highlight w:val="none"/>
                      <w:lang w:bidi="he-IL"/>
                    </w:rPr>
                  </w:pPr>
                  <w:r>
                    <w:rPr>
                      <w:rFonts w:ascii="Times New Roman" w:hAnsi="Times New Roman"/>
                      <w:b/>
                      <w:color w:val="auto"/>
                      <w:sz w:val="21"/>
                      <w:szCs w:val="21"/>
                      <w:highlight w:val="none"/>
                      <w:lang w:bidi="he-IL"/>
                    </w:rPr>
                    <w:t>贮存周期</w:t>
                  </w:r>
                </w:p>
              </w:tc>
            </w:tr>
            <w:tr w14:paraId="6E05CE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648" w:type="dxa"/>
                  <w:noWrap w:val="0"/>
                  <w:vAlign w:val="center"/>
                </w:tcPr>
                <w:p w14:paraId="2E136BB3">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he-IL"/>
                    </w:rPr>
                  </w:pPr>
                  <w:r>
                    <w:rPr>
                      <w:rFonts w:hint="default" w:ascii="Times New Roman" w:hAnsi="Times New Roman" w:cs="Times New Roman"/>
                      <w:b w:val="0"/>
                      <w:bCs/>
                      <w:color w:val="auto"/>
                      <w:sz w:val="21"/>
                      <w:szCs w:val="21"/>
                      <w:highlight w:val="none"/>
                      <w:lang w:val="en-US" w:eastAsia="zh-CN" w:bidi="he-IL"/>
                    </w:rPr>
                    <w:t>1</w:t>
                  </w:r>
                </w:p>
              </w:tc>
              <w:tc>
                <w:tcPr>
                  <w:tcW w:w="891" w:type="dxa"/>
                  <w:vMerge w:val="restart"/>
                  <w:noWrap w:val="0"/>
                  <w:vAlign w:val="center"/>
                </w:tcPr>
                <w:p w14:paraId="0F5906EA">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bCs/>
                      <w:color w:val="auto"/>
                      <w:sz w:val="21"/>
                      <w:szCs w:val="21"/>
                      <w:highlight w:val="none"/>
                      <w:lang w:val="en-US" w:eastAsia="zh-CN" w:bidi="he-IL"/>
                    </w:rPr>
                  </w:pPr>
                  <w:r>
                    <w:rPr>
                      <w:rFonts w:hint="eastAsia" w:ascii="Times New Roman" w:hAnsi="Times New Roman" w:eastAsia="宋体"/>
                      <w:bCs/>
                      <w:color w:val="auto"/>
                      <w:sz w:val="21"/>
                      <w:szCs w:val="21"/>
                      <w:highlight w:val="none"/>
                      <w:lang w:val="en-US" w:eastAsia="zh-CN" w:bidi="he-IL"/>
                    </w:rPr>
                    <w:t>危险废物暂存间</w:t>
                  </w:r>
                </w:p>
              </w:tc>
              <w:tc>
                <w:tcPr>
                  <w:tcW w:w="1104" w:type="dxa"/>
                  <w:noWrap w:val="0"/>
                  <w:vAlign w:val="center"/>
                </w:tcPr>
                <w:p w14:paraId="6B68D17C">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cs="Times New Roman"/>
                      <w:b w:val="0"/>
                      <w:bCs w:val="0"/>
                      <w:color w:val="auto"/>
                      <w:sz w:val="21"/>
                      <w:szCs w:val="21"/>
                      <w:lang w:eastAsia="zh-CN"/>
                    </w:rPr>
                  </w:pPr>
                  <w:r>
                    <w:rPr>
                      <w:rFonts w:hint="eastAsia" w:ascii="Times New Roman" w:hAnsi="Times New Roman" w:cs="Times New Roman"/>
                      <w:color w:val="auto"/>
                      <w:sz w:val="21"/>
                      <w:szCs w:val="21"/>
                      <w:vertAlign w:val="baseline"/>
                      <w:lang w:val="en-US" w:eastAsia="zh-CN"/>
                    </w:rPr>
                    <w:t>废吸油毡</w:t>
                  </w:r>
                </w:p>
              </w:tc>
              <w:tc>
                <w:tcPr>
                  <w:tcW w:w="900" w:type="dxa"/>
                  <w:noWrap w:val="0"/>
                  <w:vAlign w:val="center"/>
                </w:tcPr>
                <w:p w14:paraId="2D622C19">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he-IL"/>
                    </w:rPr>
                  </w:pPr>
                  <w:r>
                    <w:rPr>
                      <w:rFonts w:hint="eastAsia" w:ascii="Times New Roman" w:hAnsi="Times New Roman" w:cs="Times New Roman"/>
                      <w:color w:val="auto"/>
                      <w:sz w:val="21"/>
                      <w:szCs w:val="21"/>
                      <w:vertAlign w:val="baseline"/>
                      <w:lang w:val="en-US" w:eastAsia="zh-CN"/>
                    </w:rPr>
                    <w:t>HW49</w:t>
                  </w:r>
                </w:p>
              </w:tc>
              <w:tc>
                <w:tcPr>
                  <w:tcW w:w="1241" w:type="dxa"/>
                  <w:noWrap w:val="0"/>
                  <w:vAlign w:val="center"/>
                </w:tcPr>
                <w:p w14:paraId="1ACFA0ED">
                  <w:pPr>
                    <w:pStyle w:val="98"/>
                    <w:keepNext w:val="0"/>
                    <w:keepLines w:val="0"/>
                    <w:pageBreakBefore w:val="0"/>
                    <w:kinsoku/>
                    <w:wordWrap/>
                    <w:overflowPunct/>
                    <w:topLinePunct w:val="0"/>
                    <w:autoSpaceDE/>
                    <w:autoSpaceDN/>
                    <w:bidi w:val="0"/>
                    <w:adjustRightInd/>
                    <w:snapToGrid w:val="0"/>
                    <w:spacing w:beforeLines="0" w:afterLines="0" w:line="240" w:lineRule="auto"/>
                    <w:ind w:firstLine="0" w:firstLineChars="0"/>
                    <w:textAlignment w:val="auto"/>
                    <w:rPr>
                      <w:rFonts w:hint="default" w:ascii="Times New Roman" w:hAnsi="Times New Roman" w:eastAsia="宋体" w:cs="Times New Roman"/>
                      <w:b w:val="0"/>
                      <w:bCs w:val="0"/>
                      <w:color w:val="auto"/>
                      <w:kern w:val="2"/>
                      <w:sz w:val="21"/>
                      <w:szCs w:val="21"/>
                      <w:lang w:val="en-US" w:eastAsia="zh-CN" w:bidi="he-IL"/>
                    </w:rPr>
                  </w:pPr>
                  <w:r>
                    <w:rPr>
                      <w:rFonts w:hint="eastAsia" w:ascii="Times New Roman" w:hAnsi="Times New Roman" w:cs="Times New Roman"/>
                      <w:color w:val="auto"/>
                      <w:sz w:val="21"/>
                      <w:szCs w:val="21"/>
                      <w:vertAlign w:val="baseline"/>
                      <w:lang w:val="en-US" w:eastAsia="zh-CN"/>
                    </w:rPr>
                    <w:t>900-041-49</w:t>
                  </w:r>
                </w:p>
              </w:tc>
              <w:tc>
                <w:tcPr>
                  <w:tcW w:w="709" w:type="dxa"/>
                  <w:vMerge w:val="restart"/>
                  <w:noWrap w:val="0"/>
                  <w:vAlign w:val="center"/>
                </w:tcPr>
                <w:p w14:paraId="4F76B345">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bCs/>
                      <w:color w:val="FF0000"/>
                      <w:sz w:val="21"/>
                      <w:szCs w:val="21"/>
                      <w:highlight w:val="none"/>
                      <w:lang w:val="en-US" w:eastAsia="zh-CN" w:bidi="he-IL"/>
                    </w:rPr>
                  </w:pPr>
                  <w:r>
                    <w:rPr>
                      <w:rFonts w:hint="eastAsia"/>
                      <w:bCs/>
                      <w:color w:val="auto"/>
                      <w:sz w:val="21"/>
                      <w:szCs w:val="21"/>
                      <w:highlight w:val="none"/>
                      <w:lang w:val="en-US" w:eastAsia="zh-CN" w:bidi="he-IL"/>
                    </w:rPr>
                    <w:t>卸油区</w:t>
                  </w:r>
                  <w:r>
                    <w:rPr>
                      <w:rFonts w:hint="default" w:ascii="Times New Roman" w:hAnsi="Times New Roman" w:eastAsia="宋体"/>
                      <w:bCs/>
                      <w:color w:val="auto"/>
                      <w:sz w:val="21"/>
                      <w:szCs w:val="21"/>
                      <w:highlight w:val="none"/>
                      <w:lang w:val="en-US" w:eastAsia="zh-CN" w:bidi="he-IL"/>
                    </w:rPr>
                    <w:t>旁</w:t>
                  </w:r>
                </w:p>
              </w:tc>
              <w:tc>
                <w:tcPr>
                  <w:tcW w:w="722" w:type="dxa"/>
                  <w:vMerge w:val="restart"/>
                  <w:noWrap w:val="0"/>
                  <w:vAlign w:val="center"/>
                </w:tcPr>
                <w:p w14:paraId="5533D906">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FF0000"/>
                      <w:sz w:val="21"/>
                      <w:szCs w:val="21"/>
                      <w:highlight w:val="none"/>
                      <w:vertAlign w:val="superscript"/>
                      <w:lang w:bidi="he-IL"/>
                    </w:rPr>
                  </w:pPr>
                  <w:r>
                    <w:rPr>
                      <w:rFonts w:hint="eastAsia" w:cs="Times New Roman"/>
                      <w:bCs/>
                      <w:color w:val="auto"/>
                      <w:sz w:val="21"/>
                      <w:szCs w:val="21"/>
                      <w:highlight w:val="none"/>
                      <w:lang w:val="en-US" w:eastAsia="zh-CN" w:bidi="he-IL"/>
                    </w:rPr>
                    <w:t>2.5</w:t>
                  </w:r>
                  <w:r>
                    <w:rPr>
                      <w:rFonts w:hint="default" w:ascii="Times New Roman" w:hAnsi="Times New Roman" w:cs="Times New Roman"/>
                      <w:bCs/>
                      <w:color w:val="auto"/>
                      <w:sz w:val="21"/>
                      <w:szCs w:val="21"/>
                      <w:highlight w:val="none"/>
                      <w:lang w:bidi="he-IL"/>
                    </w:rPr>
                    <w:t>m</w:t>
                  </w:r>
                  <w:r>
                    <w:rPr>
                      <w:rFonts w:hint="default" w:ascii="Times New Roman" w:hAnsi="Times New Roman" w:cs="Times New Roman"/>
                      <w:bCs/>
                      <w:color w:val="auto"/>
                      <w:sz w:val="21"/>
                      <w:szCs w:val="21"/>
                      <w:highlight w:val="none"/>
                      <w:vertAlign w:val="superscript"/>
                      <w:lang w:bidi="he-IL"/>
                    </w:rPr>
                    <w:t>2</w:t>
                  </w:r>
                </w:p>
              </w:tc>
              <w:tc>
                <w:tcPr>
                  <w:tcW w:w="1712" w:type="dxa"/>
                  <w:vMerge w:val="restart"/>
                  <w:noWrap w:val="0"/>
                  <w:vAlign w:val="center"/>
                </w:tcPr>
                <w:p w14:paraId="3A5AD21B">
                  <w:pPr>
                    <w:pStyle w:val="98"/>
                    <w:keepNext w:val="0"/>
                    <w:keepLines w:val="0"/>
                    <w:pageBreakBefore w:val="0"/>
                    <w:kinsoku/>
                    <w:wordWrap/>
                    <w:overflowPunct/>
                    <w:topLinePunct w:val="0"/>
                    <w:autoSpaceDE/>
                    <w:autoSpaceDN/>
                    <w:bidi w:val="0"/>
                    <w:adjustRightInd/>
                    <w:snapToGrid w:val="0"/>
                    <w:spacing w:beforeLines="0" w:afterLines="0" w:line="240" w:lineRule="auto"/>
                    <w:ind w:firstLine="0" w:firstLineChars="0"/>
                    <w:textAlignment w:val="auto"/>
                    <w:rPr>
                      <w:rFonts w:hint="eastAsia" w:cs="Times New Roman"/>
                      <w:b w:val="0"/>
                      <w:bCs w:val="0"/>
                      <w:color w:val="auto"/>
                      <w:sz w:val="21"/>
                      <w:szCs w:val="21"/>
                      <w:lang w:eastAsia="zh-CN"/>
                    </w:rPr>
                  </w:pPr>
                  <w:r>
                    <w:rPr>
                      <w:rFonts w:hint="eastAsia" w:ascii="Times New Roman" w:hAnsi="Times New Roman" w:eastAsia="Times New Roman" w:cs="Times New Roman"/>
                      <w:bCs/>
                      <w:color w:val="auto"/>
                      <w:sz w:val="21"/>
                      <w:szCs w:val="21"/>
                      <w:highlight w:val="none"/>
                      <w:lang w:val="en-US" w:eastAsia="zh-CN" w:bidi="he-IL"/>
                    </w:rPr>
                    <w:t>液态采用加盖的桶贮存、固态采用有内衬的复合编织袋贮存</w:t>
                  </w:r>
                </w:p>
              </w:tc>
              <w:tc>
                <w:tcPr>
                  <w:tcW w:w="684" w:type="dxa"/>
                  <w:vMerge w:val="restart"/>
                  <w:noWrap w:val="0"/>
                  <w:vAlign w:val="center"/>
                </w:tcPr>
                <w:p w14:paraId="497004A3">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lang w:val="en-US" w:eastAsia="zh-CN" w:bidi="he-IL"/>
                    </w:rPr>
                  </w:pPr>
                  <w:r>
                    <w:rPr>
                      <w:rFonts w:hint="eastAsia" w:cs="Times New Roman"/>
                      <w:bCs/>
                      <w:color w:val="auto"/>
                      <w:sz w:val="21"/>
                      <w:szCs w:val="21"/>
                      <w:highlight w:val="none"/>
                      <w:lang w:val="en-US" w:eastAsia="zh-CN" w:bidi="he-IL"/>
                    </w:rPr>
                    <w:t>2.5</w:t>
                  </w:r>
                  <w:r>
                    <w:rPr>
                      <w:rFonts w:hint="eastAsia" w:ascii="Times New Roman" w:hAnsi="Times New Roman" w:cs="Times New Roman"/>
                      <w:bCs/>
                      <w:color w:val="auto"/>
                      <w:sz w:val="21"/>
                      <w:szCs w:val="21"/>
                      <w:highlight w:val="none"/>
                      <w:lang w:val="en-US" w:eastAsia="zh-CN" w:bidi="he-IL"/>
                    </w:rPr>
                    <w:t>t</w:t>
                  </w:r>
                </w:p>
              </w:tc>
              <w:tc>
                <w:tcPr>
                  <w:tcW w:w="650" w:type="dxa"/>
                  <w:vMerge w:val="restart"/>
                  <w:noWrap w:val="0"/>
                  <w:vAlign w:val="center"/>
                </w:tcPr>
                <w:p w14:paraId="1539B581">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lang w:bidi="he-IL"/>
                    </w:rPr>
                  </w:pPr>
                  <w:r>
                    <w:rPr>
                      <w:rFonts w:hint="default" w:ascii="Times New Roman" w:hAnsi="Times New Roman" w:cs="Times New Roman"/>
                      <w:color w:val="auto"/>
                      <w:kern w:val="0"/>
                      <w:sz w:val="21"/>
                      <w:szCs w:val="21"/>
                    </w:rPr>
                    <w:t>半年</w:t>
                  </w:r>
                </w:p>
              </w:tc>
            </w:tr>
            <w:tr w14:paraId="0A292E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648" w:type="dxa"/>
                  <w:noWrap w:val="0"/>
                  <w:vAlign w:val="center"/>
                </w:tcPr>
                <w:p w14:paraId="69E9F9F5">
                  <w:pPr>
                    <w:pStyle w:val="98"/>
                    <w:keepNext w:val="0"/>
                    <w:keepLines w:val="0"/>
                    <w:pageBreakBefore w:val="0"/>
                    <w:kinsoku/>
                    <w:wordWrap/>
                    <w:overflowPunct/>
                    <w:topLinePunct w:val="0"/>
                    <w:autoSpaceDE/>
                    <w:autoSpaceDN/>
                    <w:bidi w:val="0"/>
                    <w:adjustRightInd/>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891" w:type="dxa"/>
                  <w:vMerge w:val="continue"/>
                  <w:noWrap w:val="0"/>
                  <w:vAlign w:val="center"/>
                </w:tcPr>
                <w:p w14:paraId="472BC634">
                  <w:pPr>
                    <w:pStyle w:val="98"/>
                    <w:keepNext w:val="0"/>
                    <w:keepLines w:val="0"/>
                    <w:pageBreakBefore w:val="0"/>
                    <w:kinsoku/>
                    <w:wordWrap/>
                    <w:overflowPunct/>
                    <w:topLinePunct w:val="0"/>
                    <w:autoSpaceDE/>
                    <w:autoSpaceDN/>
                    <w:bidi w:val="0"/>
                    <w:adjustRightInd/>
                    <w:snapToGrid w:val="0"/>
                    <w:spacing w:beforeLines="0" w:afterLines="0" w:line="240" w:lineRule="auto"/>
                    <w:ind w:firstLine="0" w:firstLineChars="0"/>
                    <w:textAlignment w:val="auto"/>
                    <w:rPr>
                      <w:color w:val="auto"/>
                      <w:sz w:val="21"/>
                      <w:szCs w:val="21"/>
                    </w:rPr>
                  </w:pPr>
                </w:p>
              </w:tc>
              <w:tc>
                <w:tcPr>
                  <w:tcW w:w="1104" w:type="dxa"/>
                  <w:noWrap w:val="0"/>
                  <w:vAlign w:val="center"/>
                </w:tcPr>
                <w:p w14:paraId="7CE9C63D">
                  <w:pPr>
                    <w:pStyle w:val="98"/>
                    <w:keepNext w:val="0"/>
                    <w:keepLines w:val="0"/>
                    <w:pageBreakBefore w:val="0"/>
                    <w:kinsoku/>
                    <w:wordWrap/>
                    <w:overflowPunct/>
                    <w:topLinePunct w:val="0"/>
                    <w:autoSpaceDE/>
                    <w:autoSpaceDN/>
                    <w:bidi w:val="0"/>
                    <w:adjustRightInd/>
                    <w:snapToGrid w:val="0"/>
                    <w:spacing w:beforeLines="0" w:afterLines="0" w:line="240" w:lineRule="auto"/>
                    <w:ind w:firstLine="0" w:firstLineChars="0"/>
                    <w:textAlignment w:val="auto"/>
                    <w:rPr>
                      <w:rFonts w:hint="default" w:cs="Times New Roman"/>
                      <w:b w:val="0"/>
                      <w:bCs w:val="0"/>
                      <w:color w:val="auto"/>
                      <w:sz w:val="21"/>
                      <w:szCs w:val="21"/>
                      <w:lang w:val="en-US" w:eastAsia="zh-CN"/>
                    </w:rPr>
                  </w:pPr>
                  <w:r>
                    <w:rPr>
                      <w:rFonts w:hint="eastAsia" w:ascii="Times New Roman" w:hAnsi="Times New Roman" w:cs="Times New Roman"/>
                      <w:color w:val="auto"/>
                      <w:sz w:val="21"/>
                      <w:szCs w:val="21"/>
                      <w:vertAlign w:val="baseline"/>
                      <w:lang w:val="en-US" w:eastAsia="zh-CN"/>
                    </w:rPr>
                    <w:t>废滤芯</w:t>
                  </w:r>
                </w:p>
              </w:tc>
              <w:tc>
                <w:tcPr>
                  <w:tcW w:w="900" w:type="dxa"/>
                  <w:noWrap w:val="0"/>
                  <w:vAlign w:val="center"/>
                </w:tcPr>
                <w:p w14:paraId="32BFD3AE">
                  <w:pPr>
                    <w:pStyle w:val="98"/>
                    <w:keepNext w:val="0"/>
                    <w:keepLines w:val="0"/>
                    <w:pageBreakBefore w:val="0"/>
                    <w:kinsoku/>
                    <w:wordWrap/>
                    <w:overflowPunct/>
                    <w:topLinePunct w:val="0"/>
                    <w:autoSpaceDE/>
                    <w:autoSpaceDN/>
                    <w:bidi w:val="0"/>
                    <w:adjustRightInd/>
                    <w:snapToGrid w:val="0"/>
                    <w:spacing w:beforeLines="0" w:afterLines="0" w:line="240" w:lineRule="auto"/>
                    <w:ind w:firstLine="0" w:firstLineChars="0"/>
                    <w:textAlignment w:val="auto"/>
                    <w:rPr>
                      <w:rFonts w:hint="eastAsia" w:cs="Times New Roman"/>
                      <w:b w:val="0"/>
                      <w:bCs w:val="0"/>
                      <w:color w:val="auto"/>
                      <w:sz w:val="21"/>
                      <w:szCs w:val="21"/>
                      <w:lang w:eastAsia="zh-CN"/>
                    </w:rPr>
                  </w:pPr>
                  <w:r>
                    <w:rPr>
                      <w:rFonts w:hint="eastAsia" w:ascii="Times New Roman" w:hAnsi="Times New Roman" w:cs="Times New Roman"/>
                      <w:color w:val="auto"/>
                      <w:sz w:val="21"/>
                      <w:szCs w:val="21"/>
                      <w:vertAlign w:val="baseline"/>
                      <w:lang w:val="en-US" w:eastAsia="zh-CN"/>
                    </w:rPr>
                    <w:t>HW49</w:t>
                  </w:r>
                </w:p>
              </w:tc>
              <w:tc>
                <w:tcPr>
                  <w:tcW w:w="1241" w:type="dxa"/>
                  <w:noWrap w:val="0"/>
                  <w:vAlign w:val="center"/>
                </w:tcPr>
                <w:p w14:paraId="1DB28975">
                  <w:pPr>
                    <w:pStyle w:val="98"/>
                    <w:keepNext w:val="0"/>
                    <w:keepLines w:val="0"/>
                    <w:pageBreakBefore w:val="0"/>
                    <w:kinsoku/>
                    <w:wordWrap/>
                    <w:overflowPunct/>
                    <w:topLinePunct w:val="0"/>
                    <w:autoSpaceDE/>
                    <w:autoSpaceDN/>
                    <w:bidi w:val="0"/>
                    <w:adjustRightInd/>
                    <w:snapToGrid w:val="0"/>
                    <w:spacing w:beforeLines="0" w:afterLines="0" w:line="240" w:lineRule="auto"/>
                    <w:ind w:firstLine="0" w:firstLineChars="0"/>
                    <w:textAlignment w:val="auto"/>
                    <w:rPr>
                      <w:rFonts w:hint="eastAsia" w:cs="Times New Roman"/>
                      <w:b w:val="0"/>
                      <w:bCs w:val="0"/>
                      <w:color w:val="auto"/>
                      <w:sz w:val="21"/>
                      <w:szCs w:val="21"/>
                      <w:lang w:eastAsia="zh-CN"/>
                    </w:rPr>
                  </w:pPr>
                  <w:r>
                    <w:rPr>
                      <w:rFonts w:hint="eastAsia" w:ascii="Times New Roman" w:hAnsi="Times New Roman" w:cs="Times New Roman"/>
                      <w:color w:val="auto"/>
                      <w:sz w:val="21"/>
                      <w:szCs w:val="21"/>
                      <w:vertAlign w:val="baseline"/>
                      <w:lang w:val="en-US" w:eastAsia="zh-CN"/>
                    </w:rPr>
                    <w:t>900-041-49</w:t>
                  </w:r>
                </w:p>
              </w:tc>
              <w:tc>
                <w:tcPr>
                  <w:tcW w:w="709" w:type="dxa"/>
                  <w:vMerge w:val="continue"/>
                  <w:noWrap w:val="0"/>
                  <w:vAlign w:val="center"/>
                </w:tcPr>
                <w:p w14:paraId="06999F71">
                  <w:pPr>
                    <w:pStyle w:val="98"/>
                    <w:keepNext w:val="0"/>
                    <w:keepLines w:val="0"/>
                    <w:pageBreakBefore w:val="0"/>
                    <w:kinsoku/>
                    <w:wordWrap/>
                    <w:overflowPunct/>
                    <w:topLinePunct w:val="0"/>
                    <w:autoSpaceDE/>
                    <w:autoSpaceDN/>
                    <w:bidi w:val="0"/>
                    <w:adjustRightInd/>
                    <w:snapToGrid w:val="0"/>
                    <w:spacing w:beforeLines="0" w:afterLines="0" w:line="240" w:lineRule="auto"/>
                    <w:ind w:firstLine="0" w:firstLineChars="0"/>
                    <w:textAlignment w:val="auto"/>
                    <w:rPr>
                      <w:rFonts w:hint="eastAsia" w:cs="Times New Roman"/>
                      <w:b w:val="0"/>
                      <w:bCs w:val="0"/>
                      <w:color w:val="auto"/>
                      <w:sz w:val="21"/>
                      <w:szCs w:val="21"/>
                      <w:lang w:eastAsia="zh-CN"/>
                    </w:rPr>
                  </w:pPr>
                </w:p>
              </w:tc>
              <w:tc>
                <w:tcPr>
                  <w:tcW w:w="722" w:type="dxa"/>
                  <w:vMerge w:val="continue"/>
                  <w:noWrap w:val="0"/>
                  <w:vAlign w:val="center"/>
                </w:tcPr>
                <w:p w14:paraId="13DE28A7">
                  <w:pPr>
                    <w:pStyle w:val="98"/>
                    <w:keepNext w:val="0"/>
                    <w:keepLines w:val="0"/>
                    <w:pageBreakBefore w:val="0"/>
                    <w:kinsoku/>
                    <w:wordWrap/>
                    <w:overflowPunct/>
                    <w:topLinePunct w:val="0"/>
                    <w:autoSpaceDE/>
                    <w:autoSpaceDN/>
                    <w:bidi w:val="0"/>
                    <w:adjustRightInd/>
                    <w:snapToGrid w:val="0"/>
                    <w:spacing w:beforeLines="0" w:afterLines="0" w:line="240" w:lineRule="auto"/>
                    <w:ind w:firstLine="0" w:firstLineChars="0"/>
                    <w:textAlignment w:val="auto"/>
                    <w:rPr>
                      <w:rFonts w:hint="eastAsia" w:cs="Times New Roman"/>
                      <w:b w:val="0"/>
                      <w:bCs w:val="0"/>
                      <w:color w:val="auto"/>
                      <w:sz w:val="21"/>
                      <w:szCs w:val="21"/>
                      <w:lang w:eastAsia="zh-CN"/>
                    </w:rPr>
                  </w:pPr>
                </w:p>
              </w:tc>
              <w:tc>
                <w:tcPr>
                  <w:tcW w:w="1712" w:type="dxa"/>
                  <w:vMerge w:val="continue"/>
                  <w:noWrap w:val="0"/>
                  <w:vAlign w:val="center"/>
                </w:tcPr>
                <w:p w14:paraId="5D3E416E">
                  <w:pPr>
                    <w:pStyle w:val="98"/>
                    <w:keepNext w:val="0"/>
                    <w:keepLines w:val="0"/>
                    <w:pageBreakBefore w:val="0"/>
                    <w:kinsoku/>
                    <w:wordWrap/>
                    <w:overflowPunct/>
                    <w:topLinePunct w:val="0"/>
                    <w:autoSpaceDE/>
                    <w:autoSpaceDN/>
                    <w:bidi w:val="0"/>
                    <w:adjustRightInd/>
                    <w:snapToGrid w:val="0"/>
                    <w:spacing w:beforeLines="0" w:afterLines="0" w:line="240" w:lineRule="auto"/>
                    <w:ind w:firstLine="0" w:firstLineChars="0"/>
                    <w:textAlignment w:val="auto"/>
                    <w:rPr>
                      <w:rFonts w:hint="eastAsia" w:cs="Times New Roman"/>
                      <w:b w:val="0"/>
                      <w:bCs w:val="0"/>
                      <w:color w:val="auto"/>
                      <w:sz w:val="21"/>
                      <w:szCs w:val="21"/>
                      <w:lang w:eastAsia="zh-CN"/>
                    </w:rPr>
                  </w:pPr>
                </w:p>
              </w:tc>
              <w:tc>
                <w:tcPr>
                  <w:tcW w:w="684" w:type="dxa"/>
                  <w:vMerge w:val="continue"/>
                  <w:noWrap w:val="0"/>
                  <w:vAlign w:val="center"/>
                </w:tcPr>
                <w:p w14:paraId="682D76ED">
                  <w:pPr>
                    <w:pStyle w:val="98"/>
                    <w:keepNext w:val="0"/>
                    <w:keepLines w:val="0"/>
                    <w:pageBreakBefore w:val="0"/>
                    <w:kinsoku/>
                    <w:wordWrap/>
                    <w:overflowPunct/>
                    <w:topLinePunct w:val="0"/>
                    <w:autoSpaceDE/>
                    <w:autoSpaceDN/>
                    <w:bidi w:val="0"/>
                    <w:adjustRightInd/>
                    <w:snapToGrid w:val="0"/>
                    <w:spacing w:beforeLines="0" w:afterLines="0" w:line="240" w:lineRule="auto"/>
                    <w:ind w:firstLine="0" w:firstLineChars="0"/>
                    <w:textAlignment w:val="auto"/>
                    <w:rPr>
                      <w:rFonts w:hint="eastAsia" w:cs="Times New Roman"/>
                      <w:b w:val="0"/>
                      <w:bCs w:val="0"/>
                      <w:color w:val="auto"/>
                      <w:sz w:val="21"/>
                      <w:szCs w:val="21"/>
                      <w:lang w:eastAsia="zh-CN"/>
                    </w:rPr>
                  </w:pPr>
                </w:p>
              </w:tc>
              <w:tc>
                <w:tcPr>
                  <w:tcW w:w="650" w:type="dxa"/>
                  <w:vMerge w:val="continue"/>
                  <w:noWrap w:val="0"/>
                  <w:vAlign w:val="center"/>
                </w:tcPr>
                <w:p w14:paraId="4039FB8B">
                  <w:pPr>
                    <w:pStyle w:val="98"/>
                    <w:keepNext w:val="0"/>
                    <w:keepLines w:val="0"/>
                    <w:pageBreakBefore w:val="0"/>
                    <w:kinsoku/>
                    <w:wordWrap/>
                    <w:overflowPunct/>
                    <w:topLinePunct w:val="0"/>
                    <w:autoSpaceDE/>
                    <w:autoSpaceDN/>
                    <w:bidi w:val="0"/>
                    <w:adjustRightInd/>
                    <w:snapToGrid w:val="0"/>
                    <w:spacing w:beforeLines="0" w:afterLines="0" w:line="240" w:lineRule="auto"/>
                    <w:ind w:firstLine="0" w:firstLineChars="0"/>
                    <w:textAlignment w:val="auto"/>
                    <w:rPr>
                      <w:rFonts w:hint="eastAsia" w:cs="Times New Roman"/>
                      <w:b w:val="0"/>
                      <w:bCs w:val="0"/>
                      <w:color w:val="auto"/>
                      <w:sz w:val="21"/>
                      <w:szCs w:val="21"/>
                      <w:lang w:eastAsia="zh-CN"/>
                    </w:rPr>
                  </w:pPr>
                </w:p>
              </w:tc>
            </w:tr>
            <w:tr w14:paraId="4C2E85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48" w:type="dxa"/>
                  <w:noWrap w:val="0"/>
                  <w:vAlign w:val="center"/>
                </w:tcPr>
                <w:p w14:paraId="17689AAB">
                  <w:pPr>
                    <w:pStyle w:val="98"/>
                    <w:keepNext w:val="0"/>
                    <w:keepLines w:val="0"/>
                    <w:pageBreakBefore w:val="0"/>
                    <w:kinsoku/>
                    <w:wordWrap/>
                    <w:overflowPunct/>
                    <w:topLinePunct w:val="0"/>
                    <w:autoSpaceDE/>
                    <w:autoSpaceDN/>
                    <w:bidi w:val="0"/>
                    <w:adjustRightInd/>
                    <w:snapToGrid w:val="0"/>
                    <w:spacing w:beforeLines="0" w:afterLines="0" w:line="240" w:lineRule="auto"/>
                    <w:ind w:firstLine="0" w:firstLineChars="0"/>
                    <w:textAlignment w:val="auto"/>
                    <w:rPr>
                      <w:rFonts w:hint="default" w:ascii="Times New Roman" w:hAnsi="Times New Roman" w:eastAsia="宋体" w:cs="Times New Roman"/>
                      <w:lang w:val="en-US" w:eastAsia="zh-CN"/>
                    </w:rPr>
                  </w:pPr>
                  <w:r>
                    <w:rPr>
                      <w:rFonts w:hint="default" w:ascii="Times New Roman" w:hAnsi="Times New Roman" w:cs="Times New Roman"/>
                      <w:lang w:val="en-US" w:eastAsia="zh-CN"/>
                    </w:rPr>
                    <w:t>3</w:t>
                  </w:r>
                </w:p>
              </w:tc>
              <w:tc>
                <w:tcPr>
                  <w:tcW w:w="891" w:type="dxa"/>
                  <w:vMerge w:val="continue"/>
                  <w:noWrap w:val="0"/>
                  <w:vAlign w:val="center"/>
                </w:tcPr>
                <w:p w14:paraId="3EAA30C6">
                  <w:pPr>
                    <w:pStyle w:val="98"/>
                    <w:keepNext w:val="0"/>
                    <w:keepLines w:val="0"/>
                    <w:pageBreakBefore w:val="0"/>
                    <w:kinsoku/>
                    <w:wordWrap/>
                    <w:overflowPunct/>
                    <w:topLinePunct w:val="0"/>
                    <w:autoSpaceDE/>
                    <w:autoSpaceDN/>
                    <w:bidi w:val="0"/>
                    <w:adjustRightInd/>
                    <w:snapToGrid w:val="0"/>
                    <w:spacing w:beforeLines="0" w:afterLines="0" w:line="240" w:lineRule="auto"/>
                    <w:ind w:firstLine="0" w:firstLineChars="0"/>
                    <w:textAlignment w:val="auto"/>
                  </w:pPr>
                </w:p>
              </w:tc>
              <w:tc>
                <w:tcPr>
                  <w:tcW w:w="1104" w:type="dxa"/>
                  <w:noWrap w:val="0"/>
                  <w:vAlign w:val="center"/>
                </w:tcPr>
                <w:p w14:paraId="395A76C8">
                  <w:pPr>
                    <w:pStyle w:val="98"/>
                    <w:keepNext w:val="0"/>
                    <w:keepLines w:val="0"/>
                    <w:pageBreakBefore w:val="0"/>
                    <w:kinsoku/>
                    <w:wordWrap/>
                    <w:overflowPunct/>
                    <w:topLinePunct w:val="0"/>
                    <w:autoSpaceDE/>
                    <w:autoSpaceDN/>
                    <w:bidi w:val="0"/>
                    <w:adjustRightInd/>
                    <w:snapToGrid w:val="0"/>
                    <w:spacing w:beforeLines="0" w:afterLines="0" w:line="240" w:lineRule="auto"/>
                    <w:ind w:firstLine="0" w:firstLineChars="0"/>
                    <w:textAlignment w:val="auto"/>
                    <w:rPr>
                      <w:rFonts w:hint="default" w:ascii="Times New Roman" w:hAnsi="Times New Roman" w:cs="Times New Roman"/>
                      <w:color w:val="FF0000"/>
                      <w:sz w:val="21"/>
                      <w:szCs w:val="21"/>
                      <w:vertAlign w:val="baseline"/>
                      <w:lang w:val="en-US" w:eastAsia="zh-CN"/>
                    </w:rPr>
                  </w:pPr>
                  <w:r>
                    <w:rPr>
                      <w:rFonts w:hint="eastAsia" w:ascii="Times New Roman" w:cs="Times New Roman"/>
                      <w:color w:val="FF0000"/>
                      <w:sz w:val="21"/>
                      <w:szCs w:val="21"/>
                      <w:vertAlign w:val="baseline"/>
                      <w:lang w:val="en-US" w:eastAsia="zh-CN"/>
                    </w:rPr>
                    <w:t>废含油抹布手套</w:t>
                  </w:r>
                </w:p>
              </w:tc>
              <w:tc>
                <w:tcPr>
                  <w:tcW w:w="900" w:type="dxa"/>
                  <w:noWrap w:val="0"/>
                  <w:vAlign w:val="center"/>
                </w:tcPr>
                <w:p w14:paraId="31A78BD1">
                  <w:pPr>
                    <w:pStyle w:val="98"/>
                    <w:keepNext w:val="0"/>
                    <w:keepLines w:val="0"/>
                    <w:pageBreakBefore w:val="0"/>
                    <w:kinsoku/>
                    <w:wordWrap/>
                    <w:overflowPunct/>
                    <w:topLinePunct w:val="0"/>
                    <w:autoSpaceDE/>
                    <w:autoSpaceDN/>
                    <w:bidi w:val="0"/>
                    <w:adjustRightInd/>
                    <w:snapToGrid w:val="0"/>
                    <w:spacing w:beforeLines="0" w:afterLines="0" w:line="240" w:lineRule="auto"/>
                    <w:ind w:firstLine="0" w:firstLineChars="0"/>
                    <w:textAlignment w:val="auto"/>
                    <w:rPr>
                      <w:rFonts w:hint="eastAsia" w:ascii="Times New Roman" w:hAnsi="Times New Roman" w:cs="Times New Roman"/>
                      <w:color w:val="FF0000"/>
                      <w:sz w:val="21"/>
                      <w:szCs w:val="21"/>
                      <w:vertAlign w:val="baseline"/>
                      <w:lang w:val="en-US" w:eastAsia="zh-CN"/>
                    </w:rPr>
                  </w:pPr>
                  <w:r>
                    <w:rPr>
                      <w:rFonts w:hint="eastAsia" w:ascii="Times New Roman" w:hAnsi="Times New Roman" w:cs="Times New Roman"/>
                      <w:color w:val="FF0000"/>
                      <w:sz w:val="21"/>
                      <w:szCs w:val="21"/>
                      <w:vertAlign w:val="baseline"/>
                      <w:lang w:val="en-US" w:eastAsia="zh-CN"/>
                    </w:rPr>
                    <w:t>HW49</w:t>
                  </w:r>
                </w:p>
              </w:tc>
              <w:tc>
                <w:tcPr>
                  <w:tcW w:w="1241" w:type="dxa"/>
                  <w:noWrap w:val="0"/>
                  <w:vAlign w:val="center"/>
                </w:tcPr>
                <w:p w14:paraId="674A8063">
                  <w:pPr>
                    <w:pStyle w:val="98"/>
                    <w:keepNext w:val="0"/>
                    <w:keepLines w:val="0"/>
                    <w:pageBreakBefore w:val="0"/>
                    <w:kinsoku/>
                    <w:wordWrap/>
                    <w:overflowPunct/>
                    <w:topLinePunct w:val="0"/>
                    <w:autoSpaceDE/>
                    <w:autoSpaceDN/>
                    <w:bidi w:val="0"/>
                    <w:adjustRightInd/>
                    <w:snapToGrid w:val="0"/>
                    <w:spacing w:beforeLines="0" w:afterLines="0" w:line="240" w:lineRule="auto"/>
                    <w:ind w:firstLine="0" w:firstLineChars="0"/>
                    <w:textAlignment w:val="auto"/>
                    <w:rPr>
                      <w:rFonts w:hint="eastAsia" w:ascii="Times New Roman" w:hAnsi="Times New Roman" w:cs="Times New Roman"/>
                      <w:color w:val="FF0000"/>
                      <w:sz w:val="21"/>
                      <w:szCs w:val="21"/>
                      <w:vertAlign w:val="baseline"/>
                      <w:lang w:val="en-US" w:eastAsia="zh-CN"/>
                    </w:rPr>
                  </w:pPr>
                  <w:r>
                    <w:rPr>
                      <w:rFonts w:hint="eastAsia" w:ascii="Times New Roman" w:hAnsi="Times New Roman" w:cs="Times New Roman"/>
                      <w:color w:val="FF0000"/>
                      <w:sz w:val="21"/>
                      <w:szCs w:val="21"/>
                      <w:vertAlign w:val="baseline"/>
                      <w:lang w:val="en-US" w:eastAsia="zh-CN"/>
                    </w:rPr>
                    <w:t>900-041-49</w:t>
                  </w:r>
                </w:p>
              </w:tc>
              <w:tc>
                <w:tcPr>
                  <w:tcW w:w="709" w:type="dxa"/>
                  <w:vMerge w:val="continue"/>
                  <w:noWrap w:val="0"/>
                  <w:vAlign w:val="center"/>
                </w:tcPr>
                <w:p w14:paraId="3D33FB54">
                  <w:pPr>
                    <w:pStyle w:val="98"/>
                    <w:keepNext w:val="0"/>
                    <w:keepLines w:val="0"/>
                    <w:pageBreakBefore w:val="0"/>
                    <w:kinsoku/>
                    <w:wordWrap/>
                    <w:overflowPunct/>
                    <w:topLinePunct w:val="0"/>
                    <w:autoSpaceDE/>
                    <w:autoSpaceDN/>
                    <w:bidi w:val="0"/>
                    <w:adjustRightInd/>
                    <w:snapToGrid w:val="0"/>
                    <w:spacing w:beforeLines="0" w:afterLines="0" w:line="240" w:lineRule="auto"/>
                    <w:ind w:firstLine="0" w:firstLineChars="0"/>
                    <w:textAlignment w:val="auto"/>
                    <w:rPr>
                      <w:rFonts w:hint="eastAsia" w:ascii="Times New Roman" w:hAnsi="Times New Roman" w:cs="Times New Roman"/>
                      <w:color w:val="auto"/>
                      <w:sz w:val="21"/>
                      <w:szCs w:val="21"/>
                      <w:vertAlign w:val="baseline"/>
                      <w:lang w:val="en-US" w:eastAsia="zh-CN"/>
                    </w:rPr>
                  </w:pPr>
                </w:p>
              </w:tc>
              <w:tc>
                <w:tcPr>
                  <w:tcW w:w="722" w:type="dxa"/>
                  <w:vMerge w:val="continue"/>
                  <w:noWrap w:val="0"/>
                  <w:vAlign w:val="center"/>
                </w:tcPr>
                <w:p w14:paraId="56EBC67E">
                  <w:pPr>
                    <w:pStyle w:val="98"/>
                    <w:keepNext w:val="0"/>
                    <w:keepLines w:val="0"/>
                    <w:pageBreakBefore w:val="0"/>
                    <w:kinsoku/>
                    <w:wordWrap/>
                    <w:overflowPunct/>
                    <w:topLinePunct w:val="0"/>
                    <w:autoSpaceDE/>
                    <w:autoSpaceDN/>
                    <w:bidi w:val="0"/>
                    <w:adjustRightInd/>
                    <w:snapToGrid w:val="0"/>
                    <w:spacing w:beforeLines="0" w:afterLines="0" w:line="240" w:lineRule="auto"/>
                    <w:ind w:firstLine="0" w:firstLineChars="0"/>
                    <w:textAlignment w:val="auto"/>
                    <w:rPr>
                      <w:rFonts w:hint="eastAsia" w:ascii="Times New Roman" w:hAnsi="Times New Roman" w:cs="Times New Roman"/>
                      <w:color w:val="auto"/>
                      <w:sz w:val="21"/>
                      <w:szCs w:val="21"/>
                      <w:vertAlign w:val="baseline"/>
                      <w:lang w:val="en-US" w:eastAsia="zh-CN"/>
                    </w:rPr>
                  </w:pPr>
                </w:p>
              </w:tc>
              <w:tc>
                <w:tcPr>
                  <w:tcW w:w="1712" w:type="dxa"/>
                  <w:vMerge w:val="continue"/>
                  <w:noWrap w:val="0"/>
                  <w:vAlign w:val="center"/>
                </w:tcPr>
                <w:p w14:paraId="51B23D35">
                  <w:pPr>
                    <w:pStyle w:val="98"/>
                    <w:keepNext w:val="0"/>
                    <w:keepLines w:val="0"/>
                    <w:pageBreakBefore w:val="0"/>
                    <w:kinsoku/>
                    <w:wordWrap/>
                    <w:overflowPunct/>
                    <w:topLinePunct w:val="0"/>
                    <w:autoSpaceDE/>
                    <w:autoSpaceDN/>
                    <w:bidi w:val="0"/>
                    <w:adjustRightInd/>
                    <w:snapToGrid w:val="0"/>
                    <w:spacing w:beforeLines="0" w:afterLines="0" w:line="240" w:lineRule="auto"/>
                    <w:ind w:firstLine="0" w:firstLineChars="0"/>
                    <w:textAlignment w:val="auto"/>
                    <w:rPr>
                      <w:rFonts w:hint="eastAsia" w:ascii="Times New Roman" w:hAnsi="Times New Roman" w:cs="Times New Roman"/>
                      <w:color w:val="auto"/>
                      <w:sz w:val="21"/>
                      <w:szCs w:val="21"/>
                      <w:vertAlign w:val="baseline"/>
                      <w:lang w:val="en-US" w:eastAsia="zh-CN"/>
                    </w:rPr>
                  </w:pPr>
                </w:p>
              </w:tc>
              <w:tc>
                <w:tcPr>
                  <w:tcW w:w="684" w:type="dxa"/>
                  <w:vMerge w:val="continue"/>
                  <w:noWrap w:val="0"/>
                  <w:vAlign w:val="center"/>
                </w:tcPr>
                <w:p w14:paraId="75A82ED2">
                  <w:pPr>
                    <w:pStyle w:val="98"/>
                    <w:keepNext w:val="0"/>
                    <w:keepLines w:val="0"/>
                    <w:pageBreakBefore w:val="0"/>
                    <w:kinsoku/>
                    <w:wordWrap/>
                    <w:overflowPunct/>
                    <w:topLinePunct w:val="0"/>
                    <w:autoSpaceDE/>
                    <w:autoSpaceDN/>
                    <w:bidi w:val="0"/>
                    <w:adjustRightInd/>
                    <w:snapToGrid w:val="0"/>
                    <w:spacing w:beforeLines="0" w:afterLines="0" w:line="240" w:lineRule="auto"/>
                    <w:ind w:firstLine="0" w:firstLineChars="0"/>
                    <w:textAlignment w:val="auto"/>
                    <w:rPr>
                      <w:rFonts w:hint="eastAsia" w:ascii="Times New Roman" w:hAnsi="Times New Roman" w:cs="Times New Roman"/>
                      <w:color w:val="auto"/>
                      <w:sz w:val="21"/>
                      <w:szCs w:val="21"/>
                      <w:vertAlign w:val="baseline"/>
                      <w:lang w:val="en-US" w:eastAsia="zh-CN"/>
                    </w:rPr>
                  </w:pPr>
                </w:p>
              </w:tc>
              <w:tc>
                <w:tcPr>
                  <w:tcW w:w="650" w:type="dxa"/>
                  <w:vMerge w:val="continue"/>
                  <w:noWrap w:val="0"/>
                  <w:vAlign w:val="center"/>
                </w:tcPr>
                <w:p w14:paraId="34FD3412">
                  <w:pPr>
                    <w:pStyle w:val="98"/>
                    <w:keepNext w:val="0"/>
                    <w:keepLines w:val="0"/>
                    <w:pageBreakBefore w:val="0"/>
                    <w:kinsoku/>
                    <w:wordWrap/>
                    <w:overflowPunct/>
                    <w:topLinePunct w:val="0"/>
                    <w:autoSpaceDE/>
                    <w:autoSpaceDN/>
                    <w:bidi w:val="0"/>
                    <w:adjustRightInd/>
                    <w:snapToGrid w:val="0"/>
                    <w:spacing w:beforeLines="0" w:afterLines="0" w:line="240" w:lineRule="auto"/>
                    <w:ind w:firstLine="0" w:firstLineChars="0"/>
                    <w:textAlignment w:val="auto"/>
                    <w:rPr>
                      <w:rFonts w:hint="eastAsia" w:ascii="Times New Roman" w:hAnsi="Times New Roman" w:cs="Times New Roman"/>
                      <w:color w:val="auto"/>
                      <w:sz w:val="21"/>
                      <w:szCs w:val="21"/>
                      <w:vertAlign w:val="baseline"/>
                      <w:lang w:val="en-US" w:eastAsia="zh-CN"/>
                    </w:rPr>
                  </w:pPr>
                </w:p>
              </w:tc>
            </w:tr>
          </w:tbl>
          <w:p w14:paraId="2B5BF6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表4</w:t>
            </w:r>
            <w:r>
              <w:rPr>
                <w:rFonts w:hint="eastAsia" w:ascii="Times New Roman" w:hAnsi="Times New Roman" w:cs="Times New Roman"/>
                <w:b/>
                <w:bCs/>
                <w:color w:val="auto"/>
                <w:sz w:val="21"/>
                <w:szCs w:val="21"/>
                <w:lang w:val="en-US" w:eastAsia="zh-CN"/>
              </w:rPr>
              <w:t>.4</w:t>
            </w:r>
            <w:r>
              <w:rPr>
                <w:rFonts w:hint="default" w:ascii="Times New Roman" w:hAnsi="Times New Roman" w:cs="Times New Roman"/>
                <w:b/>
                <w:bCs/>
                <w:color w:val="auto"/>
                <w:sz w:val="21"/>
                <w:szCs w:val="21"/>
              </w:rPr>
              <w:t>-</w:t>
            </w:r>
            <w:r>
              <w:rPr>
                <w:rFonts w:hint="eastAsia" w:ascii="Times New Roman" w:hAnsi="Times New Roman" w:cs="Times New Roman"/>
                <w:b/>
                <w:bCs/>
                <w:color w:val="auto"/>
                <w:sz w:val="21"/>
                <w:szCs w:val="21"/>
                <w:lang w:val="en-US" w:eastAsia="zh-CN"/>
              </w:rPr>
              <w:t>5</w:t>
            </w:r>
            <w:r>
              <w:rPr>
                <w:rFonts w:hint="default" w:ascii="Times New Roman" w:hAnsi="Times New Roman" w:cs="Times New Roman"/>
                <w:b/>
                <w:bCs/>
                <w:color w:val="auto"/>
                <w:sz w:val="21"/>
                <w:szCs w:val="21"/>
              </w:rPr>
              <w:t xml:space="preserve">  </w:t>
            </w:r>
            <w:r>
              <w:rPr>
                <w:rFonts w:hint="eastAsia" w:ascii="Times New Roman" w:hAnsi="Times New Roman" w:cs="Times New Roman"/>
                <w:b/>
                <w:bCs/>
                <w:color w:val="auto"/>
                <w:sz w:val="21"/>
                <w:szCs w:val="21"/>
                <w:lang w:val="en-US" w:eastAsia="zh-CN"/>
              </w:rPr>
              <w:t xml:space="preserve"> </w:t>
            </w:r>
            <w:r>
              <w:rPr>
                <w:rFonts w:hint="default" w:ascii="Times New Roman" w:hAnsi="Times New Roman" w:cs="Times New Roman"/>
                <w:b/>
                <w:bCs/>
                <w:color w:val="auto"/>
                <w:sz w:val="21"/>
                <w:szCs w:val="21"/>
              </w:rPr>
              <w:t>项目固体废物利用处置方式评价表</w:t>
            </w:r>
          </w:p>
          <w:tbl>
            <w:tblPr>
              <w:tblStyle w:val="3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3"/>
              <w:gridCol w:w="1501"/>
              <w:gridCol w:w="1079"/>
              <w:gridCol w:w="1677"/>
              <w:gridCol w:w="1745"/>
              <w:gridCol w:w="2596"/>
            </w:tblGrid>
            <w:tr w14:paraId="740D7E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63" w:type="dxa"/>
                  <w:tcBorders>
                    <w:tl2br w:val="nil"/>
                    <w:tr2bl w:val="nil"/>
                  </w:tcBorders>
                  <w:noWrap w:val="0"/>
                  <w:vAlign w:val="center"/>
                </w:tcPr>
                <w:p w14:paraId="6261C66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序号</w:t>
                  </w:r>
                </w:p>
              </w:tc>
              <w:tc>
                <w:tcPr>
                  <w:tcW w:w="1501" w:type="dxa"/>
                  <w:tcBorders>
                    <w:tl2br w:val="nil"/>
                    <w:tr2bl w:val="nil"/>
                  </w:tcBorders>
                  <w:noWrap w:val="0"/>
                  <w:vAlign w:val="center"/>
                </w:tcPr>
                <w:p w14:paraId="3A8AF45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固体废物名称</w:t>
                  </w:r>
                </w:p>
              </w:tc>
              <w:tc>
                <w:tcPr>
                  <w:tcW w:w="1079" w:type="dxa"/>
                  <w:tcBorders>
                    <w:tl2br w:val="nil"/>
                    <w:tr2bl w:val="nil"/>
                  </w:tcBorders>
                  <w:noWrap w:val="0"/>
                  <w:vAlign w:val="center"/>
                </w:tcPr>
                <w:p w14:paraId="33D7A3C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属性</w:t>
                  </w:r>
                </w:p>
              </w:tc>
              <w:tc>
                <w:tcPr>
                  <w:tcW w:w="1677" w:type="dxa"/>
                  <w:tcBorders>
                    <w:tl2br w:val="nil"/>
                    <w:tr2bl w:val="nil"/>
                  </w:tcBorders>
                  <w:noWrap w:val="0"/>
                  <w:vAlign w:val="center"/>
                </w:tcPr>
                <w:p w14:paraId="3CE9A81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固体废物代码</w:t>
                  </w:r>
                </w:p>
              </w:tc>
              <w:tc>
                <w:tcPr>
                  <w:tcW w:w="1745" w:type="dxa"/>
                  <w:tcBorders>
                    <w:tl2br w:val="nil"/>
                    <w:tr2bl w:val="nil"/>
                  </w:tcBorders>
                  <w:noWrap w:val="0"/>
                  <w:vAlign w:val="center"/>
                </w:tcPr>
                <w:p w14:paraId="65A1E99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利用处置量（t/a）</w:t>
                  </w:r>
                </w:p>
              </w:tc>
              <w:tc>
                <w:tcPr>
                  <w:tcW w:w="2596" w:type="dxa"/>
                  <w:tcBorders>
                    <w:tl2br w:val="nil"/>
                    <w:tr2bl w:val="nil"/>
                  </w:tcBorders>
                  <w:noWrap w:val="0"/>
                  <w:vAlign w:val="center"/>
                </w:tcPr>
                <w:p w14:paraId="007B7F6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利用处置方式</w:t>
                  </w:r>
                </w:p>
              </w:tc>
            </w:tr>
            <w:tr w14:paraId="5C5DE6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663" w:type="dxa"/>
                  <w:tcBorders>
                    <w:tl2br w:val="nil"/>
                    <w:tr2bl w:val="nil"/>
                  </w:tcBorders>
                  <w:noWrap w:val="0"/>
                  <w:vAlign w:val="center"/>
                </w:tcPr>
                <w:p w14:paraId="7F9DA05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w:t>
                  </w:r>
                </w:p>
              </w:tc>
              <w:tc>
                <w:tcPr>
                  <w:tcW w:w="1501" w:type="dxa"/>
                  <w:tcBorders>
                    <w:tl2br w:val="nil"/>
                    <w:tr2bl w:val="nil"/>
                  </w:tcBorders>
                  <w:noWrap w:val="0"/>
                  <w:vAlign w:val="center"/>
                </w:tcPr>
                <w:p w14:paraId="0E8391B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val="0"/>
                      <w:bCs w:val="0"/>
                      <w:color w:val="auto"/>
                      <w:sz w:val="21"/>
                      <w:szCs w:val="21"/>
                      <w:vertAlign w:val="baseline"/>
                    </w:rPr>
                  </w:pPr>
                  <w:r>
                    <w:rPr>
                      <w:rFonts w:hint="default"/>
                      <w:color w:val="auto"/>
                      <w:sz w:val="21"/>
                      <w:szCs w:val="21"/>
                      <w:vertAlign w:val="baseline"/>
                      <w:lang w:val="en-US" w:eastAsia="zh-CN"/>
                    </w:rPr>
                    <w:t>清罐废液</w:t>
                  </w:r>
                </w:p>
              </w:tc>
              <w:tc>
                <w:tcPr>
                  <w:tcW w:w="1079" w:type="dxa"/>
                  <w:tcBorders>
                    <w:tl2br w:val="nil"/>
                    <w:tr2bl w:val="nil"/>
                  </w:tcBorders>
                  <w:noWrap w:val="0"/>
                  <w:vAlign w:val="center"/>
                </w:tcPr>
                <w:p w14:paraId="6911F01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危险废物</w:t>
                  </w:r>
                </w:p>
              </w:tc>
              <w:tc>
                <w:tcPr>
                  <w:tcW w:w="1677" w:type="dxa"/>
                  <w:tcBorders>
                    <w:tl2br w:val="nil"/>
                    <w:tr2bl w:val="nil"/>
                  </w:tcBorders>
                  <w:noWrap w:val="0"/>
                  <w:vAlign w:val="center"/>
                </w:tcPr>
                <w:p w14:paraId="0C01627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val="0"/>
                      <w:bCs w:val="0"/>
                      <w:color w:val="auto"/>
                      <w:sz w:val="21"/>
                      <w:szCs w:val="21"/>
                      <w:vertAlign w:val="baseline"/>
                    </w:rPr>
                  </w:pPr>
                  <w:r>
                    <w:rPr>
                      <w:rFonts w:hint="eastAsia" w:ascii="Times New Roman" w:hAnsi="Times New Roman" w:cs="Times New Roman"/>
                      <w:color w:val="auto"/>
                      <w:sz w:val="21"/>
                      <w:szCs w:val="21"/>
                      <w:vertAlign w:val="baseline"/>
                      <w:lang w:val="en-US" w:eastAsia="zh-CN"/>
                    </w:rPr>
                    <w:t>HW08（900-249-08）</w:t>
                  </w:r>
                </w:p>
              </w:tc>
              <w:tc>
                <w:tcPr>
                  <w:tcW w:w="1745" w:type="dxa"/>
                  <w:tcBorders>
                    <w:tl2br w:val="nil"/>
                    <w:tr2bl w:val="nil"/>
                  </w:tcBorders>
                  <w:noWrap w:val="0"/>
                  <w:vAlign w:val="center"/>
                </w:tcPr>
                <w:p w14:paraId="406EF7C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0.8</w:t>
                  </w:r>
                </w:p>
              </w:tc>
              <w:tc>
                <w:tcPr>
                  <w:tcW w:w="2596" w:type="dxa"/>
                  <w:vMerge w:val="restart"/>
                  <w:tcBorders>
                    <w:tl2br w:val="nil"/>
                    <w:tr2bl w:val="nil"/>
                  </w:tcBorders>
                  <w:noWrap w:val="0"/>
                  <w:vAlign w:val="center"/>
                </w:tcPr>
                <w:p w14:paraId="3C4AB2F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由委托的具有危险废物处理资质的单位带走处置，不在厂区内暂存</w:t>
                  </w:r>
                </w:p>
              </w:tc>
            </w:tr>
            <w:tr w14:paraId="69BF56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663" w:type="dxa"/>
                  <w:tcBorders>
                    <w:tl2br w:val="nil"/>
                    <w:tr2bl w:val="nil"/>
                  </w:tcBorders>
                  <w:noWrap w:val="0"/>
                  <w:vAlign w:val="center"/>
                </w:tcPr>
                <w:p w14:paraId="048DD34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2</w:t>
                  </w:r>
                </w:p>
              </w:tc>
              <w:tc>
                <w:tcPr>
                  <w:tcW w:w="1501" w:type="dxa"/>
                  <w:tcBorders>
                    <w:tl2br w:val="nil"/>
                    <w:tr2bl w:val="nil"/>
                  </w:tcBorders>
                  <w:noWrap w:val="0"/>
                  <w:vAlign w:val="center"/>
                </w:tcPr>
                <w:p w14:paraId="60CA5A0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eastAsia="宋体" w:cs="Times New Roman"/>
                      <w:color w:val="auto"/>
                      <w:sz w:val="21"/>
                      <w:szCs w:val="21"/>
                      <w:lang w:val="en-US" w:eastAsia="zh-CN"/>
                    </w:rPr>
                    <w:t>含油污泥</w:t>
                  </w:r>
                </w:p>
              </w:tc>
              <w:tc>
                <w:tcPr>
                  <w:tcW w:w="1079" w:type="dxa"/>
                  <w:tcBorders>
                    <w:tl2br w:val="nil"/>
                    <w:tr2bl w:val="nil"/>
                  </w:tcBorders>
                  <w:noWrap w:val="0"/>
                  <w:vAlign w:val="center"/>
                </w:tcPr>
                <w:p w14:paraId="1FE1088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危险废物</w:t>
                  </w:r>
                </w:p>
              </w:tc>
              <w:tc>
                <w:tcPr>
                  <w:tcW w:w="1677" w:type="dxa"/>
                  <w:tcBorders>
                    <w:tl2br w:val="nil"/>
                    <w:tr2bl w:val="nil"/>
                  </w:tcBorders>
                  <w:noWrap w:val="0"/>
                  <w:vAlign w:val="center"/>
                </w:tcPr>
                <w:p w14:paraId="7CA2420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HW08（900-210-08）</w:t>
                  </w:r>
                </w:p>
              </w:tc>
              <w:tc>
                <w:tcPr>
                  <w:tcW w:w="1745" w:type="dxa"/>
                  <w:tcBorders>
                    <w:tl2br w:val="nil"/>
                    <w:tr2bl w:val="nil"/>
                  </w:tcBorders>
                  <w:noWrap w:val="0"/>
                  <w:vAlign w:val="center"/>
                </w:tcPr>
                <w:p w14:paraId="4E2F61A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1.0</w:t>
                  </w:r>
                </w:p>
              </w:tc>
              <w:tc>
                <w:tcPr>
                  <w:tcW w:w="2596" w:type="dxa"/>
                  <w:vMerge w:val="continue"/>
                  <w:tcBorders>
                    <w:tl2br w:val="nil"/>
                    <w:tr2bl w:val="nil"/>
                  </w:tcBorders>
                  <w:noWrap w:val="0"/>
                  <w:vAlign w:val="center"/>
                </w:tcPr>
                <w:p w14:paraId="7750365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p>
              </w:tc>
            </w:tr>
            <w:tr w14:paraId="7D8595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63" w:type="dxa"/>
                  <w:tcBorders>
                    <w:tl2br w:val="nil"/>
                    <w:tr2bl w:val="nil"/>
                  </w:tcBorders>
                  <w:noWrap w:val="0"/>
                  <w:vAlign w:val="center"/>
                </w:tcPr>
                <w:p w14:paraId="39B4EC5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3</w:t>
                  </w:r>
                </w:p>
              </w:tc>
              <w:tc>
                <w:tcPr>
                  <w:tcW w:w="1501" w:type="dxa"/>
                  <w:tcBorders>
                    <w:tl2br w:val="nil"/>
                    <w:tr2bl w:val="nil"/>
                  </w:tcBorders>
                  <w:noWrap w:val="0"/>
                  <w:vAlign w:val="center"/>
                </w:tcPr>
                <w:p w14:paraId="6314396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eastAsia="宋体" w:cs="Times New Roman"/>
                      <w:color w:val="auto"/>
                      <w:sz w:val="21"/>
                      <w:szCs w:val="21"/>
                      <w:lang w:val="en-US" w:eastAsia="zh-CN"/>
                    </w:rPr>
                    <w:t>化粪池污泥</w:t>
                  </w:r>
                </w:p>
              </w:tc>
              <w:tc>
                <w:tcPr>
                  <w:tcW w:w="1079" w:type="dxa"/>
                  <w:tcBorders>
                    <w:tl2br w:val="nil"/>
                    <w:tr2bl w:val="nil"/>
                  </w:tcBorders>
                  <w:noWrap w:val="0"/>
                  <w:vAlign w:val="center"/>
                </w:tcPr>
                <w:p w14:paraId="59D74E9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一般固废</w:t>
                  </w:r>
                </w:p>
              </w:tc>
              <w:tc>
                <w:tcPr>
                  <w:tcW w:w="1677" w:type="dxa"/>
                  <w:tcBorders>
                    <w:tl2br w:val="nil"/>
                    <w:tr2bl w:val="nil"/>
                  </w:tcBorders>
                  <w:noWrap w:val="0"/>
                  <w:vAlign w:val="center"/>
                </w:tcPr>
                <w:p w14:paraId="7B2FAFA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SW</w:t>
                  </w:r>
                  <w:r>
                    <w:rPr>
                      <w:rFonts w:hint="eastAsia" w:ascii="Times New Roman" w:hAnsi="Times New Roman" w:cs="Times New Roman"/>
                      <w:color w:val="auto"/>
                      <w:sz w:val="21"/>
                      <w:szCs w:val="21"/>
                      <w:vertAlign w:val="baseline"/>
                      <w:lang w:val="en-US" w:eastAsia="zh-CN"/>
                    </w:rPr>
                    <w:t>07（900-099-S07）</w:t>
                  </w:r>
                </w:p>
              </w:tc>
              <w:tc>
                <w:tcPr>
                  <w:tcW w:w="1745" w:type="dxa"/>
                  <w:tcBorders>
                    <w:tl2br w:val="nil"/>
                    <w:tr2bl w:val="nil"/>
                  </w:tcBorders>
                  <w:noWrap w:val="0"/>
                  <w:vAlign w:val="center"/>
                </w:tcPr>
                <w:p w14:paraId="660C8BC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0.4</w:t>
                  </w:r>
                </w:p>
              </w:tc>
              <w:tc>
                <w:tcPr>
                  <w:tcW w:w="2596" w:type="dxa"/>
                  <w:tcBorders>
                    <w:tl2br w:val="nil"/>
                    <w:tr2bl w:val="nil"/>
                  </w:tcBorders>
                  <w:noWrap w:val="0"/>
                  <w:vAlign w:val="center"/>
                </w:tcPr>
                <w:p w14:paraId="55E7977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委托环卫部门定期清掏，带走处置，不在厂区内暂存</w:t>
                  </w:r>
                </w:p>
              </w:tc>
            </w:tr>
            <w:tr w14:paraId="74EE17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63" w:type="dxa"/>
                  <w:tcBorders>
                    <w:tl2br w:val="nil"/>
                    <w:tr2bl w:val="nil"/>
                  </w:tcBorders>
                  <w:noWrap w:val="0"/>
                  <w:vAlign w:val="center"/>
                </w:tcPr>
                <w:p w14:paraId="4565305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4</w:t>
                  </w:r>
                </w:p>
              </w:tc>
              <w:tc>
                <w:tcPr>
                  <w:tcW w:w="1501" w:type="dxa"/>
                  <w:tcBorders>
                    <w:tl2br w:val="nil"/>
                    <w:tr2bl w:val="nil"/>
                  </w:tcBorders>
                  <w:noWrap w:val="0"/>
                  <w:vAlign w:val="center"/>
                </w:tcPr>
                <w:p w14:paraId="1D69F83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废吸油毡</w:t>
                  </w:r>
                </w:p>
              </w:tc>
              <w:tc>
                <w:tcPr>
                  <w:tcW w:w="1079" w:type="dxa"/>
                  <w:tcBorders>
                    <w:tl2br w:val="nil"/>
                    <w:tr2bl w:val="nil"/>
                  </w:tcBorders>
                  <w:noWrap w:val="0"/>
                  <w:vAlign w:val="center"/>
                </w:tcPr>
                <w:p w14:paraId="30B1CB5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危险废物</w:t>
                  </w:r>
                </w:p>
              </w:tc>
              <w:tc>
                <w:tcPr>
                  <w:tcW w:w="1677" w:type="dxa"/>
                  <w:tcBorders>
                    <w:tl2br w:val="nil"/>
                    <w:tr2bl w:val="nil"/>
                  </w:tcBorders>
                  <w:noWrap w:val="0"/>
                  <w:vAlign w:val="center"/>
                </w:tcPr>
                <w:p w14:paraId="49D42E5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HW49（900-041-49）</w:t>
                  </w:r>
                </w:p>
              </w:tc>
              <w:tc>
                <w:tcPr>
                  <w:tcW w:w="1745" w:type="dxa"/>
                  <w:tcBorders>
                    <w:tl2br w:val="nil"/>
                    <w:tr2bl w:val="nil"/>
                  </w:tcBorders>
                  <w:noWrap w:val="0"/>
                  <w:vAlign w:val="center"/>
                </w:tcPr>
                <w:p w14:paraId="0F63520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0.2</w:t>
                  </w:r>
                </w:p>
              </w:tc>
              <w:tc>
                <w:tcPr>
                  <w:tcW w:w="2596" w:type="dxa"/>
                  <w:tcBorders>
                    <w:tl2br w:val="nil"/>
                    <w:tr2bl w:val="nil"/>
                  </w:tcBorders>
                  <w:noWrap w:val="0"/>
                  <w:vAlign w:val="center"/>
                </w:tcPr>
                <w:p w14:paraId="4CAA0AB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委托</w:t>
                  </w:r>
                  <w:r>
                    <w:rPr>
                      <w:rFonts w:hint="eastAsia" w:cs="Times New Roman"/>
                      <w:b w:val="0"/>
                      <w:bCs w:val="0"/>
                      <w:color w:val="auto"/>
                      <w:sz w:val="21"/>
                      <w:szCs w:val="21"/>
                      <w:vertAlign w:val="baseline"/>
                      <w:lang w:val="en-US" w:eastAsia="zh-CN"/>
                    </w:rPr>
                    <w:t>具</w:t>
                  </w:r>
                  <w:r>
                    <w:rPr>
                      <w:rFonts w:hint="eastAsia" w:ascii="Times New Roman" w:hAnsi="Times New Roman" w:cs="Times New Roman"/>
                      <w:b w:val="0"/>
                      <w:bCs w:val="0"/>
                      <w:color w:val="auto"/>
                      <w:sz w:val="21"/>
                      <w:szCs w:val="21"/>
                      <w:vertAlign w:val="baseline"/>
                      <w:lang w:val="en-US" w:eastAsia="zh-CN"/>
                    </w:rPr>
                    <w:t>有危险废物处理资质的单位处置</w:t>
                  </w:r>
                </w:p>
              </w:tc>
            </w:tr>
            <w:tr w14:paraId="7CC913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663" w:type="dxa"/>
                  <w:tcBorders>
                    <w:tl2br w:val="nil"/>
                    <w:tr2bl w:val="nil"/>
                  </w:tcBorders>
                  <w:noWrap w:val="0"/>
                  <w:vAlign w:val="center"/>
                </w:tcPr>
                <w:p w14:paraId="6675EB7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5</w:t>
                  </w:r>
                </w:p>
              </w:tc>
              <w:tc>
                <w:tcPr>
                  <w:tcW w:w="1501" w:type="dxa"/>
                  <w:tcBorders>
                    <w:tl2br w:val="nil"/>
                    <w:tr2bl w:val="nil"/>
                  </w:tcBorders>
                  <w:noWrap w:val="0"/>
                  <w:vAlign w:val="center"/>
                </w:tcPr>
                <w:p w14:paraId="15BFD0B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废滤芯</w:t>
                  </w:r>
                </w:p>
              </w:tc>
              <w:tc>
                <w:tcPr>
                  <w:tcW w:w="1079" w:type="dxa"/>
                  <w:tcBorders>
                    <w:tl2br w:val="nil"/>
                    <w:tr2bl w:val="nil"/>
                  </w:tcBorders>
                  <w:noWrap w:val="0"/>
                  <w:vAlign w:val="center"/>
                </w:tcPr>
                <w:p w14:paraId="0EBAA65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危险废物</w:t>
                  </w:r>
                </w:p>
              </w:tc>
              <w:tc>
                <w:tcPr>
                  <w:tcW w:w="1677" w:type="dxa"/>
                  <w:tcBorders>
                    <w:tl2br w:val="nil"/>
                    <w:tr2bl w:val="nil"/>
                  </w:tcBorders>
                  <w:noWrap w:val="0"/>
                  <w:vAlign w:val="center"/>
                </w:tcPr>
                <w:p w14:paraId="3982B18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HW49（900-041-49）</w:t>
                  </w:r>
                </w:p>
              </w:tc>
              <w:tc>
                <w:tcPr>
                  <w:tcW w:w="1745" w:type="dxa"/>
                  <w:tcBorders>
                    <w:tl2br w:val="nil"/>
                    <w:tr2bl w:val="nil"/>
                  </w:tcBorders>
                  <w:noWrap w:val="0"/>
                  <w:vAlign w:val="center"/>
                </w:tcPr>
                <w:p w14:paraId="668BD96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1.0</w:t>
                  </w:r>
                </w:p>
              </w:tc>
              <w:tc>
                <w:tcPr>
                  <w:tcW w:w="2596" w:type="dxa"/>
                  <w:tcBorders>
                    <w:tl2br w:val="nil"/>
                    <w:tr2bl w:val="nil"/>
                  </w:tcBorders>
                  <w:noWrap w:val="0"/>
                  <w:vAlign w:val="center"/>
                </w:tcPr>
                <w:p w14:paraId="031F0E1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委托</w:t>
                  </w:r>
                  <w:r>
                    <w:rPr>
                      <w:rFonts w:hint="eastAsia" w:cs="Times New Roman"/>
                      <w:b w:val="0"/>
                      <w:bCs w:val="0"/>
                      <w:color w:val="auto"/>
                      <w:sz w:val="21"/>
                      <w:szCs w:val="21"/>
                      <w:vertAlign w:val="baseline"/>
                      <w:lang w:val="en-US" w:eastAsia="zh-CN"/>
                    </w:rPr>
                    <w:t>具</w:t>
                  </w:r>
                  <w:r>
                    <w:rPr>
                      <w:rFonts w:hint="eastAsia" w:ascii="Times New Roman" w:hAnsi="Times New Roman" w:cs="Times New Roman"/>
                      <w:b w:val="0"/>
                      <w:bCs w:val="0"/>
                      <w:color w:val="auto"/>
                      <w:sz w:val="21"/>
                      <w:szCs w:val="21"/>
                      <w:vertAlign w:val="baseline"/>
                      <w:lang w:val="en-US" w:eastAsia="zh-CN"/>
                    </w:rPr>
                    <w:t>有危险废物处理资质的单位处置</w:t>
                  </w:r>
                </w:p>
              </w:tc>
            </w:tr>
            <w:tr w14:paraId="358FBC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663" w:type="dxa"/>
                  <w:tcBorders>
                    <w:tl2br w:val="nil"/>
                    <w:tr2bl w:val="nil"/>
                  </w:tcBorders>
                  <w:noWrap w:val="0"/>
                  <w:vAlign w:val="center"/>
                </w:tcPr>
                <w:p w14:paraId="75982EB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val="0"/>
                      <w:bCs w:val="0"/>
                      <w:color w:val="FF0000"/>
                      <w:sz w:val="21"/>
                      <w:szCs w:val="21"/>
                      <w:vertAlign w:val="baseline"/>
                      <w:lang w:val="en-US" w:eastAsia="zh-CN"/>
                    </w:rPr>
                  </w:pPr>
                  <w:r>
                    <w:rPr>
                      <w:rFonts w:hint="eastAsia" w:cs="Times New Roman"/>
                      <w:b w:val="0"/>
                      <w:bCs w:val="0"/>
                      <w:color w:val="FF0000"/>
                      <w:sz w:val="21"/>
                      <w:szCs w:val="21"/>
                      <w:vertAlign w:val="baseline"/>
                      <w:lang w:val="en-US" w:eastAsia="zh-CN"/>
                    </w:rPr>
                    <w:t>6</w:t>
                  </w:r>
                </w:p>
              </w:tc>
              <w:tc>
                <w:tcPr>
                  <w:tcW w:w="1501" w:type="dxa"/>
                  <w:tcBorders>
                    <w:tl2br w:val="nil"/>
                    <w:tr2bl w:val="nil"/>
                  </w:tcBorders>
                  <w:noWrap w:val="0"/>
                  <w:vAlign w:val="center"/>
                </w:tcPr>
                <w:p w14:paraId="3B006B1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cs="Times New Roman"/>
                      <w:b w:val="0"/>
                      <w:bCs w:val="0"/>
                      <w:color w:val="FF0000"/>
                      <w:sz w:val="21"/>
                      <w:szCs w:val="21"/>
                      <w:vertAlign w:val="baseline"/>
                      <w:lang w:val="en-US" w:eastAsia="zh-CN"/>
                    </w:rPr>
                  </w:pPr>
                  <w:r>
                    <w:rPr>
                      <w:rFonts w:hint="eastAsia" w:ascii="Times New Roman" w:cs="Times New Roman"/>
                      <w:color w:val="FF0000"/>
                      <w:sz w:val="21"/>
                      <w:szCs w:val="21"/>
                      <w:vertAlign w:val="baseline"/>
                      <w:lang w:val="en-US" w:eastAsia="zh-CN"/>
                    </w:rPr>
                    <w:t>废含油抹布手套</w:t>
                  </w:r>
                </w:p>
              </w:tc>
              <w:tc>
                <w:tcPr>
                  <w:tcW w:w="1079" w:type="dxa"/>
                  <w:tcBorders>
                    <w:tl2br w:val="nil"/>
                    <w:tr2bl w:val="nil"/>
                  </w:tcBorders>
                  <w:noWrap w:val="0"/>
                  <w:vAlign w:val="center"/>
                </w:tcPr>
                <w:p w14:paraId="176BDBF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cs="Times New Roman"/>
                      <w:b w:val="0"/>
                      <w:bCs w:val="0"/>
                      <w:color w:val="FF0000"/>
                      <w:sz w:val="21"/>
                      <w:szCs w:val="21"/>
                      <w:vertAlign w:val="baseline"/>
                      <w:lang w:val="en-US" w:eastAsia="zh-CN"/>
                    </w:rPr>
                  </w:pPr>
                  <w:r>
                    <w:rPr>
                      <w:rFonts w:hint="eastAsia" w:ascii="Times New Roman" w:hAnsi="Times New Roman" w:cs="Times New Roman"/>
                      <w:b w:val="0"/>
                      <w:bCs w:val="0"/>
                      <w:color w:val="FF0000"/>
                      <w:sz w:val="21"/>
                      <w:szCs w:val="21"/>
                      <w:vertAlign w:val="baseline"/>
                      <w:lang w:val="en-US" w:eastAsia="zh-CN"/>
                    </w:rPr>
                    <w:t>危险废物</w:t>
                  </w:r>
                </w:p>
              </w:tc>
              <w:tc>
                <w:tcPr>
                  <w:tcW w:w="1677" w:type="dxa"/>
                  <w:tcBorders>
                    <w:tl2br w:val="nil"/>
                    <w:tr2bl w:val="nil"/>
                  </w:tcBorders>
                  <w:noWrap w:val="0"/>
                  <w:vAlign w:val="center"/>
                </w:tcPr>
                <w:p w14:paraId="332CFB2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cs="Times New Roman"/>
                      <w:b w:val="0"/>
                      <w:bCs w:val="0"/>
                      <w:color w:val="FF0000"/>
                      <w:sz w:val="21"/>
                      <w:szCs w:val="21"/>
                      <w:vertAlign w:val="baseline"/>
                      <w:lang w:val="en-US" w:eastAsia="zh-CN"/>
                    </w:rPr>
                  </w:pPr>
                  <w:r>
                    <w:rPr>
                      <w:rFonts w:hint="eastAsia" w:ascii="Times New Roman" w:hAnsi="Times New Roman" w:cs="Times New Roman"/>
                      <w:color w:val="FF0000"/>
                      <w:sz w:val="21"/>
                      <w:szCs w:val="21"/>
                      <w:vertAlign w:val="baseline"/>
                      <w:lang w:val="en-US" w:eastAsia="zh-CN"/>
                    </w:rPr>
                    <w:t>HW49（900-041-49）</w:t>
                  </w:r>
                </w:p>
              </w:tc>
              <w:tc>
                <w:tcPr>
                  <w:tcW w:w="1745" w:type="dxa"/>
                  <w:tcBorders>
                    <w:tl2br w:val="nil"/>
                    <w:tr2bl w:val="nil"/>
                  </w:tcBorders>
                  <w:noWrap w:val="0"/>
                  <w:vAlign w:val="center"/>
                </w:tcPr>
                <w:p w14:paraId="16E6DF3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val="0"/>
                      <w:bCs w:val="0"/>
                      <w:color w:val="FF0000"/>
                      <w:sz w:val="21"/>
                      <w:szCs w:val="21"/>
                      <w:vertAlign w:val="baseline"/>
                      <w:lang w:val="en-US" w:eastAsia="zh-CN"/>
                    </w:rPr>
                  </w:pPr>
                  <w:r>
                    <w:rPr>
                      <w:rFonts w:hint="eastAsia" w:cs="Times New Roman"/>
                      <w:b w:val="0"/>
                      <w:bCs w:val="0"/>
                      <w:color w:val="FF0000"/>
                      <w:sz w:val="21"/>
                      <w:szCs w:val="21"/>
                      <w:vertAlign w:val="baseline"/>
                      <w:lang w:val="en-US" w:eastAsia="zh-CN"/>
                    </w:rPr>
                    <w:t>0.05</w:t>
                  </w:r>
                </w:p>
              </w:tc>
              <w:tc>
                <w:tcPr>
                  <w:tcW w:w="2596" w:type="dxa"/>
                  <w:tcBorders>
                    <w:tl2br w:val="nil"/>
                    <w:tr2bl w:val="nil"/>
                  </w:tcBorders>
                  <w:noWrap w:val="0"/>
                  <w:vAlign w:val="center"/>
                </w:tcPr>
                <w:p w14:paraId="11608C1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cs="Times New Roman"/>
                      <w:b w:val="0"/>
                      <w:bCs w:val="0"/>
                      <w:color w:val="FF0000"/>
                      <w:sz w:val="21"/>
                      <w:szCs w:val="21"/>
                      <w:vertAlign w:val="baseline"/>
                      <w:lang w:val="en-US" w:eastAsia="zh-CN"/>
                    </w:rPr>
                  </w:pPr>
                  <w:r>
                    <w:rPr>
                      <w:rFonts w:hint="eastAsia" w:ascii="Times New Roman" w:hAnsi="Times New Roman" w:cs="Times New Roman"/>
                      <w:b w:val="0"/>
                      <w:bCs w:val="0"/>
                      <w:color w:val="FF0000"/>
                      <w:sz w:val="21"/>
                      <w:szCs w:val="21"/>
                      <w:vertAlign w:val="baseline"/>
                      <w:lang w:val="en-US" w:eastAsia="zh-CN"/>
                    </w:rPr>
                    <w:t>委托</w:t>
                  </w:r>
                  <w:r>
                    <w:rPr>
                      <w:rFonts w:hint="eastAsia" w:cs="Times New Roman"/>
                      <w:b w:val="0"/>
                      <w:bCs w:val="0"/>
                      <w:color w:val="FF0000"/>
                      <w:sz w:val="21"/>
                      <w:szCs w:val="21"/>
                      <w:vertAlign w:val="baseline"/>
                      <w:lang w:val="en-US" w:eastAsia="zh-CN"/>
                    </w:rPr>
                    <w:t>具</w:t>
                  </w:r>
                  <w:r>
                    <w:rPr>
                      <w:rFonts w:hint="eastAsia" w:ascii="Times New Roman" w:hAnsi="Times New Roman" w:cs="Times New Roman"/>
                      <w:b w:val="0"/>
                      <w:bCs w:val="0"/>
                      <w:color w:val="FF0000"/>
                      <w:sz w:val="21"/>
                      <w:szCs w:val="21"/>
                      <w:vertAlign w:val="baseline"/>
                      <w:lang w:val="en-US" w:eastAsia="zh-CN"/>
                    </w:rPr>
                    <w:t>有危险废物处理资质的单位处置</w:t>
                  </w:r>
                </w:p>
              </w:tc>
            </w:tr>
            <w:tr w14:paraId="080E8B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63" w:type="dxa"/>
                  <w:tcBorders>
                    <w:tl2br w:val="nil"/>
                    <w:tr2bl w:val="nil"/>
                  </w:tcBorders>
                  <w:noWrap w:val="0"/>
                  <w:vAlign w:val="center"/>
                </w:tcPr>
                <w:p w14:paraId="080718A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7</w:t>
                  </w:r>
                </w:p>
              </w:tc>
              <w:tc>
                <w:tcPr>
                  <w:tcW w:w="1501" w:type="dxa"/>
                  <w:tcBorders>
                    <w:tl2br w:val="nil"/>
                    <w:tr2bl w:val="nil"/>
                  </w:tcBorders>
                  <w:noWrap w:val="0"/>
                  <w:vAlign w:val="center"/>
                </w:tcPr>
                <w:p w14:paraId="1651720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生活垃圾</w:t>
                  </w:r>
                </w:p>
              </w:tc>
              <w:tc>
                <w:tcPr>
                  <w:tcW w:w="1079" w:type="dxa"/>
                  <w:tcBorders>
                    <w:tl2br w:val="nil"/>
                    <w:tr2bl w:val="nil"/>
                  </w:tcBorders>
                  <w:noWrap w:val="0"/>
                  <w:vAlign w:val="center"/>
                </w:tcPr>
                <w:p w14:paraId="5C637C0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生活垃圾</w:t>
                  </w:r>
                </w:p>
              </w:tc>
              <w:tc>
                <w:tcPr>
                  <w:tcW w:w="1677" w:type="dxa"/>
                  <w:tcBorders>
                    <w:tl2br w:val="nil"/>
                    <w:tr2bl w:val="nil"/>
                  </w:tcBorders>
                  <w:noWrap w:val="0"/>
                  <w:vAlign w:val="center"/>
                </w:tcPr>
                <w:p w14:paraId="4DB68E5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SW6</w:t>
                  </w:r>
                  <w:r>
                    <w:rPr>
                      <w:rFonts w:hint="eastAsia" w:ascii="Times New Roman" w:hAnsi="Times New Roman" w:cs="Times New Roman"/>
                      <w:color w:val="auto"/>
                      <w:sz w:val="21"/>
                      <w:szCs w:val="21"/>
                      <w:vertAlign w:val="baseline"/>
                      <w:lang w:val="en-US" w:eastAsia="zh-CN"/>
                    </w:rPr>
                    <w:t>4</w:t>
                  </w:r>
                  <w:r>
                    <w:rPr>
                      <w:rFonts w:hint="default" w:ascii="Times New Roman" w:hAnsi="Times New Roman" w:cs="Times New Roman"/>
                      <w:color w:val="auto"/>
                      <w:sz w:val="21"/>
                      <w:szCs w:val="21"/>
                      <w:vertAlign w:val="baseline"/>
                      <w:lang w:val="en-US" w:eastAsia="zh-CN"/>
                    </w:rPr>
                    <w:t>（900-099-S64）</w:t>
                  </w:r>
                </w:p>
              </w:tc>
              <w:tc>
                <w:tcPr>
                  <w:tcW w:w="1745" w:type="dxa"/>
                  <w:tcBorders>
                    <w:tl2br w:val="nil"/>
                    <w:tr2bl w:val="nil"/>
                  </w:tcBorders>
                  <w:noWrap w:val="0"/>
                  <w:vAlign w:val="center"/>
                </w:tcPr>
                <w:p w14:paraId="412F31B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3.1</w:t>
                  </w:r>
                </w:p>
              </w:tc>
              <w:tc>
                <w:tcPr>
                  <w:tcW w:w="2596" w:type="dxa"/>
                  <w:tcBorders>
                    <w:tl2br w:val="nil"/>
                    <w:tr2bl w:val="nil"/>
                  </w:tcBorders>
                  <w:noWrap w:val="0"/>
                  <w:vAlign w:val="center"/>
                </w:tcPr>
                <w:p w14:paraId="727D36D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val="0"/>
                      <w:bCs w:val="0"/>
                      <w:color w:val="auto"/>
                      <w:sz w:val="21"/>
                      <w:szCs w:val="21"/>
                      <w:vertAlign w:val="baseline"/>
                    </w:rPr>
                  </w:pPr>
                  <w:r>
                    <w:rPr>
                      <w:rFonts w:hint="eastAsia" w:ascii="Times New Roman" w:hAnsi="Times New Roman" w:cs="Times New Roman"/>
                      <w:b w:val="0"/>
                      <w:bCs w:val="0"/>
                      <w:color w:val="auto"/>
                      <w:sz w:val="21"/>
                      <w:szCs w:val="21"/>
                      <w:vertAlign w:val="baseline"/>
                      <w:lang w:val="en-US" w:eastAsia="zh-CN"/>
                    </w:rPr>
                    <w:t>委托</w:t>
                  </w:r>
                  <w:r>
                    <w:rPr>
                      <w:rFonts w:hint="default" w:ascii="Times New Roman" w:hAnsi="Times New Roman" w:cs="Times New Roman"/>
                      <w:b w:val="0"/>
                      <w:bCs w:val="0"/>
                      <w:color w:val="auto"/>
                      <w:sz w:val="21"/>
                      <w:szCs w:val="21"/>
                      <w:vertAlign w:val="baseline"/>
                      <w:lang w:val="en-US" w:eastAsia="zh-CN"/>
                    </w:rPr>
                    <w:t>环卫部门处置</w:t>
                  </w:r>
                </w:p>
              </w:tc>
            </w:tr>
          </w:tbl>
          <w:p w14:paraId="4754D7AC">
            <w:pPr>
              <w:spacing w:line="360" w:lineRule="auto"/>
              <w:ind w:firstLine="482" w:firstLineChars="200"/>
              <w:rPr>
                <w:b/>
                <w:sz w:val="24"/>
              </w:rPr>
            </w:pPr>
            <w:r>
              <w:rPr>
                <w:rFonts w:hint="eastAsia"/>
                <w:b/>
                <w:sz w:val="24"/>
              </w:rPr>
              <w:t>（2）环境管理要求</w:t>
            </w:r>
          </w:p>
          <w:p w14:paraId="04D9F53D">
            <w:pPr>
              <w:spacing w:line="360" w:lineRule="auto"/>
              <w:ind w:firstLine="480" w:firstLineChars="200"/>
              <w:rPr>
                <w:rFonts w:hint="default" w:ascii="Times New Roman" w:hAnsi="Times New Roman" w:cs="Times New Roman"/>
                <w:bCs/>
                <w:color w:val="FF0000"/>
                <w:sz w:val="24"/>
                <w:lang w:val="en-US" w:eastAsia="zh-CN"/>
              </w:rPr>
            </w:pPr>
            <w:r>
              <w:rPr>
                <w:rFonts w:hint="eastAsia" w:ascii="Times New Roman" w:hAnsi="Times New Roman" w:cs="Times New Roman"/>
                <w:bCs/>
                <w:color w:val="auto"/>
                <w:sz w:val="24"/>
                <w:lang w:val="en-US" w:eastAsia="zh-CN"/>
              </w:rPr>
              <w:t>1）</w:t>
            </w:r>
            <w:r>
              <w:rPr>
                <w:rFonts w:hint="default" w:ascii="Times New Roman" w:hAnsi="Times New Roman" w:cs="Times New Roman"/>
                <w:bCs/>
                <w:color w:val="auto"/>
                <w:sz w:val="24"/>
              </w:rPr>
              <w:t>一般</w:t>
            </w:r>
            <w:r>
              <w:rPr>
                <w:rFonts w:hint="eastAsia" w:ascii="Times New Roman" w:hAnsi="Times New Roman" w:cs="Times New Roman"/>
                <w:bCs/>
                <w:color w:val="auto"/>
                <w:sz w:val="24"/>
                <w:lang w:val="en-US" w:eastAsia="zh-CN"/>
              </w:rPr>
              <w:t>工业</w:t>
            </w:r>
            <w:r>
              <w:rPr>
                <w:rFonts w:hint="default" w:ascii="Times New Roman" w:hAnsi="Times New Roman" w:cs="Times New Roman"/>
                <w:bCs/>
                <w:color w:val="auto"/>
                <w:sz w:val="24"/>
              </w:rPr>
              <w:t>固</w:t>
            </w:r>
            <w:r>
              <w:rPr>
                <w:rFonts w:hint="eastAsia" w:ascii="Times New Roman" w:hAnsi="Times New Roman" w:cs="Times New Roman"/>
                <w:bCs/>
                <w:color w:val="auto"/>
                <w:sz w:val="24"/>
                <w:lang w:val="en-US" w:eastAsia="zh-CN"/>
              </w:rPr>
              <w:t>体</w:t>
            </w:r>
            <w:r>
              <w:rPr>
                <w:rFonts w:hint="default" w:ascii="Times New Roman" w:hAnsi="Times New Roman" w:cs="Times New Roman"/>
                <w:bCs/>
                <w:color w:val="auto"/>
                <w:sz w:val="24"/>
              </w:rPr>
              <w:t>废</w:t>
            </w:r>
            <w:r>
              <w:rPr>
                <w:rFonts w:hint="eastAsia" w:ascii="Times New Roman" w:hAnsi="Times New Roman" w:cs="Times New Roman"/>
                <w:bCs/>
                <w:color w:val="auto"/>
                <w:sz w:val="24"/>
                <w:lang w:val="en-US" w:eastAsia="zh-CN"/>
              </w:rPr>
              <w:t>物</w:t>
            </w:r>
            <w:r>
              <w:rPr>
                <w:rFonts w:hint="default" w:ascii="Times New Roman" w:hAnsi="Times New Roman" w:cs="Times New Roman"/>
                <w:bCs/>
                <w:color w:val="auto"/>
                <w:sz w:val="24"/>
              </w:rPr>
              <w:t>的暂存场所</w:t>
            </w:r>
            <w:r>
              <w:rPr>
                <w:rFonts w:hint="default" w:ascii="Times New Roman" w:hAnsi="Times New Roman" w:cs="Times New Roman"/>
                <w:bCs/>
                <w:color w:val="auto"/>
                <w:sz w:val="24"/>
                <w:lang w:val="en-US" w:eastAsia="zh-CN"/>
              </w:rPr>
              <w:t>参照</w:t>
            </w:r>
            <w:r>
              <w:rPr>
                <w:rFonts w:hint="default" w:ascii="Times New Roman" w:hAnsi="Times New Roman" w:cs="Times New Roman"/>
                <w:bCs/>
                <w:color w:val="auto"/>
                <w:sz w:val="24"/>
              </w:rPr>
              <w:t>《一般工业固体废物贮存和填埋污染控制标准》</w:t>
            </w:r>
            <w:r>
              <w:rPr>
                <w:rFonts w:hint="eastAsia" w:ascii="Times New Roman" w:hAnsi="Times New Roman" w:cs="Times New Roman"/>
                <w:bCs/>
                <w:color w:val="auto"/>
                <w:sz w:val="24"/>
                <w:lang w:eastAsia="zh-CN"/>
              </w:rPr>
              <w:t>（</w:t>
            </w:r>
            <w:r>
              <w:rPr>
                <w:rFonts w:hint="default" w:ascii="Times New Roman" w:hAnsi="Times New Roman" w:cs="Times New Roman"/>
                <w:bCs/>
                <w:color w:val="auto"/>
                <w:sz w:val="24"/>
              </w:rPr>
              <w:t>GB18599-2020</w:t>
            </w:r>
            <w:r>
              <w:rPr>
                <w:rFonts w:hint="eastAsia" w:ascii="Times New Roman" w:hAnsi="Times New Roman" w:cs="Times New Roman"/>
                <w:bCs/>
                <w:color w:val="auto"/>
                <w:sz w:val="24"/>
                <w:lang w:eastAsia="zh-CN"/>
              </w:rPr>
              <w:t>）</w:t>
            </w:r>
            <w:r>
              <w:rPr>
                <w:rFonts w:hint="default" w:ascii="Times New Roman" w:hAnsi="Times New Roman" w:cs="Times New Roman"/>
                <w:bCs/>
                <w:color w:val="auto"/>
                <w:sz w:val="24"/>
              </w:rPr>
              <w:t>的要求，</w:t>
            </w:r>
            <w:r>
              <w:rPr>
                <w:rFonts w:hint="default" w:ascii="Times New Roman" w:hAnsi="Times New Roman" w:cs="Times New Roman"/>
                <w:bCs/>
                <w:color w:val="auto"/>
                <w:sz w:val="24"/>
                <w:lang w:val="en-US" w:eastAsia="zh-CN"/>
              </w:rPr>
              <w:t>采取相应防渗漏、防雨淋、防扬尘等环境保护要求</w:t>
            </w:r>
            <w:r>
              <w:rPr>
                <w:rFonts w:hint="default" w:ascii="Times New Roman" w:hAnsi="Times New Roman" w:cs="Times New Roman"/>
                <w:bCs/>
                <w:color w:val="auto"/>
                <w:sz w:val="24"/>
              </w:rPr>
              <w:t>，贮存</w:t>
            </w:r>
            <w:r>
              <w:rPr>
                <w:rFonts w:hint="default" w:ascii="Times New Roman" w:hAnsi="Times New Roman" w:cs="Times New Roman"/>
                <w:bCs/>
                <w:color w:val="auto"/>
                <w:sz w:val="24"/>
                <w:lang w:val="en-US" w:eastAsia="zh-CN"/>
              </w:rPr>
              <w:t>场所</w:t>
            </w:r>
            <w:r>
              <w:rPr>
                <w:rFonts w:hint="default" w:ascii="Times New Roman" w:hAnsi="Times New Roman" w:cs="Times New Roman"/>
                <w:bCs/>
                <w:color w:val="auto"/>
                <w:sz w:val="24"/>
              </w:rPr>
              <w:t>应设置环境保护图形标志</w:t>
            </w:r>
            <w:r>
              <w:rPr>
                <w:rFonts w:hint="default" w:ascii="Times New Roman" w:hAnsi="Times New Roman" w:cs="Times New Roman"/>
                <w:bCs/>
                <w:color w:val="auto"/>
                <w:sz w:val="24"/>
                <w:lang w:val="en-US" w:eastAsia="zh-CN"/>
              </w:rPr>
              <w:t>。</w:t>
            </w:r>
          </w:p>
          <w:p w14:paraId="4E667E5A">
            <w:pPr>
              <w:spacing w:line="360" w:lineRule="auto"/>
              <w:ind w:firstLine="480" w:firstLineChars="200"/>
              <w:rPr>
                <w:rFonts w:hint="default" w:ascii="Times New Roman" w:hAnsi="Times New Roman" w:cs="Times New Roman"/>
                <w:bCs/>
                <w:color w:val="auto"/>
                <w:sz w:val="24"/>
                <w:lang w:val="en-US" w:eastAsia="zh-CN"/>
              </w:rPr>
            </w:pPr>
            <w:r>
              <w:rPr>
                <w:rFonts w:hint="eastAsia" w:ascii="Times New Roman" w:hAnsi="Times New Roman" w:cs="Times New Roman"/>
                <w:bCs/>
                <w:color w:val="auto"/>
                <w:sz w:val="24"/>
                <w:lang w:val="en-US" w:eastAsia="zh-CN"/>
              </w:rPr>
              <w:t>2）</w:t>
            </w:r>
            <w:r>
              <w:rPr>
                <w:rFonts w:hint="default" w:ascii="Times New Roman" w:hAnsi="Times New Roman" w:cs="Times New Roman"/>
                <w:bCs/>
                <w:color w:val="auto"/>
                <w:sz w:val="24"/>
                <w:lang w:val="en-US" w:eastAsia="zh-CN"/>
              </w:rPr>
              <w:t>危险</w:t>
            </w:r>
            <w:r>
              <w:rPr>
                <w:rFonts w:hint="eastAsia" w:ascii="Times New Roman" w:hAnsi="Times New Roman" w:cs="Times New Roman"/>
                <w:bCs/>
                <w:color w:val="auto"/>
                <w:sz w:val="24"/>
                <w:lang w:val="en-US" w:eastAsia="zh-CN"/>
              </w:rPr>
              <w:t>废物</w:t>
            </w:r>
            <w:r>
              <w:rPr>
                <w:rFonts w:hint="default" w:ascii="Times New Roman" w:hAnsi="Times New Roman" w:cs="Times New Roman"/>
                <w:bCs/>
                <w:color w:val="auto"/>
                <w:sz w:val="24"/>
                <w:lang w:val="en-US" w:eastAsia="zh-CN"/>
              </w:rPr>
              <w:t>在厂内暂存期间，企业应该严格按照《危险废物贮存污染控制标准》</w:t>
            </w:r>
            <w:r>
              <w:rPr>
                <w:rFonts w:hint="eastAsia" w:ascii="Times New Roman" w:hAnsi="Times New Roman" w:cs="Times New Roman"/>
                <w:bCs/>
                <w:color w:val="auto"/>
                <w:sz w:val="24"/>
                <w:lang w:val="en-US" w:eastAsia="zh-CN"/>
              </w:rPr>
              <w:t>（</w:t>
            </w:r>
            <w:r>
              <w:rPr>
                <w:rFonts w:hint="default" w:ascii="Times New Roman" w:hAnsi="Times New Roman" w:cs="Times New Roman"/>
                <w:bCs/>
                <w:color w:val="auto"/>
                <w:sz w:val="24"/>
                <w:lang w:val="en-US" w:eastAsia="zh-CN"/>
              </w:rPr>
              <w:t>GB18597-20</w:t>
            </w:r>
            <w:r>
              <w:rPr>
                <w:rFonts w:hint="eastAsia" w:ascii="Times New Roman" w:hAnsi="Times New Roman" w:cs="Times New Roman"/>
                <w:bCs/>
                <w:color w:val="auto"/>
                <w:sz w:val="24"/>
                <w:lang w:val="en-US" w:eastAsia="zh-CN"/>
              </w:rPr>
              <w:t>23）</w:t>
            </w:r>
            <w:r>
              <w:rPr>
                <w:rFonts w:hint="default" w:ascii="Times New Roman" w:hAnsi="Times New Roman" w:cs="Times New Roman"/>
                <w:bCs/>
                <w:color w:val="auto"/>
                <w:sz w:val="24"/>
                <w:lang w:val="en-US" w:eastAsia="zh-CN"/>
              </w:rPr>
              <w:t>的要求，设置专门的危险废物贮存场所，设立标牌，不允许露天堆放，危险废物贮存场所的具体要求为：设施底部必须高于地下水位最高水位；应建在易燃、易爆等危险品仓库、高压输电线路防护区域以外；应位于居民中心区常年最大风频的下风向；场所内必须有泄漏液体收集装置；</w:t>
            </w:r>
            <w:r>
              <w:rPr>
                <w:rFonts w:hint="default" w:ascii="Times New Roman" w:hAnsi="Times New Roman" w:cs="Times New Roman"/>
                <w:bCs/>
                <w:color w:val="auto"/>
                <w:sz w:val="24"/>
              </w:rPr>
              <w:t>在常温常压下易爆、易燃及排出有毒气体的危险废物必须进行预处理，使之稳定后贮存，否则，按易爆、易燃危险品贮存</w:t>
            </w:r>
            <w:r>
              <w:rPr>
                <w:rFonts w:hint="default" w:ascii="Times New Roman" w:hAnsi="Times New Roman" w:cs="Times New Roman"/>
                <w:bCs/>
                <w:color w:val="auto"/>
                <w:sz w:val="24"/>
                <w:lang w:val="en-US" w:eastAsia="zh-CN"/>
              </w:rPr>
              <w:t>；</w:t>
            </w:r>
            <w:r>
              <w:rPr>
                <w:rFonts w:hint="default" w:ascii="Times New Roman" w:hAnsi="Times New Roman" w:cs="Times New Roman"/>
                <w:bCs/>
                <w:color w:val="auto"/>
                <w:sz w:val="24"/>
              </w:rPr>
              <w:t>装载液体、半固体危险废物的容器内须留足够空间，容器顶部与液体表面之间保留100毫米以上的空间</w:t>
            </w:r>
            <w:r>
              <w:rPr>
                <w:rFonts w:hint="default" w:ascii="Times New Roman" w:hAnsi="Times New Roman" w:cs="Times New Roman"/>
                <w:bCs/>
                <w:color w:val="auto"/>
                <w:sz w:val="24"/>
                <w:lang w:eastAsia="zh-CN"/>
              </w:rPr>
              <w:t>；</w:t>
            </w:r>
            <w:r>
              <w:rPr>
                <w:rFonts w:hint="default" w:ascii="Times New Roman" w:hAnsi="Times New Roman" w:cs="Times New Roman"/>
                <w:bCs/>
                <w:color w:val="auto"/>
                <w:sz w:val="24"/>
                <w:lang w:val="en-US" w:eastAsia="zh-CN"/>
              </w:rPr>
              <w:t>危险废物的堆放要做好</w:t>
            </w:r>
            <w:r>
              <w:rPr>
                <w:rFonts w:hint="eastAsia" w:ascii="宋体" w:hAnsi="宋体" w:eastAsia="宋体" w:cs="宋体"/>
                <w:bCs/>
                <w:color w:val="auto"/>
                <w:sz w:val="24"/>
                <w:lang w:val="en-US" w:eastAsia="zh-CN"/>
              </w:rPr>
              <w:t>“三防工作”</w:t>
            </w:r>
            <w:r>
              <w:rPr>
                <w:rFonts w:hint="eastAsia" w:ascii="Times New Roman" w:hAnsi="Times New Roman" w:cs="Times New Roman"/>
                <w:bCs/>
                <w:color w:val="auto"/>
                <w:sz w:val="24"/>
                <w:lang w:val="en-US" w:eastAsia="zh-CN"/>
              </w:rPr>
              <w:t>（</w:t>
            </w:r>
            <w:r>
              <w:rPr>
                <w:rFonts w:hint="default" w:ascii="Times New Roman" w:hAnsi="Times New Roman" w:cs="Times New Roman"/>
                <w:bCs/>
                <w:color w:val="auto"/>
                <w:sz w:val="24"/>
                <w:lang w:val="en-US" w:eastAsia="zh-CN"/>
              </w:rPr>
              <w:t>即防风、防雨和防晒</w:t>
            </w:r>
            <w:r>
              <w:rPr>
                <w:rFonts w:hint="eastAsia" w:ascii="Times New Roman" w:hAnsi="Times New Roman" w:cs="Times New Roman"/>
                <w:bCs/>
                <w:color w:val="auto"/>
                <w:sz w:val="24"/>
                <w:lang w:val="en-US" w:eastAsia="zh-CN"/>
              </w:rPr>
              <w:t>）</w:t>
            </w:r>
            <w:r>
              <w:rPr>
                <w:rFonts w:hint="default" w:ascii="Times New Roman" w:hAnsi="Times New Roman" w:cs="Times New Roman"/>
                <w:bCs/>
                <w:color w:val="auto"/>
                <w:sz w:val="24"/>
                <w:lang w:val="en-US" w:eastAsia="zh-CN"/>
              </w:rPr>
              <w:t>；同时应将危险废物分类收集贮存，并粘贴危险废物标签，并做好相应的纪录，不相融的危险废物必须分开存放，并有隔离间隔断，</w:t>
            </w:r>
            <w:r>
              <w:rPr>
                <w:rFonts w:hint="default" w:ascii="Times New Roman" w:hAnsi="Times New Roman" w:cs="Times New Roman"/>
                <w:bCs/>
                <w:color w:val="auto"/>
                <w:sz w:val="24"/>
              </w:rPr>
              <w:t>禁止将不相容（相互反应）的危险废物在同一容器内混装</w:t>
            </w:r>
            <w:r>
              <w:rPr>
                <w:rFonts w:hint="default" w:ascii="Times New Roman" w:hAnsi="Times New Roman" w:cs="Times New Roman"/>
                <w:bCs/>
                <w:color w:val="auto"/>
                <w:sz w:val="24"/>
                <w:lang w:val="en-US" w:eastAsia="zh-CN"/>
              </w:rPr>
              <w:t>。危险废物外运采用专门密闭车辆，防止散落和流洒。对危险废物的转移处理须严格按照国家环保总局第5号令《危险废物转移联单管理办法》执行。</w:t>
            </w:r>
          </w:p>
          <w:p w14:paraId="1974D78C">
            <w:pPr>
              <w:keepNext w:val="0"/>
              <w:keepLines w:val="0"/>
              <w:pageBreakBefore w:val="0"/>
              <w:widowControl w:val="0"/>
              <w:kinsoku/>
              <w:wordWrap/>
              <w:overflowPunct/>
              <w:topLinePunct w:val="0"/>
              <w:bidi w:val="0"/>
              <w:adjustRightInd/>
              <w:snapToGrid/>
              <w:spacing w:line="360" w:lineRule="auto"/>
              <w:ind w:firstLine="480" w:firstLineChars="200"/>
              <w:textAlignment w:val="auto"/>
              <w:rPr>
                <w:color w:val="FF0000"/>
                <w:sz w:val="24"/>
              </w:rPr>
            </w:pPr>
            <w:r>
              <w:rPr>
                <w:rFonts w:hint="eastAsia" w:ascii="Times New Roman" w:hAnsi="Times New Roman" w:cs="Times New Roman"/>
                <w:bCs/>
                <w:color w:val="FF0000"/>
                <w:sz w:val="24"/>
                <w:lang w:val="en-US" w:eastAsia="zh-CN"/>
              </w:rPr>
              <w:t>3）</w:t>
            </w:r>
            <w:r>
              <w:rPr>
                <w:color w:val="FF0000"/>
                <w:sz w:val="24"/>
              </w:rPr>
              <w:t>危险废物的收集、贮存</w:t>
            </w:r>
            <w:r>
              <w:rPr>
                <w:rFonts w:hint="eastAsia"/>
                <w:color w:val="FF0000"/>
                <w:sz w:val="24"/>
              </w:rPr>
              <w:t>以及处置</w:t>
            </w:r>
            <w:r>
              <w:rPr>
                <w:color w:val="FF0000"/>
                <w:sz w:val="24"/>
              </w:rPr>
              <w:t>应严格按照《危险废物污染防治技术政策》（环发〔2001〕199号）和《危险废物贮存污染控制标准》（GB18597-20</w:t>
            </w:r>
            <w:r>
              <w:rPr>
                <w:rFonts w:hint="eastAsia"/>
                <w:color w:val="FF0000"/>
                <w:sz w:val="24"/>
              </w:rPr>
              <w:t>23</w:t>
            </w:r>
            <w:r>
              <w:rPr>
                <w:color w:val="FF0000"/>
                <w:sz w:val="24"/>
              </w:rPr>
              <w:t>）实行。具体</w:t>
            </w:r>
            <w:r>
              <w:rPr>
                <w:rFonts w:hint="eastAsia"/>
                <w:color w:val="FF0000"/>
                <w:sz w:val="24"/>
              </w:rPr>
              <w:t>处置</w:t>
            </w:r>
            <w:r>
              <w:rPr>
                <w:color w:val="FF0000"/>
                <w:sz w:val="24"/>
              </w:rPr>
              <w:t>方法如下：</w:t>
            </w:r>
          </w:p>
          <w:p w14:paraId="3A86D133">
            <w:pPr>
              <w:keepNext w:val="0"/>
              <w:keepLines w:val="0"/>
              <w:pageBreakBefore w:val="0"/>
              <w:widowControl w:val="0"/>
              <w:kinsoku/>
              <w:wordWrap/>
              <w:overflowPunct/>
              <w:topLinePunct w:val="0"/>
              <w:bidi w:val="0"/>
              <w:adjustRightInd/>
              <w:snapToGrid/>
              <w:spacing w:line="360" w:lineRule="auto"/>
              <w:ind w:firstLine="480" w:firstLineChars="200"/>
              <w:textAlignment w:val="auto"/>
              <w:rPr>
                <w:color w:val="FF0000"/>
                <w:sz w:val="24"/>
              </w:rPr>
            </w:pPr>
            <w:r>
              <w:rPr>
                <w:rFonts w:hint="eastAsia" w:ascii="仿宋" w:hAnsi="仿宋" w:eastAsia="仿宋" w:cs="仿宋"/>
                <w:color w:val="FF0000"/>
                <w:sz w:val="24"/>
              </w:rPr>
              <w:fldChar w:fldCharType="begin"/>
            </w:r>
            <w:r>
              <w:rPr>
                <w:rFonts w:hint="eastAsia" w:ascii="仿宋" w:hAnsi="仿宋" w:eastAsia="仿宋" w:cs="仿宋"/>
                <w:color w:val="FF0000"/>
                <w:sz w:val="24"/>
              </w:rPr>
              <w:instrText xml:space="preserve"> = 1 \* GB3 \* MERGEFORMAT </w:instrText>
            </w:r>
            <w:r>
              <w:rPr>
                <w:rFonts w:hint="eastAsia" w:ascii="仿宋" w:hAnsi="仿宋" w:eastAsia="仿宋" w:cs="仿宋"/>
                <w:color w:val="FF0000"/>
                <w:sz w:val="24"/>
              </w:rPr>
              <w:fldChar w:fldCharType="separate"/>
            </w:r>
            <w:r>
              <w:rPr>
                <w:rFonts w:hint="eastAsia" w:ascii="仿宋" w:hAnsi="仿宋" w:eastAsia="仿宋" w:cs="仿宋"/>
                <w:color w:val="FF0000"/>
                <w:sz w:val="24"/>
              </w:rPr>
              <w:t>①</w:t>
            </w:r>
            <w:r>
              <w:rPr>
                <w:rFonts w:hint="eastAsia" w:ascii="仿宋" w:hAnsi="仿宋" w:eastAsia="仿宋" w:cs="仿宋"/>
                <w:color w:val="FF0000"/>
                <w:sz w:val="24"/>
              </w:rPr>
              <w:fldChar w:fldCharType="end"/>
            </w:r>
            <w:r>
              <w:rPr>
                <w:color w:val="FF0000"/>
                <w:sz w:val="24"/>
              </w:rPr>
              <w:t>收集</w:t>
            </w:r>
          </w:p>
          <w:p w14:paraId="4FDA0D11">
            <w:pPr>
              <w:keepNext w:val="0"/>
              <w:keepLines w:val="0"/>
              <w:pageBreakBefore w:val="0"/>
              <w:widowControl w:val="0"/>
              <w:kinsoku/>
              <w:wordWrap/>
              <w:overflowPunct/>
              <w:topLinePunct w:val="0"/>
              <w:bidi w:val="0"/>
              <w:adjustRightInd/>
              <w:snapToGrid/>
              <w:spacing w:line="360" w:lineRule="auto"/>
              <w:ind w:firstLine="480" w:firstLineChars="200"/>
              <w:textAlignment w:val="auto"/>
              <w:rPr>
                <w:color w:val="FF0000"/>
                <w:sz w:val="24"/>
              </w:rPr>
            </w:pPr>
            <w:r>
              <w:rPr>
                <w:color w:val="FF0000"/>
                <w:sz w:val="24"/>
              </w:rPr>
              <w:t>采用不易破损、变形、老化的</w:t>
            </w:r>
            <w:r>
              <w:rPr>
                <w:rFonts w:hint="eastAsia"/>
                <w:color w:val="FF0000"/>
                <w:sz w:val="24"/>
              </w:rPr>
              <w:t>密闭</w:t>
            </w:r>
            <w:r>
              <w:rPr>
                <w:color w:val="FF0000"/>
                <w:sz w:val="24"/>
              </w:rPr>
              <w:t>容器</w:t>
            </w:r>
            <w:r>
              <w:rPr>
                <w:rFonts w:hint="eastAsia"/>
                <w:color w:val="FF0000"/>
                <w:sz w:val="24"/>
              </w:rPr>
              <w:t>分类收集</w:t>
            </w:r>
            <w:r>
              <w:rPr>
                <w:color w:val="FF0000"/>
                <w:sz w:val="24"/>
              </w:rPr>
              <w:t>，有效防止</w:t>
            </w:r>
            <w:r>
              <w:rPr>
                <w:rFonts w:hint="eastAsia"/>
                <w:color w:val="FF0000"/>
                <w:sz w:val="24"/>
              </w:rPr>
              <w:t>危险废物的</w:t>
            </w:r>
            <w:r>
              <w:rPr>
                <w:color w:val="FF0000"/>
                <w:sz w:val="24"/>
              </w:rPr>
              <w:t>渗漏和扩散。</w:t>
            </w:r>
          </w:p>
          <w:p w14:paraId="311A9E8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FF0000"/>
                <w:sz w:val="24"/>
              </w:rPr>
            </w:pPr>
            <w:r>
              <w:rPr>
                <w:rFonts w:ascii="仿宋" w:hAnsi="仿宋" w:eastAsia="仿宋" w:cs="仿宋"/>
                <w:color w:val="FF0000"/>
                <w:sz w:val="24"/>
              </w:rPr>
              <w:fldChar w:fldCharType="begin"/>
            </w:r>
            <w:r>
              <w:rPr>
                <w:rFonts w:ascii="仿宋" w:hAnsi="仿宋" w:eastAsia="仿宋" w:cs="仿宋"/>
                <w:color w:val="FF0000"/>
                <w:sz w:val="24"/>
              </w:rPr>
              <w:instrText xml:space="preserve"> = 2 \* GB3 \* MERGEFORMAT </w:instrText>
            </w:r>
            <w:r>
              <w:rPr>
                <w:rFonts w:ascii="仿宋" w:hAnsi="仿宋" w:eastAsia="仿宋" w:cs="仿宋"/>
                <w:color w:val="FF0000"/>
                <w:sz w:val="24"/>
              </w:rPr>
              <w:fldChar w:fldCharType="separate"/>
            </w:r>
            <w:r>
              <w:rPr>
                <w:rFonts w:hint="eastAsia" w:ascii="仿宋" w:hAnsi="仿宋" w:eastAsia="仿宋" w:cs="仿宋"/>
                <w:color w:val="FF0000"/>
                <w:sz w:val="24"/>
              </w:rPr>
              <w:t>②</w:t>
            </w:r>
            <w:r>
              <w:rPr>
                <w:rFonts w:ascii="仿宋" w:hAnsi="仿宋" w:eastAsia="仿宋" w:cs="仿宋"/>
                <w:color w:val="FF0000"/>
                <w:sz w:val="24"/>
              </w:rPr>
              <w:fldChar w:fldCharType="end"/>
            </w:r>
            <w:r>
              <w:rPr>
                <w:color w:val="FF0000"/>
                <w:sz w:val="24"/>
              </w:rPr>
              <w:t>贮存</w:t>
            </w:r>
          </w:p>
          <w:p w14:paraId="4503756F">
            <w:pPr>
              <w:keepNext w:val="0"/>
              <w:keepLines w:val="0"/>
              <w:pageBreakBefore w:val="0"/>
              <w:widowControl w:val="0"/>
              <w:kinsoku/>
              <w:wordWrap/>
              <w:overflowPunct/>
              <w:topLinePunct w:val="0"/>
              <w:bidi w:val="0"/>
              <w:adjustRightInd/>
              <w:snapToGrid/>
              <w:spacing w:line="360" w:lineRule="auto"/>
              <w:ind w:firstLine="480" w:firstLineChars="200"/>
              <w:textAlignment w:val="auto"/>
              <w:rPr>
                <w:color w:val="FF0000"/>
                <w:sz w:val="24"/>
              </w:rPr>
            </w:pPr>
            <w:r>
              <w:rPr>
                <w:color w:val="FF0000"/>
                <w:sz w:val="24"/>
              </w:rPr>
              <w:t>贮存严格按照《危险废物贮存污染控制标准》（GB18597-20</w:t>
            </w:r>
            <w:r>
              <w:rPr>
                <w:rFonts w:hint="eastAsia"/>
                <w:color w:val="FF0000"/>
                <w:sz w:val="24"/>
              </w:rPr>
              <w:t>23</w:t>
            </w:r>
            <w:r>
              <w:rPr>
                <w:color w:val="FF0000"/>
                <w:sz w:val="24"/>
              </w:rPr>
              <w:t>）</w:t>
            </w:r>
            <w:r>
              <w:rPr>
                <w:rFonts w:hint="eastAsia"/>
                <w:color w:val="FF0000"/>
                <w:sz w:val="24"/>
                <w:lang w:eastAsia="zh-CN"/>
              </w:rPr>
              <w:t>执</w:t>
            </w:r>
            <w:r>
              <w:rPr>
                <w:color w:val="FF0000"/>
                <w:sz w:val="24"/>
              </w:rPr>
              <w:t>行。</w:t>
            </w:r>
            <w:r>
              <w:rPr>
                <w:rFonts w:hint="eastAsia"/>
                <w:color w:val="FF0000"/>
                <w:sz w:val="24"/>
                <w:lang w:eastAsia="zh-CN"/>
              </w:rPr>
              <w:t>本</w:t>
            </w:r>
            <w:r>
              <w:rPr>
                <w:rFonts w:hint="eastAsia"/>
                <w:color w:val="FF0000"/>
                <w:sz w:val="24"/>
                <w:lang w:val="en-US" w:eastAsia="zh-CN"/>
              </w:rPr>
              <w:t>项</w:t>
            </w:r>
            <w:r>
              <w:rPr>
                <w:color w:val="FF0000"/>
                <w:sz w:val="24"/>
              </w:rPr>
              <w:t>目对危险废物</w:t>
            </w:r>
            <w:r>
              <w:rPr>
                <w:rFonts w:hint="eastAsia"/>
                <w:color w:val="FF0000"/>
                <w:sz w:val="24"/>
              </w:rPr>
              <w:t>暂存间</w:t>
            </w:r>
            <w:r>
              <w:rPr>
                <w:color w:val="FF0000"/>
                <w:sz w:val="24"/>
              </w:rPr>
              <w:t>建设要求如下：</w:t>
            </w:r>
          </w:p>
          <w:p w14:paraId="79C9B764">
            <w:pPr>
              <w:keepNext w:val="0"/>
              <w:keepLines w:val="0"/>
              <w:pageBreakBefore w:val="0"/>
              <w:widowControl w:val="0"/>
              <w:kinsoku/>
              <w:wordWrap/>
              <w:overflowPunct/>
              <w:topLinePunct w:val="0"/>
              <w:bidi w:val="0"/>
              <w:adjustRightInd/>
              <w:snapToGrid/>
              <w:spacing w:line="360" w:lineRule="auto"/>
              <w:ind w:firstLine="480" w:firstLineChars="200"/>
              <w:textAlignment w:val="auto"/>
              <w:rPr>
                <w:color w:val="FF0000"/>
                <w:sz w:val="24"/>
              </w:rPr>
            </w:pPr>
            <w:r>
              <w:rPr>
                <w:rFonts w:hint="eastAsia"/>
                <w:color w:val="FF0000"/>
                <w:sz w:val="24"/>
              </w:rPr>
              <w:t>A.采取必要的防风、防晒、防雨、防漏、防渗、防腐以及其他环境污染防治措施，不应露天堆放危险废物</w:t>
            </w:r>
            <w:r>
              <w:rPr>
                <w:color w:val="FF0000"/>
                <w:sz w:val="24"/>
              </w:rPr>
              <w:t>；</w:t>
            </w:r>
          </w:p>
          <w:p w14:paraId="39515C54">
            <w:pPr>
              <w:keepNext w:val="0"/>
              <w:keepLines w:val="0"/>
              <w:pageBreakBefore w:val="0"/>
              <w:widowControl w:val="0"/>
              <w:kinsoku/>
              <w:wordWrap/>
              <w:overflowPunct/>
              <w:topLinePunct w:val="0"/>
              <w:bidi w:val="0"/>
              <w:adjustRightInd/>
              <w:snapToGrid/>
              <w:spacing w:line="360" w:lineRule="auto"/>
              <w:ind w:firstLine="480" w:firstLineChars="200"/>
              <w:textAlignment w:val="auto"/>
              <w:rPr>
                <w:color w:val="FF0000"/>
                <w:sz w:val="24"/>
              </w:rPr>
            </w:pPr>
            <w:r>
              <w:rPr>
                <w:rFonts w:hint="eastAsia"/>
                <w:color w:val="FF0000"/>
                <w:sz w:val="24"/>
              </w:rPr>
              <w:t>B.</w:t>
            </w:r>
            <w:r>
              <w:rPr>
                <w:color w:val="FF0000"/>
                <w:sz w:val="24"/>
              </w:rPr>
              <w:t>地面、墙面裙脚、堵截泄漏的围堰、接触危险废物的隔板和墙体等应采用坚固的材料建造，表面无裂缝</w:t>
            </w:r>
            <w:r>
              <w:rPr>
                <w:rFonts w:hint="eastAsia"/>
                <w:color w:val="FF0000"/>
                <w:sz w:val="24"/>
              </w:rPr>
              <w:t>；</w:t>
            </w:r>
          </w:p>
          <w:p w14:paraId="5DBBF815">
            <w:pPr>
              <w:keepNext w:val="0"/>
              <w:keepLines w:val="0"/>
              <w:pageBreakBefore w:val="0"/>
              <w:widowControl w:val="0"/>
              <w:kinsoku/>
              <w:wordWrap/>
              <w:overflowPunct/>
              <w:topLinePunct w:val="0"/>
              <w:bidi w:val="0"/>
              <w:adjustRightInd/>
              <w:snapToGrid/>
              <w:spacing w:line="360" w:lineRule="auto"/>
              <w:ind w:firstLine="480" w:firstLineChars="200"/>
              <w:textAlignment w:val="auto"/>
              <w:rPr>
                <w:color w:val="FF0000"/>
                <w:sz w:val="24"/>
              </w:rPr>
            </w:pPr>
            <w:r>
              <w:rPr>
                <w:rFonts w:hint="eastAsia"/>
                <w:color w:val="FF0000"/>
                <w:sz w:val="24"/>
              </w:rPr>
              <w:t>C.</w:t>
            </w:r>
            <w:r>
              <w:rPr>
                <w:color w:val="FF0000"/>
                <w:sz w:val="24"/>
              </w:rPr>
              <w:t>基础防渗层为至少1m厚黏土层（渗透系数不大于10</w:t>
            </w:r>
            <w:r>
              <w:rPr>
                <w:color w:val="FF0000"/>
                <w:sz w:val="24"/>
                <w:vertAlign w:val="superscript"/>
              </w:rPr>
              <w:t>-7</w:t>
            </w:r>
            <w:r>
              <w:rPr>
                <w:color w:val="FF0000"/>
                <w:sz w:val="24"/>
              </w:rPr>
              <w:t>cm/s），或至少2mm厚高密度聚乙烯膜等人工防渗材料（渗透系数不大于10</w:t>
            </w:r>
            <w:r>
              <w:rPr>
                <w:color w:val="FF0000"/>
                <w:sz w:val="24"/>
                <w:vertAlign w:val="superscript"/>
              </w:rPr>
              <w:t>-10</w:t>
            </w:r>
            <w:r>
              <w:rPr>
                <w:color w:val="FF0000"/>
                <w:sz w:val="24"/>
              </w:rPr>
              <w:t>cm/s），或其他防渗性能等效的材料；</w:t>
            </w:r>
          </w:p>
          <w:p w14:paraId="623ABB8A">
            <w:pPr>
              <w:keepNext w:val="0"/>
              <w:keepLines w:val="0"/>
              <w:pageBreakBefore w:val="0"/>
              <w:widowControl w:val="0"/>
              <w:kinsoku/>
              <w:wordWrap/>
              <w:overflowPunct/>
              <w:topLinePunct w:val="0"/>
              <w:bidi w:val="0"/>
              <w:adjustRightInd/>
              <w:snapToGrid/>
              <w:spacing w:line="360" w:lineRule="auto"/>
              <w:ind w:firstLine="480" w:firstLineChars="200"/>
              <w:textAlignment w:val="auto"/>
              <w:rPr>
                <w:color w:val="FF0000"/>
                <w:sz w:val="24"/>
              </w:rPr>
            </w:pPr>
            <w:r>
              <w:rPr>
                <w:rFonts w:hint="eastAsia"/>
                <w:color w:val="FF0000"/>
                <w:sz w:val="24"/>
              </w:rPr>
              <w:t>D.</w:t>
            </w:r>
            <w:r>
              <w:rPr>
                <w:color w:val="FF0000"/>
                <w:sz w:val="24"/>
              </w:rPr>
              <w:t>应采取技术和管理措施防止无关人员进入。</w:t>
            </w:r>
          </w:p>
          <w:p w14:paraId="7D3FF65C">
            <w:pPr>
              <w:pStyle w:val="19"/>
              <w:keepNext w:val="0"/>
              <w:keepLines w:val="0"/>
              <w:pageBreakBefore w:val="0"/>
              <w:widowControl w:val="0"/>
              <w:kinsoku/>
              <w:wordWrap/>
              <w:overflowPunct/>
              <w:topLinePunct w:val="0"/>
              <w:autoSpaceDE/>
              <w:autoSpaceDN/>
              <w:bidi w:val="0"/>
              <w:adjustRightInd/>
              <w:snapToGrid/>
              <w:spacing w:line="360" w:lineRule="auto"/>
              <w:ind w:firstLine="573"/>
              <w:textAlignment w:val="auto"/>
              <w:rPr>
                <w:rFonts w:hint="eastAsia" w:ascii="Times New Roman" w:eastAsia="宋体"/>
                <w:color w:val="FF0000"/>
                <w:sz w:val="24"/>
              </w:rPr>
            </w:pPr>
            <w:r>
              <w:rPr>
                <w:rFonts w:ascii="仿宋" w:hAnsi="仿宋" w:eastAsia="仿宋" w:cs="仿宋"/>
                <w:color w:val="FF0000"/>
                <w:sz w:val="24"/>
              </w:rPr>
              <w:fldChar w:fldCharType="begin"/>
            </w:r>
            <w:r>
              <w:rPr>
                <w:rFonts w:ascii="仿宋" w:hAnsi="仿宋" w:eastAsia="仿宋" w:cs="仿宋"/>
                <w:color w:val="FF0000"/>
                <w:sz w:val="24"/>
              </w:rPr>
              <w:instrText xml:space="preserve"> = 3 \* GB3 \* MERGEFORMAT </w:instrText>
            </w:r>
            <w:r>
              <w:rPr>
                <w:rFonts w:ascii="仿宋" w:hAnsi="仿宋" w:eastAsia="仿宋" w:cs="仿宋"/>
                <w:color w:val="FF0000"/>
                <w:sz w:val="24"/>
              </w:rPr>
              <w:fldChar w:fldCharType="separate"/>
            </w:r>
            <w:r>
              <w:rPr>
                <w:rFonts w:hint="eastAsia" w:ascii="仿宋" w:hAnsi="仿宋" w:eastAsia="仿宋" w:cs="仿宋"/>
                <w:color w:val="FF0000"/>
                <w:sz w:val="24"/>
              </w:rPr>
              <w:t>③</w:t>
            </w:r>
            <w:r>
              <w:rPr>
                <w:rFonts w:ascii="仿宋" w:hAnsi="仿宋" w:eastAsia="仿宋" w:cs="仿宋"/>
                <w:color w:val="FF0000"/>
                <w:sz w:val="24"/>
              </w:rPr>
              <w:fldChar w:fldCharType="end"/>
            </w:r>
            <w:r>
              <w:rPr>
                <w:rFonts w:hint="eastAsia" w:ascii="Times New Roman" w:eastAsia="宋体"/>
                <w:color w:val="FF0000"/>
                <w:sz w:val="24"/>
              </w:rPr>
              <w:t>处置</w:t>
            </w:r>
          </w:p>
          <w:p w14:paraId="7CAFF076">
            <w:pPr>
              <w:pStyle w:val="2"/>
              <w:keepNext w:val="0"/>
              <w:keepLines w:val="0"/>
              <w:pageBreakBefore w:val="0"/>
              <w:widowControl w:val="0"/>
              <w:kinsoku/>
              <w:wordWrap/>
              <w:overflowPunct/>
              <w:topLinePunct w:val="0"/>
              <w:autoSpaceDE w:val="0"/>
              <w:autoSpaceDN w:val="0"/>
              <w:bidi w:val="0"/>
              <w:adjustRightInd/>
              <w:snapToGrid/>
              <w:spacing w:before="0" w:after="0" w:line="360" w:lineRule="auto"/>
              <w:ind w:firstLine="480" w:firstLineChars="200"/>
              <w:jc w:val="both"/>
              <w:textAlignment w:val="auto"/>
              <w:rPr>
                <w:rFonts w:hint="default" w:ascii="Times New Roman" w:hAnsi="Times New Roman" w:cs="Times New Roman"/>
                <w:bCs/>
                <w:color w:val="FF0000"/>
                <w:sz w:val="24"/>
                <w:lang w:val="en-US" w:eastAsia="zh-CN"/>
              </w:rPr>
            </w:pPr>
            <w:r>
              <w:rPr>
                <w:color w:val="FF0000"/>
                <w:sz w:val="24"/>
              </w:rPr>
              <w:t>处置时尽可能采用减量化、资源化利用措施</w:t>
            </w:r>
            <w:r>
              <w:rPr>
                <w:rFonts w:hint="eastAsia"/>
                <w:color w:val="FF0000"/>
                <w:sz w:val="24"/>
              </w:rPr>
              <w:t>，</w:t>
            </w:r>
            <w:r>
              <w:rPr>
                <w:color w:val="FF0000"/>
                <w:sz w:val="24"/>
              </w:rPr>
              <w:t>委托处置应与处置单位签订委托处理合同，报生态环境部门备案。危险废物转移需执行报批和转移联单等制度。</w:t>
            </w:r>
          </w:p>
          <w:p w14:paraId="0F1238F2">
            <w:pPr>
              <w:pStyle w:val="2"/>
              <w:keepNext w:val="0"/>
              <w:keepLines w:val="0"/>
              <w:pageBreakBefore w:val="0"/>
              <w:widowControl w:val="0"/>
              <w:kinsoku/>
              <w:wordWrap/>
              <w:overflowPunct/>
              <w:topLinePunct w:val="0"/>
              <w:autoSpaceDE w:val="0"/>
              <w:autoSpaceDN w:val="0"/>
              <w:bidi w:val="0"/>
              <w:adjustRightInd/>
              <w:snapToGrid/>
              <w:spacing w:before="0" w:after="0" w:line="360" w:lineRule="auto"/>
              <w:ind w:firstLine="480" w:firstLineChars="200"/>
              <w:jc w:val="both"/>
              <w:textAlignment w:val="auto"/>
              <w:rPr>
                <w:bCs/>
                <w:color w:val="000000"/>
              </w:rPr>
            </w:pPr>
            <w:r>
              <w:rPr>
                <w:rFonts w:hint="default" w:ascii="Times New Roman" w:hAnsi="Times New Roman" w:cs="Times New Roman"/>
                <w:bCs/>
                <w:color w:val="auto"/>
                <w:sz w:val="24"/>
                <w:lang w:val="en-US" w:eastAsia="zh-CN"/>
              </w:rPr>
              <w:t>综上所述，本项目严格按照国家固体废物贮存有关要求，在厂区内设置专门的区域作为固</w:t>
            </w:r>
            <w:r>
              <w:rPr>
                <w:rFonts w:hint="eastAsia" w:ascii="Times New Roman" w:hAnsi="Times New Roman" w:cs="Times New Roman"/>
                <w:bCs/>
                <w:color w:val="auto"/>
                <w:sz w:val="24"/>
                <w:lang w:val="en-US" w:eastAsia="zh-CN"/>
              </w:rPr>
              <w:t>体</w:t>
            </w:r>
            <w:r>
              <w:rPr>
                <w:rFonts w:hint="default" w:ascii="Times New Roman" w:hAnsi="Times New Roman" w:cs="Times New Roman"/>
                <w:bCs/>
                <w:color w:val="auto"/>
                <w:sz w:val="24"/>
                <w:lang w:val="en-US" w:eastAsia="zh-CN"/>
              </w:rPr>
              <w:t>废</w:t>
            </w:r>
            <w:r>
              <w:rPr>
                <w:rFonts w:hint="eastAsia" w:ascii="Times New Roman" w:hAnsi="Times New Roman" w:cs="Times New Roman"/>
                <w:bCs/>
                <w:color w:val="auto"/>
                <w:sz w:val="24"/>
                <w:lang w:val="en-US" w:eastAsia="zh-CN"/>
              </w:rPr>
              <w:t>物</w:t>
            </w:r>
            <w:r>
              <w:rPr>
                <w:rFonts w:hint="default" w:ascii="Times New Roman" w:hAnsi="Times New Roman" w:cs="Times New Roman"/>
                <w:bCs/>
                <w:color w:val="auto"/>
                <w:sz w:val="24"/>
                <w:lang w:val="en-US" w:eastAsia="zh-CN"/>
              </w:rPr>
              <w:t>堆放场地，树立显著的标志，由专门的人员进行管理，避免其对周围环境产生二次污染，采取上述措施后，建设项目产生的固</w:t>
            </w:r>
            <w:r>
              <w:rPr>
                <w:rFonts w:hint="eastAsia" w:ascii="Times New Roman" w:hAnsi="Times New Roman" w:cs="Times New Roman"/>
                <w:bCs/>
                <w:color w:val="auto"/>
                <w:sz w:val="24"/>
                <w:lang w:val="en-US" w:eastAsia="zh-CN"/>
              </w:rPr>
              <w:t>体</w:t>
            </w:r>
            <w:r>
              <w:rPr>
                <w:rFonts w:hint="default" w:ascii="Times New Roman" w:hAnsi="Times New Roman" w:cs="Times New Roman"/>
                <w:bCs/>
                <w:color w:val="auto"/>
                <w:sz w:val="24"/>
                <w:lang w:val="en-US" w:eastAsia="zh-CN"/>
              </w:rPr>
              <w:t>废</w:t>
            </w:r>
            <w:r>
              <w:rPr>
                <w:rFonts w:hint="eastAsia" w:ascii="Times New Roman" w:hAnsi="Times New Roman" w:cs="Times New Roman"/>
                <w:bCs/>
                <w:color w:val="auto"/>
                <w:sz w:val="24"/>
                <w:lang w:val="en-US" w:eastAsia="zh-CN"/>
              </w:rPr>
              <w:t>物</w:t>
            </w:r>
            <w:r>
              <w:rPr>
                <w:rFonts w:hint="default" w:ascii="Times New Roman" w:hAnsi="Times New Roman" w:cs="Times New Roman"/>
                <w:bCs/>
                <w:color w:val="auto"/>
                <w:sz w:val="24"/>
                <w:lang w:val="en-US" w:eastAsia="zh-CN"/>
              </w:rPr>
              <w:t>经妥善处理、处置后，对周围环境影响很小。</w:t>
            </w:r>
          </w:p>
          <w:p w14:paraId="112D0A74">
            <w:pPr>
              <w:pStyle w:val="54"/>
              <w:numPr>
                <w:ilvl w:val="0"/>
                <w:numId w:val="0"/>
              </w:numPr>
              <w:ind w:leftChars="0" w:firstLine="482" w:firstLineChars="200"/>
              <w:rPr>
                <w:rFonts w:hint="eastAsia" w:eastAsia="宋体"/>
                <w:b/>
                <w:lang w:val="en-US" w:eastAsia="zh-CN"/>
              </w:rPr>
            </w:pPr>
            <w:r>
              <w:rPr>
                <w:rFonts w:hint="eastAsia"/>
                <w:b/>
                <w:lang w:val="en-US" w:eastAsia="zh-CN"/>
              </w:rPr>
              <w:t>5、</w:t>
            </w:r>
            <w:r>
              <w:rPr>
                <w:b/>
              </w:rPr>
              <w:t>地下水</w:t>
            </w:r>
          </w:p>
          <w:p w14:paraId="1777F4B8">
            <w:pPr>
              <w:pStyle w:val="54"/>
              <w:numPr>
                <w:ilvl w:val="0"/>
                <w:numId w:val="0"/>
              </w:numPr>
              <w:ind w:left="420" w:leftChars="0"/>
              <w:rPr>
                <w:b/>
              </w:rPr>
            </w:pPr>
            <w:r>
              <w:rPr>
                <w:rFonts w:hint="eastAsia"/>
                <w:b/>
                <w:lang w:eastAsia="zh-CN"/>
              </w:rPr>
              <w:t>（</w:t>
            </w:r>
            <w:r>
              <w:rPr>
                <w:rFonts w:hint="eastAsia"/>
                <w:b/>
                <w:lang w:val="en-US" w:eastAsia="zh-CN"/>
              </w:rPr>
              <w:t>1</w:t>
            </w:r>
            <w:r>
              <w:rPr>
                <w:rFonts w:hint="eastAsia"/>
                <w:b/>
                <w:lang w:eastAsia="zh-CN"/>
              </w:rPr>
              <w:t>）</w:t>
            </w:r>
            <w:r>
              <w:rPr>
                <w:rFonts w:hint="eastAsia"/>
                <w:b/>
              </w:rPr>
              <w:t>污染类型及污染途径</w:t>
            </w:r>
          </w:p>
          <w:p w14:paraId="05ED78BB">
            <w:pPr>
              <w:pStyle w:val="74"/>
              <w:spacing w:line="360" w:lineRule="auto"/>
              <w:ind w:firstLine="480" w:firstLineChars="200"/>
              <w:jc w:val="both"/>
              <w:rPr>
                <w:rFonts w:ascii="Times New Roman" w:cs="Times New Roman"/>
              </w:rPr>
            </w:pPr>
            <w:r>
              <w:rPr>
                <w:rFonts w:hint="eastAsia" w:ascii="Times New Roman" w:cs="Times New Roman"/>
                <w:lang w:val="en-US" w:eastAsia="zh-CN"/>
              </w:rPr>
              <w:t>本项目</w:t>
            </w:r>
            <w:r>
              <w:rPr>
                <w:rFonts w:ascii="Times New Roman" w:cs="Times New Roman"/>
              </w:rPr>
              <w:t>油品</w:t>
            </w:r>
            <w:r>
              <w:rPr>
                <w:rFonts w:hint="eastAsia" w:ascii="Times New Roman" w:cs="Times New Roman"/>
                <w:lang w:val="en-US" w:eastAsia="zh-CN"/>
              </w:rPr>
              <w:t>贮</w:t>
            </w:r>
            <w:r>
              <w:rPr>
                <w:rFonts w:ascii="Times New Roman" w:cs="Times New Roman"/>
              </w:rPr>
              <w:t>存对地下水产生污染的途径主要为</w:t>
            </w:r>
            <w:r>
              <w:rPr>
                <w:rFonts w:hint="eastAsia" w:ascii="Times New Roman" w:cs="Times New Roman"/>
                <w:lang w:val="en-US" w:eastAsia="zh-CN"/>
              </w:rPr>
              <w:t>垂直入渗</w:t>
            </w:r>
            <w:r>
              <w:rPr>
                <w:rFonts w:hint="eastAsia" w:ascii="Times New Roman" w:cs="Times New Roman"/>
              </w:rPr>
              <w:t>，</w:t>
            </w:r>
            <w:r>
              <w:rPr>
                <w:rFonts w:ascii="Times New Roman" w:cs="Times New Roman"/>
              </w:rPr>
              <w:t>储</w:t>
            </w:r>
            <w:r>
              <w:rPr>
                <w:rFonts w:hint="eastAsia" w:ascii="Times New Roman" w:cs="Times New Roman"/>
                <w:lang w:val="en-US" w:eastAsia="zh-CN"/>
              </w:rPr>
              <w:t>油</w:t>
            </w:r>
            <w:r>
              <w:rPr>
                <w:rFonts w:ascii="Times New Roman" w:cs="Times New Roman"/>
              </w:rPr>
              <w:t>罐和运输管道渗漏</w:t>
            </w:r>
            <w:r>
              <w:rPr>
                <w:rFonts w:hint="eastAsia" w:ascii="Times New Roman" w:cs="Times New Roman"/>
              </w:rPr>
              <w:t>、</w:t>
            </w:r>
            <w:r>
              <w:rPr>
                <w:rFonts w:ascii="Times New Roman" w:cs="Times New Roman"/>
              </w:rPr>
              <w:t>含油污水的跑冒滴漏和落地油等</w:t>
            </w:r>
            <w:r>
              <w:rPr>
                <w:rFonts w:hint="eastAsia" w:ascii="Times New Roman" w:cs="Times New Roman"/>
              </w:rPr>
              <w:t>可能</w:t>
            </w:r>
            <w:r>
              <w:rPr>
                <w:rFonts w:ascii="Times New Roman" w:cs="Times New Roman"/>
              </w:rPr>
              <w:t>通过包气带渗透到含水层而污染地下水。</w:t>
            </w:r>
          </w:p>
          <w:p w14:paraId="40EBCCEA">
            <w:pPr>
              <w:pStyle w:val="54"/>
              <w:numPr>
                <w:ilvl w:val="0"/>
                <w:numId w:val="0"/>
              </w:numPr>
              <w:ind w:left="420" w:leftChars="0"/>
              <w:rPr>
                <w:b/>
              </w:rPr>
            </w:pPr>
            <w:r>
              <w:rPr>
                <w:rFonts w:hint="eastAsia"/>
                <w:b/>
                <w:lang w:eastAsia="zh-CN"/>
              </w:rPr>
              <w:t>（</w:t>
            </w:r>
            <w:r>
              <w:rPr>
                <w:rFonts w:hint="eastAsia"/>
                <w:b/>
                <w:lang w:val="en-US" w:eastAsia="zh-CN"/>
              </w:rPr>
              <w:t>2</w:t>
            </w:r>
            <w:r>
              <w:rPr>
                <w:rFonts w:hint="eastAsia"/>
                <w:b/>
                <w:lang w:eastAsia="zh-CN"/>
              </w:rPr>
              <w:t>）</w:t>
            </w:r>
            <w:r>
              <w:rPr>
                <w:b/>
              </w:rPr>
              <w:t>污染防治措施</w:t>
            </w:r>
          </w:p>
          <w:p w14:paraId="6ACC2899">
            <w:pPr>
              <w:ind w:firstLine="480"/>
              <w:rPr>
                <w:color w:val="000000"/>
              </w:rPr>
            </w:pPr>
            <w:r>
              <w:rPr>
                <w:rFonts w:hint="eastAsia"/>
                <w:color w:val="auto"/>
                <w:sz w:val="24"/>
                <w:lang w:val="en-US" w:eastAsia="zh-CN"/>
              </w:rPr>
              <w:t>本项目</w:t>
            </w:r>
            <w:r>
              <w:rPr>
                <w:color w:val="auto"/>
                <w:sz w:val="24"/>
              </w:rPr>
              <w:t>地下设施（埋地</w:t>
            </w:r>
            <w:r>
              <w:rPr>
                <w:rFonts w:hint="eastAsia"/>
                <w:color w:val="auto"/>
                <w:sz w:val="24"/>
                <w:lang w:val="en-US" w:eastAsia="zh-CN"/>
              </w:rPr>
              <w:t>卧式储</w:t>
            </w:r>
            <w:r>
              <w:rPr>
                <w:color w:val="auto"/>
                <w:sz w:val="24"/>
              </w:rPr>
              <w:t>油罐、输油管线等）因长期使用、维护</w:t>
            </w:r>
            <w:r>
              <w:rPr>
                <w:rFonts w:hint="eastAsia"/>
                <w:color w:val="auto"/>
                <w:sz w:val="24"/>
                <w:lang w:eastAsia="zh-CN"/>
              </w:rPr>
              <w:t>不力</w:t>
            </w:r>
            <w:r>
              <w:rPr>
                <w:color w:val="auto"/>
                <w:sz w:val="24"/>
              </w:rPr>
              <w:t>或材料腐蚀等原因造成油品泄漏，油品中有害物质易在土壤中长距离迁移进入地下水，成为影响地下水环境的重要风险源。</w:t>
            </w:r>
            <w:r>
              <w:rPr>
                <w:rFonts w:hint="eastAsia"/>
                <w:color w:val="auto"/>
                <w:sz w:val="24"/>
                <w:lang w:val="en-US" w:eastAsia="zh-CN"/>
              </w:rPr>
              <w:t>项目</w:t>
            </w:r>
            <w:r>
              <w:rPr>
                <w:color w:val="auto"/>
                <w:sz w:val="24"/>
              </w:rPr>
              <w:t>对土壤和地下水造成的污染具有极强的隐蔽性，很难察觉，土壤和地下水环境一旦受到污染，很难清理整治，而且治理成本极高。为此，本次评价</w:t>
            </w:r>
            <w:r>
              <w:rPr>
                <w:rFonts w:hint="eastAsia"/>
                <w:color w:val="auto"/>
                <w:sz w:val="24"/>
              </w:rPr>
              <w:t>按照源头控制、分区防控、跟踪监测、应急响应</w:t>
            </w:r>
            <w:r>
              <w:rPr>
                <w:color w:val="auto"/>
                <w:sz w:val="24"/>
              </w:rPr>
              <w:t>提出以下防治措施：</w:t>
            </w:r>
          </w:p>
          <w:p w14:paraId="7B6635E6">
            <w:pPr>
              <w:spacing w:line="360" w:lineRule="auto"/>
              <w:ind w:firstLine="480" w:firstLineChars="200"/>
              <w:rPr>
                <w:b w:val="0"/>
                <w:bCs/>
                <w:color w:val="auto"/>
                <w:sz w:val="24"/>
              </w:rPr>
            </w:pPr>
            <w:r>
              <w:rPr>
                <w:rFonts w:hint="eastAsia"/>
                <w:b w:val="0"/>
                <w:bCs/>
                <w:color w:val="auto"/>
                <w:sz w:val="24"/>
              </w:rPr>
              <w:t>1）</w:t>
            </w:r>
            <w:r>
              <w:rPr>
                <w:b w:val="0"/>
                <w:bCs/>
                <w:color w:val="auto"/>
                <w:sz w:val="24"/>
              </w:rPr>
              <w:t>源头控制</w:t>
            </w:r>
          </w:p>
          <w:p w14:paraId="636279BC">
            <w:pPr>
              <w:spacing w:line="360" w:lineRule="auto"/>
              <w:ind w:firstLine="480" w:firstLineChars="200"/>
              <w:rPr>
                <w:color w:val="auto"/>
                <w:sz w:val="24"/>
              </w:rPr>
            </w:pPr>
            <w:r>
              <w:rPr>
                <w:color w:val="auto"/>
                <w:sz w:val="24"/>
              </w:rPr>
              <w:t>本项目</w:t>
            </w:r>
            <w:r>
              <w:rPr>
                <w:rFonts w:hint="eastAsia"/>
                <w:color w:val="auto"/>
                <w:sz w:val="24"/>
                <w:lang w:val="en-US" w:eastAsia="zh-CN"/>
              </w:rPr>
              <w:t>采</w:t>
            </w:r>
            <w:r>
              <w:rPr>
                <w:color w:val="auto"/>
                <w:sz w:val="24"/>
              </w:rPr>
              <w:t>用双层</w:t>
            </w:r>
            <w:r>
              <w:rPr>
                <w:rFonts w:hint="eastAsia"/>
                <w:color w:val="auto"/>
                <w:sz w:val="24"/>
                <w:lang w:val="en-US" w:eastAsia="zh-CN"/>
              </w:rPr>
              <w:t>储</w:t>
            </w:r>
            <w:r>
              <w:rPr>
                <w:color w:val="auto"/>
                <w:sz w:val="24"/>
              </w:rPr>
              <w:t>油罐进行柴油和汽油的</w:t>
            </w:r>
            <w:r>
              <w:rPr>
                <w:rFonts w:hint="eastAsia"/>
                <w:color w:val="auto"/>
                <w:sz w:val="24"/>
                <w:lang w:val="en-US" w:eastAsia="zh-CN"/>
              </w:rPr>
              <w:t>贮</w:t>
            </w:r>
            <w:r>
              <w:rPr>
                <w:color w:val="auto"/>
                <w:sz w:val="24"/>
              </w:rPr>
              <w:t>存，</w:t>
            </w:r>
            <w:r>
              <w:rPr>
                <w:rFonts w:hint="eastAsia"/>
                <w:color w:val="auto"/>
                <w:sz w:val="24"/>
                <w:highlight w:val="none"/>
                <w:lang w:val="en-US" w:eastAsia="zh-CN"/>
              </w:rPr>
              <w:t>储</w:t>
            </w:r>
            <w:r>
              <w:rPr>
                <w:color w:val="auto"/>
                <w:sz w:val="24"/>
                <w:highlight w:val="none"/>
              </w:rPr>
              <w:t>油罐外壁为玻璃钢纤维增强材料，内壁为钢制结构。</w:t>
            </w:r>
            <w:r>
              <w:rPr>
                <w:color w:val="auto"/>
                <w:sz w:val="24"/>
              </w:rPr>
              <w:t>双层</w:t>
            </w:r>
            <w:r>
              <w:rPr>
                <w:rFonts w:hint="eastAsia"/>
                <w:color w:val="auto"/>
                <w:sz w:val="24"/>
                <w:lang w:val="en-US" w:eastAsia="zh-CN"/>
              </w:rPr>
              <w:t>储</w:t>
            </w:r>
            <w:r>
              <w:rPr>
                <w:color w:val="auto"/>
                <w:sz w:val="24"/>
              </w:rPr>
              <w:t>油罐不但具有防腐性能优良、安装简便的特点，还可以安装漏油监控系统，具有全天候实时监测、</w:t>
            </w:r>
            <w:r>
              <w:rPr>
                <w:rFonts w:hint="eastAsia"/>
                <w:color w:val="auto"/>
                <w:sz w:val="24"/>
                <w:lang w:eastAsia="zh-CN"/>
              </w:rPr>
              <w:t>泄漏</w:t>
            </w:r>
            <w:r>
              <w:rPr>
                <w:color w:val="auto"/>
                <w:sz w:val="24"/>
              </w:rPr>
              <w:t>自动报警的功能，可极大的杜绝储</w:t>
            </w:r>
            <w:r>
              <w:rPr>
                <w:rFonts w:hint="eastAsia"/>
                <w:color w:val="auto"/>
                <w:sz w:val="24"/>
                <w:lang w:val="en-US" w:eastAsia="zh-CN"/>
              </w:rPr>
              <w:t>油</w:t>
            </w:r>
            <w:r>
              <w:rPr>
                <w:color w:val="auto"/>
                <w:sz w:val="24"/>
              </w:rPr>
              <w:t>罐漏油而造成地下水污染的事故发生。</w:t>
            </w:r>
          </w:p>
          <w:p w14:paraId="65255323">
            <w:pPr>
              <w:spacing w:line="360" w:lineRule="auto"/>
              <w:ind w:firstLine="480" w:firstLineChars="200"/>
              <w:rPr>
                <w:rFonts w:hint="eastAsia"/>
                <w:b w:val="0"/>
                <w:bCs/>
                <w:color w:val="00B050"/>
                <w:sz w:val="24"/>
              </w:rPr>
            </w:pPr>
            <w:r>
              <w:rPr>
                <w:rFonts w:hint="eastAsia"/>
                <w:b w:val="0"/>
                <w:bCs/>
                <w:color w:val="00B050"/>
                <w:sz w:val="24"/>
              </w:rPr>
              <w:t>2）</w:t>
            </w:r>
            <w:r>
              <w:rPr>
                <w:b w:val="0"/>
                <w:bCs/>
                <w:color w:val="00B050"/>
                <w:sz w:val="24"/>
              </w:rPr>
              <w:t>分区</w:t>
            </w:r>
            <w:r>
              <w:rPr>
                <w:rFonts w:hint="eastAsia"/>
                <w:b w:val="0"/>
                <w:bCs/>
                <w:color w:val="00B050"/>
                <w:sz w:val="24"/>
              </w:rPr>
              <w:t>防控</w:t>
            </w:r>
          </w:p>
          <w:p w14:paraId="15889320">
            <w:pPr>
              <w:spacing w:line="360" w:lineRule="auto"/>
              <w:ind w:firstLine="480" w:firstLineChars="200"/>
              <w:rPr>
                <w:color w:val="00B050"/>
                <w:sz w:val="24"/>
              </w:rPr>
            </w:pPr>
            <w:r>
              <w:rPr>
                <w:rFonts w:hint="eastAsia"/>
                <w:color w:val="00B050"/>
                <w:sz w:val="24"/>
                <w:lang w:val="en-US" w:eastAsia="zh-CN"/>
              </w:rPr>
              <w:t>本项目</w:t>
            </w:r>
            <w:r>
              <w:rPr>
                <w:color w:val="00B050"/>
                <w:sz w:val="24"/>
              </w:rPr>
              <w:t>将全</w:t>
            </w:r>
            <w:r>
              <w:rPr>
                <w:rFonts w:hint="eastAsia"/>
                <w:color w:val="00B050"/>
                <w:sz w:val="24"/>
                <w:lang w:val="en-US" w:eastAsia="zh-CN"/>
              </w:rPr>
              <w:t>厂</w:t>
            </w:r>
            <w:r>
              <w:rPr>
                <w:color w:val="00B050"/>
                <w:sz w:val="24"/>
              </w:rPr>
              <w:t>按照物料或者污染物</w:t>
            </w:r>
            <w:r>
              <w:rPr>
                <w:rFonts w:hint="eastAsia"/>
                <w:color w:val="00B050"/>
                <w:sz w:val="24"/>
                <w:lang w:eastAsia="zh-CN"/>
              </w:rPr>
              <w:t>泄漏</w:t>
            </w:r>
            <w:r>
              <w:rPr>
                <w:color w:val="00B050"/>
                <w:sz w:val="24"/>
              </w:rPr>
              <w:t>的途径和生产单元所处的位置划分为重点防渗区、一般防渗区及简单防渗区三类地下水污染防治区域。</w:t>
            </w:r>
          </w:p>
          <w:p w14:paraId="3A8CEB35">
            <w:pPr>
              <w:spacing w:line="360" w:lineRule="auto"/>
              <w:ind w:firstLine="480" w:firstLineChars="200"/>
              <w:rPr>
                <w:color w:val="00B050"/>
                <w:sz w:val="24"/>
              </w:rPr>
            </w:pPr>
            <w:r>
              <w:rPr>
                <w:color w:val="00B050"/>
                <w:sz w:val="24"/>
              </w:rPr>
              <w:t>重点防渗区：危</w:t>
            </w:r>
            <w:r>
              <w:rPr>
                <w:rFonts w:hint="eastAsia"/>
                <w:color w:val="00B050"/>
                <w:sz w:val="24"/>
                <w:lang w:val="en-US" w:eastAsia="zh-CN"/>
              </w:rPr>
              <w:t>险</w:t>
            </w:r>
            <w:r>
              <w:rPr>
                <w:color w:val="00B050"/>
                <w:sz w:val="24"/>
              </w:rPr>
              <w:t>废</w:t>
            </w:r>
            <w:r>
              <w:rPr>
                <w:rFonts w:hint="eastAsia"/>
                <w:color w:val="00B050"/>
                <w:sz w:val="24"/>
                <w:lang w:val="en-US" w:eastAsia="zh-CN"/>
              </w:rPr>
              <w:t>物暂存箱</w:t>
            </w:r>
            <w:r>
              <w:rPr>
                <w:color w:val="00B050"/>
                <w:sz w:val="24"/>
              </w:rPr>
              <w:t>、</w:t>
            </w:r>
            <w:r>
              <w:rPr>
                <w:rFonts w:hint="eastAsia"/>
                <w:color w:val="00B050"/>
                <w:sz w:val="24"/>
                <w:lang w:val="en-US" w:eastAsia="zh-CN"/>
              </w:rPr>
              <w:t>储</w:t>
            </w:r>
            <w:r>
              <w:rPr>
                <w:color w:val="00B050"/>
                <w:sz w:val="24"/>
              </w:rPr>
              <w:t>罐区、卸油区、加油区、输油管</w:t>
            </w:r>
            <w:r>
              <w:rPr>
                <w:rFonts w:hint="eastAsia"/>
                <w:color w:val="00B050"/>
                <w:sz w:val="24"/>
                <w:lang w:val="en-US" w:eastAsia="zh-CN"/>
              </w:rPr>
              <w:t>线区</w:t>
            </w:r>
            <w:r>
              <w:rPr>
                <w:color w:val="00B050"/>
                <w:sz w:val="24"/>
              </w:rPr>
              <w:t>等；一般防渗区：</w:t>
            </w:r>
            <w:r>
              <w:rPr>
                <w:rFonts w:hint="eastAsia"/>
                <w:color w:val="00B050"/>
                <w:sz w:val="24"/>
              </w:rPr>
              <w:t>排水渠、化粪池、洗车区、</w:t>
            </w:r>
            <w:r>
              <w:rPr>
                <w:color w:val="00B050"/>
                <w:sz w:val="24"/>
              </w:rPr>
              <w:t>隔油池</w:t>
            </w:r>
            <w:r>
              <w:rPr>
                <w:rFonts w:hint="eastAsia"/>
                <w:color w:val="00B050"/>
                <w:sz w:val="24"/>
                <w:lang w:eastAsia="zh-CN"/>
              </w:rPr>
              <w:t>、</w:t>
            </w:r>
            <w:r>
              <w:rPr>
                <w:rFonts w:hint="eastAsia"/>
                <w:color w:val="00B050"/>
                <w:sz w:val="24"/>
                <w:lang w:val="en-US" w:eastAsia="zh-CN"/>
              </w:rPr>
              <w:t>一体化（MBR）洗车废水处理设施</w:t>
            </w:r>
            <w:r>
              <w:rPr>
                <w:color w:val="00B050"/>
                <w:sz w:val="24"/>
              </w:rPr>
              <w:t>等；简单防渗区：站房室内地面</w:t>
            </w:r>
            <w:r>
              <w:rPr>
                <w:rFonts w:hint="eastAsia"/>
                <w:color w:val="00B050"/>
                <w:sz w:val="24"/>
              </w:rPr>
              <w:t>、</w:t>
            </w:r>
            <w:r>
              <w:rPr>
                <w:color w:val="00B050"/>
                <w:sz w:val="24"/>
              </w:rPr>
              <w:t>站内道路。</w:t>
            </w:r>
          </w:p>
          <w:p w14:paraId="7741DF3C">
            <w:pPr>
              <w:spacing w:line="360" w:lineRule="auto"/>
              <w:ind w:firstLine="480" w:firstLineChars="200"/>
              <w:rPr>
                <w:color w:val="00B050"/>
                <w:sz w:val="24"/>
              </w:rPr>
            </w:pPr>
            <w:r>
              <w:rPr>
                <w:color w:val="00B050"/>
                <w:sz w:val="24"/>
              </w:rPr>
              <w:t>重点</w:t>
            </w:r>
            <w:r>
              <w:rPr>
                <w:rFonts w:hint="eastAsia"/>
                <w:color w:val="00B050"/>
                <w:sz w:val="24"/>
                <w:lang w:val="en-US" w:eastAsia="zh-CN"/>
              </w:rPr>
              <w:t>防渗</w:t>
            </w:r>
            <w:r>
              <w:rPr>
                <w:color w:val="00B050"/>
                <w:sz w:val="24"/>
              </w:rPr>
              <w:t>区防渗措施：危</w:t>
            </w:r>
            <w:r>
              <w:rPr>
                <w:rFonts w:hint="eastAsia"/>
                <w:color w:val="00B050"/>
                <w:sz w:val="24"/>
                <w:lang w:val="en-US" w:eastAsia="zh-CN"/>
              </w:rPr>
              <w:t>险</w:t>
            </w:r>
            <w:r>
              <w:rPr>
                <w:color w:val="00B050"/>
                <w:sz w:val="24"/>
              </w:rPr>
              <w:t>废</w:t>
            </w:r>
            <w:r>
              <w:rPr>
                <w:rFonts w:hint="eastAsia"/>
                <w:color w:val="00B050"/>
                <w:sz w:val="24"/>
                <w:lang w:val="en-US" w:eastAsia="zh-CN"/>
              </w:rPr>
              <w:t>物暂存箱</w:t>
            </w:r>
            <w:r>
              <w:rPr>
                <w:color w:val="00B050"/>
                <w:sz w:val="24"/>
              </w:rPr>
              <w:t>、</w:t>
            </w:r>
            <w:r>
              <w:rPr>
                <w:rFonts w:hint="eastAsia"/>
                <w:color w:val="00B050"/>
                <w:sz w:val="24"/>
                <w:lang w:val="en-US" w:eastAsia="zh-CN"/>
              </w:rPr>
              <w:t>储</w:t>
            </w:r>
            <w:r>
              <w:rPr>
                <w:color w:val="00B050"/>
                <w:sz w:val="24"/>
              </w:rPr>
              <w:t>罐区、卸油区、加油区、输油管</w:t>
            </w:r>
            <w:r>
              <w:rPr>
                <w:rFonts w:hint="eastAsia"/>
                <w:color w:val="00B050"/>
                <w:sz w:val="24"/>
                <w:lang w:val="en-US" w:eastAsia="zh-CN"/>
              </w:rPr>
              <w:t>线区</w:t>
            </w:r>
            <w:r>
              <w:rPr>
                <w:color w:val="00B050"/>
                <w:sz w:val="24"/>
              </w:rPr>
              <w:t>等采取底层土压实，并在其上铺设碎石层，再在上层铺设15~20cm的水泥进行硬化，并铺设环氧树脂防渗；地下</w:t>
            </w:r>
            <w:r>
              <w:rPr>
                <w:rFonts w:hint="eastAsia"/>
                <w:color w:val="00B050"/>
                <w:sz w:val="24"/>
                <w:lang w:val="en-US" w:eastAsia="zh-CN"/>
              </w:rPr>
              <w:t>储</w:t>
            </w:r>
            <w:r>
              <w:rPr>
                <w:color w:val="00B050"/>
                <w:sz w:val="24"/>
              </w:rPr>
              <w:t>罐区采取底层土压实，并在其上铺设碎石层，再在上层铺设15~20cm的水泥进行硬化，并在全罐区底部及内壁涂环氧树脂防渗；卸油、通气、油气回收等工艺管道均采用无缝钢管，其技术性能应符合《输送流体用无缝钢管》（GB/T8163-2008）的要求，管道组成件与无缝钢管材质相同，出油管道采用热塑性塑料双层管道，埋地工艺管线均采用钢筋混凝土管沟敷设，连接方式为焊接，管道外表面防腐设计执行《石油化工设备和管道涂料防腐蚀设计规范》（SH/T3022-2011），等级为特加强级。通过上述措施可使重点防渗区各单元防渗层渗透系数≤10</w:t>
            </w:r>
            <w:r>
              <w:rPr>
                <w:color w:val="00B050"/>
                <w:sz w:val="24"/>
                <w:vertAlign w:val="superscript"/>
              </w:rPr>
              <w:t>-10</w:t>
            </w:r>
            <w:r>
              <w:rPr>
                <w:color w:val="00B050"/>
                <w:sz w:val="24"/>
              </w:rPr>
              <w:t>cm/s。</w:t>
            </w:r>
          </w:p>
          <w:p w14:paraId="63909AC4">
            <w:pPr>
              <w:spacing w:line="360" w:lineRule="auto"/>
              <w:ind w:firstLine="480" w:firstLineChars="200"/>
              <w:rPr>
                <w:color w:val="00B050"/>
                <w:sz w:val="24"/>
              </w:rPr>
            </w:pPr>
            <w:r>
              <w:rPr>
                <w:color w:val="00B050"/>
                <w:sz w:val="24"/>
              </w:rPr>
              <w:t>一般防渗区防渗措施：</w:t>
            </w:r>
            <w:r>
              <w:rPr>
                <w:rFonts w:hint="eastAsia"/>
                <w:color w:val="00B050"/>
                <w:sz w:val="24"/>
              </w:rPr>
              <w:t>排水渠、化粪池、洗车区、</w:t>
            </w:r>
            <w:r>
              <w:rPr>
                <w:color w:val="00B050"/>
                <w:sz w:val="24"/>
              </w:rPr>
              <w:t>隔油池</w:t>
            </w:r>
            <w:r>
              <w:rPr>
                <w:rFonts w:hint="eastAsia"/>
                <w:color w:val="00B050"/>
                <w:sz w:val="24"/>
                <w:lang w:eastAsia="zh-CN"/>
              </w:rPr>
              <w:t>、</w:t>
            </w:r>
            <w:r>
              <w:rPr>
                <w:rFonts w:hint="eastAsia"/>
                <w:color w:val="00B050"/>
                <w:sz w:val="24"/>
                <w:lang w:val="en-US" w:eastAsia="zh-CN"/>
              </w:rPr>
              <w:t>一体化（MBR）洗车废水处理设施</w:t>
            </w:r>
            <w:r>
              <w:rPr>
                <w:color w:val="00B050"/>
                <w:sz w:val="24"/>
              </w:rPr>
              <w:t>等地面采取压实底层土，并在上铺设碎石层，最后在上层铺设10~15cm的水泥进行硬化。通过采取上述措施可使一般防渗区各单元防渗层渗透系数≤10</w:t>
            </w:r>
            <w:r>
              <w:rPr>
                <w:color w:val="00B050"/>
                <w:sz w:val="24"/>
                <w:vertAlign w:val="superscript"/>
              </w:rPr>
              <w:t>-7</w:t>
            </w:r>
            <w:r>
              <w:rPr>
                <w:color w:val="00B050"/>
                <w:sz w:val="24"/>
              </w:rPr>
              <w:t>cm/s。</w:t>
            </w:r>
          </w:p>
          <w:p w14:paraId="2A3242A4">
            <w:pPr>
              <w:spacing w:line="360" w:lineRule="auto"/>
              <w:ind w:firstLine="480" w:firstLineChars="200"/>
              <w:rPr>
                <w:color w:val="00B050"/>
                <w:sz w:val="24"/>
              </w:rPr>
            </w:pPr>
            <w:r>
              <w:rPr>
                <w:color w:val="00B050"/>
                <w:sz w:val="24"/>
              </w:rPr>
              <w:t>简单防渗区防渗措施：采用水泥进行地面硬化。</w:t>
            </w:r>
          </w:p>
          <w:p w14:paraId="4C99D478">
            <w:pPr>
              <w:spacing w:line="360" w:lineRule="auto"/>
              <w:ind w:firstLine="480" w:firstLineChars="200"/>
              <w:rPr>
                <w:rFonts w:hint="eastAsia"/>
                <w:b w:val="0"/>
                <w:bCs/>
                <w:color w:val="auto"/>
                <w:sz w:val="24"/>
              </w:rPr>
            </w:pPr>
            <w:r>
              <w:rPr>
                <w:rFonts w:hint="eastAsia"/>
                <w:b w:val="0"/>
                <w:bCs/>
                <w:color w:val="auto"/>
                <w:sz w:val="24"/>
              </w:rPr>
              <w:t>3）跟踪监测</w:t>
            </w:r>
          </w:p>
          <w:p w14:paraId="6A49C1EA">
            <w:pPr>
              <w:spacing w:line="360" w:lineRule="auto"/>
              <w:ind w:firstLine="480" w:firstLineChars="200"/>
              <w:rPr>
                <w:color w:val="auto"/>
                <w:sz w:val="24"/>
              </w:rPr>
            </w:pPr>
            <w:r>
              <w:rPr>
                <w:color w:val="auto"/>
                <w:sz w:val="24"/>
              </w:rPr>
              <w:t>参照《加油站地下水污染防治技术指南</w:t>
            </w:r>
            <w:r>
              <w:rPr>
                <w:rFonts w:hint="eastAsia"/>
                <w:color w:val="auto"/>
                <w:sz w:val="24"/>
                <w:lang w:eastAsia="zh-CN"/>
              </w:rPr>
              <w:t>（</w:t>
            </w:r>
            <w:r>
              <w:rPr>
                <w:rFonts w:hint="eastAsia"/>
                <w:color w:val="auto"/>
                <w:sz w:val="24"/>
                <w:lang w:val="en-US" w:eastAsia="zh-CN"/>
              </w:rPr>
              <w:t>试行</w:t>
            </w:r>
            <w:r>
              <w:rPr>
                <w:rFonts w:hint="eastAsia"/>
                <w:color w:val="auto"/>
                <w:sz w:val="24"/>
                <w:lang w:eastAsia="zh-CN"/>
              </w:rPr>
              <w:t>）</w:t>
            </w:r>
            <w:r>
              <w:rPr>
                <w:color w:val="auto"/>
                <w:sz w:val="24"/>
              </w:rPr>
              <w:t>》，建设单位应在储罐区附近布设一个地下水环境影响跟踪监测井，以作为日常地下水监控及风险应急状态的地下水监控井。</w:t>
            </w:r>
          </w:p>
          <w:p w14:paraId="2D75C279">
            <w:pPr>
              <w:spacing w:line="360" w:lineRule="auto"/>
              <w:ind w:firstLine="480" w:firstLineChars="200"/>
              <w:rPr>
                <w:b w:val="0"/>
                <w:bCs w:val="0"/>
                <w:color w:val="auto"/>
                <w:sz w:val="24"/>
              </w:rPr>
            </w:pPr>
            <w:r>
              <w:rPr>
                <w:rFonts w:hint="eastAsia"/>
                <w:b w:val="0"/>
                <w:bCs w:val="0"/>
                <w:color w:val="auto"/>
                <w:sz w:val="24"/>
              </w:rPr>
              <w:t>4）</w:t>
            </w:r>
            <w:r>
              <w:rPr>
                <w:b w:val="0"/>
                <w:bCs w:val="0"/>
                <w:color w:val="auto"/>
                <w:sz w:val="24"/>
              </w:rPr>
              <w:t>应急响应</w:t>
            </w:r>
          </w:p>
          <w:p w14:paraId="369D9EC9">
            <w:pPr>
              <w:spacing w:line="360" w:lineRule="auto"/>
              <w:ind w:firstLine="480" w:firstLineChars="200"/>
              <w:rPr>
                <w:color w:val="auto"/>
                <w:sz w:val="24"/>
              </w:rPr>
            </w:pPr>
            <w:r>
              <w:rPr>
                <w:color w:val="auto"/>
                <w:sz w:val="24"/>
              </w:rPr>
              <w:t>建设单位应按国家、地方及行业相关规范要求，制定地下水污染应急预案，并在发现地下水受到污染时立刻启动应急预案，采取应急措施阻止污染扩散，防止周边居民人体健康及生态环境受到影响。地下水污染应急预案应包括下列要点：</w:t>
            </w:r>
          </w:p>
          <w:p w14:paraId="6D62E335">
            <w:pPr>
              <w:spacing w:line="360" w:lineRule="auto"/>
              <w:ind w:firstLine="480" w:firstLineChars="200"/>
              <w:rPr>
                <w:bCs/>
                <w:color w:val="auto"/>
                <w:sz w:val="24"/>
              </w:rPr>
            </w:pPr>
            <w:r>
              <w:rPr>
                <w:bCs/>
                <w:color w:val="auto"/>
                <w:sz w:val="24"/>
              </w:rPr>
              <w:t>①如发现地下水污染事故，应立即向公司环保部门及行政管理部门报告，调查并确认污染源位置；</w:t>
            </w:r>
          </w:p>
          <w:p w14:paraId="1CD320E8">
            <w:pPr>
              <w:spacing w:line="360" w:lineRule="auto"/>
              <w:ind w:firstLine="480" w:firstLineChars="200"/>
              <w:rPr>
                <w:bCs/>
                <w:color w:val="auto"/>
                <w:sz w:val="24"/>
              </w:rPr>
            </w:pPr>
            <w:r>
              <w:rPr>
                <w:bCs/>
                <w:color w:val="auto"/>
                <w:sz w:val="24"/>
              </w:rPr>
              <w:t>②采取有效措施及时阻断确认的污染源，防止污染物继续渗漏到地下，导</w:t>
            </w:r>
            <w:r>
              <w:rPr>
                <w:rFonts w:hint="eastAsia"/>
                <w:bCs/>
                <w:color w:val="auto"/>
                <w:sz w:val="24"/>
                <w:lang w:eastAsia="zh-CN"/>
              </w:rPr>
              <w:t>致土</w:t>
            </w:r>
            <w:r>
              <w:rPr>
                <w:bCs/>
                <w:color w:val="auto"/>
                <w:sz w:val="24"/>
              </w:rPr>
              <w:t>壤和地下水污染范围扩大；</w:t>
            </w:r>
          </w:p>
          <w:p w14:paraId="172EF4CD">
            <w:pPr>
              <w:spacing w:line="360" w:lineRule="auto"/>
              <w:ind w:firstLine="480" w:firstLineChars="200"/>
              <w:rPr>
                <w:bCs/>
                <w:color w:val="auto"/>
                <w:sz w:val="24"/>
              </w:rPr>
            </w:pPr>
            <w:r>
              <w:rPr>
                <w:bCs/>
                <w:color w:val="auto"/>
                <w:sz w:val="24"/>
              </w:rPr>
              <w:t>③立即对重污染区域采取有效的修复措施，包括开挖并移走重污染土壤作危险废物处置，对重污染区的地下水抽出并</w:t>
            </w:r>
            <w:r>
              <w:rPr>
                <w:rFonts w:hint="eastAsia"/>
                <w:bCs/>
                <w:color w:val="auto"/>
                <w:sz w:val="24"/>
              </w:rPr>
              <w:t>妥善处置</w:t>
            </w:r>
            <w:r>
              <w:rPr>
                <w:bCs/>
                <w:color w:val="auto"/>
                <w:sz w:val="24"/>
              </w:rPr>
              <w:t>，防止污染物在地下继续扩散；</w:t>
            </w:r>
          </w:p>
          <w:p w14:paraId="333AD1F5">
            <w:pPr>
              <w:spacing w:line="360" w:lineRule="auto"/>
              <w:ind w:firstLine="480" w:firstLineChars="200"/>
              <w:rPr>
                <w:color w:val="auto"/>
                <w:sz w:val="24"/>
              </w:rPr>
            </w:pPr>
            <w:r>
              <w:rPr>
                <w:bCs/>
                <w:color w:val="auto"/>
                <w:sz w:val="24"/>
              </w:rPr>
              <w:fldChar w:fldCharType="begin"/>
            </w:r>
            <w:r>
              <w:rPr>
                <w:bCs/>
                <w:color w:val="auto"/>
                <w:sz w:val="24"/>
              </w:rPr>
              <w:instrText xml:space="preserve"> = 4 \* GB3 \* MERGEFORMAT </w:instrText>
            </w:r>
            <w:r>
              <w:rPr>
                <w:bCs/>
                <w:color w:val="auto"/>
                <w:sz w:val="24"/>
              </w:rPr>
              <w:fldChar w:fldCharType="separate"/>
            </w:r>
            <w:r>
              <w:rPr>
                <w:bCs/>
                <w:color w:val="auto"/>
                <w:sz w:val="24"/>
              </w:rPr>
              <w:t>④</w:t>
            </w:r>
            <w:r>
              <w:rPr>
                <w:bCs/>
                <w:color w:val="auto"/>
                <w:sz w:val="24"/>
              </w:rPr>
              <w:fldChar w:fldCharType="end"/>
            </w:r>
            <w:r>
              <w:rPr>
                <w:color w:val="auto"/>
                <w:sz w:val="24"/>
              </w:rPr>
              <w:t>对厂区及周边区域的地下水敏感点进行取样监测，确定水质是否受到影响。如果水质受到影响，应及时通知相关方并立即停用受影响的地下水。</w:t>
            </w:r>
          </w:p>
          <w:p w14:paraId="2CD01470">
            <w:pPr>
              <w:ind w:firstLine="480"/>
              <w:rPr>
                <w:color w:val="auto"/>
                <w:sz w:val="24"/>
              </w:rPr>
            </w:pPr>
            <w:r>
              <w:rPr>
                <w:color w:val="auto"/>
                <w:sz w:val="24"/>
              </w:rPr>
              <w:t>在认真采取以上措施的基础上，</w:t>
            </w:r>
            <w:r>
              <w:rPr>
                <w:rFonts w:hint="eastAsia"/>
                <w:color w:val="auto"/>
                <w:sz w:val="24"/>
                <w:lang w:val="en-US" w:eastAsia="zh-CN"/>
              </w:rPr>
              <w:t>项目</w:t>
            </w:r>
            <w:r>
              <w:rPr>
                <w:color w:val="auto"/>
                <w:sz w:val="24"/>
              </w:rPr>
              <w:t>一旦发生溢出与渗漏事故，油品将由于防渗层的保护作用，积聚在储</w:t>
            </w:r>
            <w:r>
              <w:rPr>
                <w:rFonts w:hint="eastAsia"/>
                <w:color w:val="auto"/>
                <w:sz w:val="24"/>
                <w:lang w:val="en-US" w:eastAsia="zh-CN"/>
              </w:rPr>
              <w:t>罐</w:t>
            </w:r>
            <w:r>
              <w:rPr>
                <w:color w:val="auto"/>
                <w:sz w:val="24"/>
              </w:rPr>
              <w:t>区，不会对地下水造成影响。</w:t>
            </w:r>
          </w:p>
          <w:p w14:paraId="736B5E2F">
            <w:pPr>
              <w:ind w:firstLine="480"/>
              <w:rPr>
                <w:rFonts w:hint="eastAsia"/>
                <w:b/>
                <w:lang w:val="en-US" w:eastAsia="zh-CN"/>
              </w:rPr>
            </w:pPr>
            <w:r>
              <w:rPr>
                <w:rFonts w:hint="eastAsia"/>
                <w:b/>
                <w:lang w:eastAsia="zh-CN"/>
              </w:rPr>
              <w:t>（</w:t>
            </w:r>
            <w:r>
              <w:rPr>
                <w:rFonts w:hint="eastAsia"/>
                <w:b/>
                <w:lang w:val="en-US" w:eastAsia="zh-CN"/>
              </w:rPr>
              <w:t>3</w:t>
            </w:r>
            <w:r>
              <w:rPr>
                <w:rFonts w:hint="eastAsia"/>
                <w:b/>
                <w:lang w:eastAsia="zh-CN"/>
              </w:rPr>
              <w:t>）</w:t>
            </w:r>
            <w:r>
              <w:rPr>
                <w:rFonts w:hint="eastAsia"/>
                <w:b/>
                <w:lang w:val="en-US" w:eastAsia="zh-CN"/>
              </w:rPr>
              <w:t>地下水环境监测要求</w:t>
            </w:r>
          </w:p>
          <w:p w14:paraId="457B2811">
            <w:pPr>
              <w:ind w:firstLine="48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根据《排污单位自行监测技术指南 储油库、加油站》（HJ1249-2022）</w:t>
            </w:r>
            <w:r>
              <w:rPr>
                <w:rFonts w:hint="eastAsia" w:cs="Times New Roman"/>
                <w:color w:val="auto"/>
                <w:sz w:val="24"/>
                <w:lang w:eastAsia="zh-CN"/>
              </w:rPr>
              <w:t>、《加油站地下水污染防治技术指南（试行）》</w:t>
            </w:r>
            <w:r>
              <w:rPr>
                <w:rFonts w:hint="eastAsia" w:cs="Times New Roman"/>
                <w:color w:val="auto"/>
                <w:sz w:val="24"/>
                <w:lang w:val="en-US" w:eastAsia="zh-CN"/>
              </w:rPr>
              <w:t>的要求</w:t>
            </w:r>
            <w:r>
              <w:rPr>
                <w:rFonts w:hint="eastAsia" w:ascii="Times New Roman" w:hAnsi="Times New Roman" w:eastAsia="宋体" w:cs="Times New Roman"/>
                <w:color w:val="auto"/>
                <w:sz w:val="24"/>
              </w:rPr>
              <w:t>，本项目地下水环境监测计划</w:t>
            </w:r>
            <w:r>
              <w:rPr>
                <w:rFonts w:hint="eastAsia" w:cs="Times New Roman"/>
                <w:color w:val="auto"/>
                <w:sz w:val="24"/>
                <w:lang w:val="en-US" w:eastAsia="zh-CN"/>
              </w:rPr>
              <w:t>详</w:t>
            </w:r>
            <w:r>
              <w:rPr>
                <w:rFonts w:hint="eastAsia" w:ascii="Times New Roman" w:hAnsi="Times New Roman" w:eastAsia="宋体" w:cs="Times New Roman"/>
                <w:color w:val="auto"/>
                <w:sz w:val="24"/>
              </w:rPr>
              <w:t>见表</w:t>
            </w:r>
            <w:r>
              <w:rPr>
                <w:rFonts w:hint="eastAsia" w:ascii="Times New Roman" w:hAnsi="Times New Roman" w:eastAsia="宋体" w:cs="Times New Roman"/>
                <w:color w:val="auto"/>
                <w:sz w:val="24"/>
                <w:lang w:val="en-US" w:eastAsia="zh-CN"/>
              </w:rPr>
              <w:t>4.5-1</w:t>
            </w:r>
            <w:r>
              <w:rPr>
                <w:rFonts w:hint="eastAsia" w:ascii="Times New Roman" w:hAnsi="Times New Roman" w:eastAsia="宋体" w:cs="Times New Roman"/>
                <w:color w:val="auto"/>
                <w:sz w:val="24"/>
              </w:rPr>
              <w:t>。</w:t>
            </w:r>
          </w:p>
          <w:p w14:paraId="2A709EDA">
            <w:pPr>
              <w:pStyle w:val="134"/>
              <w:keepNext w:val="0"/>
              <w:keepLines w:val="0"/>
              <w:pageBreakBefore w:val="0"/>
              <w:widowControl w:val="0"/>
              <w:kinsoku/>
              <w:wordWrap/>
              <w:overflowPunct/>
              <w:topLinePunct w:val="0"/>
              <w:autoSpaceDE/>
              <w:autoSpaceDN/>
              <w:bidi w:val="0"/>
              <w:adjustRightInd/>
              <w:snapToGrid/>
              <w:textAlignment w:val="auto"/>
              <w:rPr>
                <w:color w:val="auto"/>
                <w:lang w:val="en-US" w:eastAsia="zh-CN"/>
              </w:rPr>
            </w:pPr>
            <w:r>
              <w:rPr>
                <w:rFonts w:hint="eastAsia" w:ascii="宋体" w:hAnsi="宋体" w:eastAsia="宋体" w:cs="宋体"/>
                <w:color w:val="auto"/>
                <w:lang w:val="en-US" w:eastAsia="zh-CN"/>
              </w:rPr>
              <w:t>表</w:t>
            </w:r>
            <w:r>
              <w:rPr>
                <w:rFonts w:hint="eastAsia"/>
                <w:color w:val="auto"/>
                <w:lang w:val="en-US" w:eastAsia="zh-CN"/>
              </w:rPr>
              <w:t xml:space="preserve">4.5-1   </w:t>
            </w:r>
            <w:r>
              <w:rPr>
                <w:rFonts w:hint="eastAsia" w:ascii="宋体" w:hAnsi="宋体" w:eastAsia="宋体" w:cs="宋体"/>
                <w:color w:val="auto"/>
                <w:lang w:val="en-US" w:eastAsia="zh-CN"/>
              </w:rPr>
              <w:t>项目地下水环境监测计划</w:t>
            </w:r>
          </w:p>
          <w:tbl>
            <w:tblPr>
              <w:tblStyle w:val="35"/>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09"/>
              <w:gridCol w:w="1314"/>
              <w:gridCol w:w="2247"/>
              <w:gridCol w:w="1227"/>
              <w:gridCol w:w="1487"/>
              <w:gridCol w:w="2077"/>
            </w:tblGrid>
            <w:tr w14:paraId="28F6FC0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909" w:type="dxa"/>
                  <w:vAlign w:val="center"/>
                </w:tcPr>
                <w:p w14:paraId="44A5A2B2">
                  <w:pPr>
                    <w:pStyle w:val="135"/>
                    <w:keepNext w:val="0"/>
                    <w:keepLines w:val="0"/>
                    <w:pageBreakBefore w:val="0"/>
                    <w:widowControl/>
                    <w:kinsoku/>
                    <w:wordWrap/>
                    <w:overflowPunct/>
                    <w:topLinePunct w:val="0"/>
                    <w:autoSpaceDE/>
                    <w:autoSpaceDN/>
                    <w:bidi w:val="0"/>
                    <w:adjustRightInd/>
                    <w:snapToGrid w:val="0"/>
                    <w:textAlignment w:val="auto"/>
                    <w:rPr>
                      <w:b/>
                      <w:bCs/>
                      <w:color w:val="auto"/>
                      <w:lang w:val="en-US" w:eastAsia="zh-CN"/>
                    </w:rPr>
                  </w:pPr>
                  <w:r>
                    <w:rPr>
                      <w:b/>
                      <w:bCs/>
                      <w:color w:val="auto"/>
                      <w:lang w:val="en-US" w:eastAsia="zh-CN"/>
                    </w:rPr>
                    <w:t>阶段</w:t>
                  </w:r>
                </w:p>
              </w:tc>
              <w:tc>
                <w:tcPr>
                  <w:tcW w:w="1314" w:type="dxa"/>
                  <w:vAlign w:val="center"/>
                </w:tcPr>
                <w:p w14:paraId="2295FBAD">
                  <w:pPr>
                    <w:pStyle w:val="135"/>
                    <w:keepNext w:val="0"/>
                    <w:keepLines w:val="0"/>
                    <w:pageBreakBefore w:val="0"/>
                    <w:widowControl/>
                    <w:kinsoku/>
                    <w:wordWrap/>
                    <w:overflowPunct/>
                    <w:topLinePunct w:val="0"/>
                    <w:autoSpaceDE/>
                    <w:autoSpaceDN/>
                    <w:bidi w:val="0"/>
                    <w:adjustRightInd/>
                    <w:snapToGrid w:val="0"/>
                    <w:textAlignment w:val="auto"/>
                    <w:rPr>
                      <w:rFonts w:hint="default"/>
                      <w:b/>
                      <w:bCs/>
                      <w:color w:val="auto"/>
                      <w:lang w:val="en-US" w:eastAsia="zh-CN"/>
                    </w:rPr>
                  </w:pPr>
                  <w:r>
                    <w:rPr>
                      <w:b/>
                      <w:bCs/>
                      <w:color w:val="auto"/>
                      <w:lang w:val="en-US" w:eastAsia="zh-CN"/>
                    </w:rPr>
                    <w:t>监测点</w:t>
                  </w:r>
                  <w:r>
                    <w:rPr>
                      <w:rFonts w:hint="eastAsia"/>
                      <w:b/>
                      <w:bCs/>
                      <w:color w:val="auto"/>
                      <w:lang w:val="en-US" w:eastAsia="zh-CN"/>
                    </w:rPr>
                    <w:t>位</w:t>
                  </w:r>
                </w:p>
              </w:tc>
              <w:tc>
                <w:tcPr>
                  <w:tcW w:w="2247" w:type="dxa"/>
                  <w:vAlign w:val="center"/>
                </w:tcPr>
                <w:p w14:paraId="34C5B470">
                  <w:pPr>
                    <w:pStyle w:val="135"/>
                    <w:keepNext w:val="0"/>
                    <w:keepLines w:val="0"/>
                    <w:pageBreakBefore w:val="0"/>
                    <w:widowControl/>
                    <w:kinsoku/>
                    <w:wordWrap/>
                    <w:overflowPunct/>
                    <w:topLinePunct w:val="0"/>
                    <w:autoSpaceDE/>
                    <w:autoSpaceDN/>
                    <w:bidi w:val="0"/>
                    <w:adjustRightInd/>
                    <w:snapToGrid w:val="0"/>
                    <w:textAlignment w:val="auto"/>
                    <w:rPr>
                      <w:rFonts w:hint="default"/>
                      <w:b/>
                      <w:bCs/>
                      <w:color w:val="auto"/>
                      <w:lang w:val="en-US" w:eastAsia="zh-CN"/>
                    </w:rPr>
                  </w:pPr>
                  <w:r>
                    <w:rPr>
                      <w:b/>
                      <w:bCs/>
                      <w:color w:val="auto"/>
                      <w:lang w:val="en-US" w:eastAsia="zh-CN"/>
                    </w:rPr>
                    <w:t>监测</w:t>
                  </w:r>
                  <w:r>
                    <w:rPr>
                      <w:rFonts w:hint="eastAsia"/>
                      <w:b/>
                      <w:bCs/>
                      <w:color w:val="auto"/>
                      <w:lang w:val="en-US" w:eastAsia="zh-CN"/>
                    </w:rPr>
                    <w:t>因子</w:t>
                  </w:r>
                </w:p>
              </w:tc>
              <w:tc>
                <w:tcPr>
                  <w:tcW w:w="1227" w:type="dxa"/>
                  <w:vAlign w:val="center"/>
                </w:tcPr>
                <w:p w14:paraId="0455B4C2">
                  <w:pPr>
                    <w:pStyle w:val="135"/>
                    <w:keepNext w:val="0"/>
                    <w:keepLines w:val="0"/>
                    <w:pageBreakBefore w:val="0"/>
                    <w:widowControl/>
                    <w:kinsoku/>
                    <w:wordWrap/>
                    <w:overflowPunct/>
                    <w:topLinePunct w:val="0"/>
                    <w:autoSpaceDE/>
                    <w:autoSpaceDN/>
                    <w:bidi w:val="0"/>
                    <w:adjustRightInd/>
                    <w:snapToGrid w:val="0"/>
                    <w:textAlignment w:val="auto"/>
                    <w:rPr>
                      <w:rFonts w:hint="default"/>
                      <w:b/>
                      <w:bCs/>
                      <w:color w:val="auto"/>
                      <w:lang w:val="en-US" w:eastAsia="zh-CN"/>
                    </w:rPr>
                  </w:pPr>
                  <w:r>
                    <w:rPr>
                      <w:b/>
                      <w:bCs/>
                      <w:color w:val="auto"/>
                      <w:lang w:val="en-US" w:eastAsia="zh-CN"/>
                    </w:rPr>
                    <w:t>监测频</w:t>
                  </w:r>
                  <w:r>
                    <w:rPr>
                      <w:rFonts w:hint="eastAsia"/>
                      <w:b/>
                      <w:bCs/>
                      <w:color w:val="auto"/>
                      <w:lang w:val="en-US" w:eastAsia="zh-CN"/>
                    </w:rPr>
                    <w:t>次</w:t>
                  </w:r>
                </w:p>
              </w:tc>
              <w:tc>
                <w:tcPr>
                  <w:tcW w:w="1487" w:type="dxa"/>
                  <w:vAlign w:val="center"/>
                </w:tcPr>
                <w:p w14:paraId="78AB7336">
                  <w:pPr>
                    <w:pStyle w:val="135"/>
                    <w:keepNext w:val="0"/>
                    <w:keepLines w:val="0"/>
                    <w:pageBreakBefore w:val="0"/>
                    <w:widowControl/>
                    <w:kinsoku/>
                    <w:wordWrap/>
                    <w:overflowPunct/>
                    <w:topLinePunct w:val="0"/>
                    <w:autoSpaceDE/>
                    <w:autoSpaceDN/>
                    <w:bidi w:val="0"/>
                    <w:adjustRightInd/>
                    <w:snapToGrid w:val="0"/>
                    <w:textAlignment w:val="auto"/>
                    <w:rPr>
                      <w:b/>
                      <w:bCs/>
                      <w:color w:val="auto"/>
                      <w:lang w:val="en-US" w:eastAsia="zh-CN"/>
                    </w:rPr>
                  </w:pPr>
                  <w:r>
                    <w:rPr>
                      <w:b/>
                      <w:bCs/>
                      <w:color w:val="auto"/>
                      <w:lang w:val="en-US" w:eastAsia="zh-CN"/>
                    </w:rPr>
                    <w:t>实施机构</w:t>
                  </w:r>
                </w:p>
              </w:tc>
              <w:tc>
                <w:tcPr>
                  <w:tcW w:w="2077" w:type="dxa"/>
                  <w:tcBorders>
                    <w:left w:val="single" w:color="auto" w:sz="4" w:space="0"/>
                  </w:tcBorders>
                  <w:vAlign w:val="center"/>
                </w:tcPr>
                <w:p w14:paraId="292C5780">
                  <w:pPr>
                    <w:pStyle w:val="135"/>
                    <w:keepNext w:val="0"/>
                    <w:keepLines w:val="0"/>
                    <w:pageBreakBefore w:val="0"/>
                    <w:widowControl/>
                    <w:kinsoku/>
                    <w:wordWrap/>
                    <w:overflowPunct/>
                    <w:topLinePunct w:val="0"/>
                    <w:autoSpaceDE/>
                    <w:autoSpaceDN/>
                    <w:bidi w:val="0"/>
                    <w:adjustRightInd/>
                    <w:snapToGrid w:val="0"/>
                    <w:textAlignment w:val="auto"/>
                    <w:rPr>
                      <w:b/>
                      <w:bCs/>
                      <w:color w:val="auto"/>
                      <w:lang w:val="en-US" w:eastAsia="zh-CN"/>
                    </w:rPr>
                  </w:pPr>
                  <w:r>
                    <w:rPr>
                      <w:rFonts w:hint="eastAsia"/>
                      <w:b/>
                      <w:bCs/>
                      <w:color w:val="auto"/>
                      <w:lang w:val="en-US" w:eastAsia="zh-CN"/>
                    </w:rPr>
                    <w:t>执行标准</w:t>
                  </w:r>
                </w:p>
              </w:tc>
            </w:tr>
            <w:tr w14:paraId="3FBC90E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909" w:type="dxa"/>
                  <w:vMerge w:val="restart"/>
                  <w:vAlign w:val="center"/>
                </w:tcPr>
                <w:p w14:paraId="7B2BDE19">
                  <w:pPr>
                    <w:pStyle w:val="135"/>
                    <w:keepNext w:val="0"/>
                    <w:keepLines w:val="0"/>
                    <w:pageBreakBefore w:val="0"/>
                    <w:widowControl/>
                    <w:kinsoku/>
                    <w:wordWrap/>
                    <w:overflowPunct/>
                    <w:topLinePunct w:val="0"/>
                    <w:autoSpaceDE/>
                    <w:autoSpaceDN/>
                    <w:bidi w:val="0"/>
                    <w:adjustRightInd/>
                    <w:snapToGrid w:val="0"/>
                    <w:textAlignment w:val="auto"/>
                    <w:rPr>
                      <w:color w:val="auto"/>
                      <w:lang w:val="en-US" w:eastAsia="zh-CN"/>
                    </w:rPr>
                  </w:pPr>
                  <w:r>
                    <w:rPr>
                      <w:rFonts w:hint="eastAsia"/>
                      <w:color w:val="auto"/>
                      <w:lang w:val="en-US" w:eastAsia="zh-CN"/>
                    </w:rPr>
                    <w:t>运营期</w:t>
                  </w:r>
                </w:p>
              </w:tc>
              <w:tc>
                <w:tcPr>
                  <w:tcW w:w="1314" w:type="dxa"/>
                  <w:vMerge w:val="restart"/>
                  <w:vAlign w:val="center"/>
                </w:tcPr>
                <w:p w14:paraId="4E9BB0CD">
                  <w:pPr>
                    <w:pStyle w:val="135"/>
                    <w:keepNext w:val="0"/>
                    <w:keepLines w:val="0"/>
                    <w:pageBreakBefore w:val="0"/>
                    <w:widowControl/>
                    <w:kinsoku/>
                    <w:wordWrap/>
                    <w:overflowPunct/>
                    <w:topLinePunct w:val="0"/>
                    <w:autoSpaceDE/>
                    <w:autoSpaceDN/>
                    <w:bidi w:val="0"/>
                    <w:adjustRightInd/>
                    <w:snapToGrid w:val="0"/>
                    <w:textAlignment w:val="auto"/>
                    <w:rPr>
                      <w:color w:val="auto"/>
                      <w:lang w:val="en-US" w:eastAsia="zh-CN"/>
                    </w:rPr>
                  </w:pPr>
                  <w:r>
                    <w:rPr>
                      <w:color w:val="auto"/>
                      <w:lang w:val="en-US" w:eastAsia="zh-CN"/>
                    </w:rPr>
                    <w:t>厂界内潜水含水层</w:t>
                  </w:r>
                </w:p>
              </w:tc>
              <w:tc>
                <w:tcPr>
                  <w:tcW w:w="2247" w:type="dxa"/>
                  <w:vAlign w:val="center"/>
                </w:tcPr>
                <w:p w14:paraId="46BD1960">
                  <w:pPr>
                    <w:pStyle w:val="135"/>
                    <w:keepNext w:val="0"/>
                    <w:keepLines w:val="0"/>
                    <w:pageBreakBefore w:val="0"/>
                    <w:widowControl/>
                    <w:kinsoku/>
                    <w:wordWrap/>
                    <w:overflowPunct/>
                    <w:topLinePunct w:val="0"/>
                    <w:autoSpaceDE/>
                    <w:autoSpaceDN/>
                    <w:bidi w:val="0"/>
                    <w:adjustRightInd/>
                    <w:snapToGrid w:val="0"/>
                    <w:textAlignment w:val="auto"/>
                    <w:rPr>
                      <w:color w:val="auto"/>
                      <w:lang w:val="en-US" w:eastAsia="zh-CN"/>
                    </w:rPr>
                  </w:pPr>
                  <w:r>
                    <w:rPr>
                      <w:color w:val="auto"/>
                      <w:lang w:val="en-US" w:eastAsia="zh-CN"/>
                    </w:rPr>
                    <w:t>石油类</w:t>
                  </w:r>
                </w:p>
              </w:tc>
              <w:tc>
                <w:tcPr>
                  <w:tcW w:w="1227" w:type="dxa"/>
                  <w:vAlign w:val="center"/>
                </w:tcPr>
                <w:p w14:paraId="1B7D29C4">
                  <w:pPr>
                    <w:pStyle w:val="135"/>
                    <w:keepNext w:val="0"/>
                    <w:keepLines w:val="0"/>
                    <w:pageBreakBefore w:val="0"/>
                    <w:widowControl/>
                    <w:kinsoku/>
                    <w:wordWrap/>
                    <w:overflowPunct/>
                    <w:topLinePunct w:val="0"/>
                    <w:autoSpaceDE/>
                    <w:autoSpaceDN/>
                    <w:bidi w:val="0"/>
                    <w:adjustRightInd/>
                    <w:snapToGrid w:val="0"/>
                    <w:textAlignment w:val="auto"/>
                    <w:rPr>
                      <w:color w:val="auto"/>
                      <w:lang w:val="en-US" w:eastAsia="zh-CN"/>
                    </w:rPr>
                  </w:pPr>
                  <w:r>
                    <w:rPr>
                      <w:color w:val="auto"/>
                      <w:lang w:val="en-US" w:eastAsia="zh-CN"/>
                    </w:rPr>
                    <w:t>1次/</w:t>
                  </w:r>
                  <w:r>
                    <w:rPr>
                      <w:rFonts w:hint="eastAsia"/>
                      <w:color w:val="auto"/>
                      <w:lang w:val="en-US" w:eastAsia="zh-CN"/>
                    </w:rPr>
                    <w:t>半年</w:t>
                  </w:r>
                </w:p>
              </w:tc>
              <w:tc>
                <w:tcPr>
                  <w:tcW w:w="1487" w:type="dxa"/>
                  <w:vMerge w:val="restart"/>
                  <w:vAlign w:val="center"/>
                </w:tcPr>
                <w:p w14:paraId="6242970E">
                  <w:pPr>
                    <w:pStyle w:val="135"/>
                    <w:keepNext w:val="0"/>
                    <w:keepLines w:val="0"/>
                    <w:pageBreakBefore w:val="0"/>
                    <w:widowControl/>
                    <w:kinsoku/>
                    <w:wordWrap/>
                    <w:overflowPunct/>
                    <w:topLinePunct w:val="0"/>
                    <w:autoSpaceDE/>
                    <w:autoSpaceDN/>
                    <w:bidi w:val="0"/>
                    <w:adjustRightInd/>
                    <w:snapToGrid w:val="0"/>
                    <w:textAlignment w:val="auto"/>
                    <w:rPr>
                      <w:color w:val="auto"/>
                      <w:lang w:val="en-US" w:eastAsia="zh-CN"/>
                    </w:rPr>
                  </w:pPr>
                  <w:r>
                    <w:rPr>
                      <w:color w:val="auto"/>
                      <w:lang w:val="en-US" w:eastAsia="zh-CN"/>
                    </w:rPr>
                    <w:t>有资质</w:t>
                  </w:r>
                  <w:r>
                    <w:rPr>
                      <w:rFonts w:hint="eastAsia"/>
                      <w:color w:val="auto"/>
                      <w:lang w:val="en-US" w:eastAsia="zh-CN"/>
                    </w:rPr>
                    <w:t>的监测</w:t>
                  </w:r>
                  <w:r>
                    <w:rPr>
                      <w:color w:val="auto"/>
                      <w:lang w:val="en-US" w:eastAsia="zh-CN"/>
                    </w:rPr>
                    <w:t>单位</w:t>
                  </w:r>
                </w:p>
              </w:tc>
              <w:tc>
                <w:tcPr>
                  <w:tcW w:w="2077" w:type="dxa"/>
                  <w:vMerge w:val="restart"/>
                  <w:tcBorders>
                    <w:left w:val="single" w:color="auto" w:sz="4" w:space="0"/>
                  </w:tcBorders>
                  <w:vAlign w:val="center"/>
                </w:tcPr>
                <w:p w14:paraId="461624BB">
                  <w:pPr>
                    <w:pStyle w:val="135"/>
                    <w:keepNext w:val="0"/>
                    <w:keepLines w:val="0"/>
                    <w:pageBreakBefore w:val="0"/>
                    <w:widowControl/>
                    <w:kinsoku/>
                    <w:wordWrap/>
                    <w:overflowPunct/>
                    <w:topLinePunct w:val="0"/>
                    <w:autoSpaceDE/>
                    <w:autoSpaceDN/>
                    <w:bidi w:val="0"/>
                    <w:adjustRightInd/>
                    <w:snapToGrid w:val="0"/>
                    <w:textAlignment w:val="auto"/>
                    <w:rPr>
                      <w:color w:val="auto"/>
                      <w:lang w:val="en-US" w:eastAsia="zh-CN"/>
                    </w:rPr>
                  </w:pPr>
                  <w:r>
                    <w:rPr>
                      <w:rFonts w:hint="eastAsia"/>
                      <w:color w:val="auto"/>
                      <w:lang w:val="en-US" w:eastAsia="zh-CN"/>
                    </w:rPr>
                    <w:t>《地下水质量标准》（GB/T14848-2017）</w:t>
                  </w:r>
                </w:p>
              </w:tc>
            </w:tr>
            <w:tr w14:paraId="69174BD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909" w:type="dxa"/>
                  <w:vMerge w:val="continue"/>
                  <w:vAlign w:val="center"/>
                </w:tcPr>
                <w:p w14:paraId="0E31828E">
                  <w:pPr>
                    <w:pStyle w:val="135"/>
                    <w:keepNext w:val="0"/>
                    <w:keepLines w:val="0"/>
                    <w:pageBreakBefore w:val="0"/>
                    <w:widowControl/>
                    <w:kinsoku/>
                    <w:wordWrap/>
                    <w:overflowPunct/>
                    <w:topLinePunct w:val="0"/>
                    <w:autoSpaceDE/>
                    <w:autoSpaceDN/>
                    <w:bidi w:val="0"/>
                    <w:adjustRightInd/>
                    <w:snapToGrid w:val="0"/>
                    <w:textAlignment w:val="auto"/>
                  </w:pPr>
                </w:p>
              </w:tc>
              <w:tc>
                <w:tcPr>
                  <w:tcW w:w="1314" w:type="dxa"/>
                  <w:vMerge w:val="continue"/>
                  <w:vAlign w:val="center"/>
                </w:tcPr>
                <w:p w14:paraId="42EFAE3C">
                  <w:pPr>
                    <w:pStyle w:val="135"/>
                    <w:keepNext w:val="0"/>
                    <w:keepLines w:val="0"/>
                    <w:pageBreakBefore w:val="0"/>
                    <w:widowControl/>
                    <w:kinsoku/>
                    <w:wordWrap/>
                    <w:overflowPunct/>
                    <w:topLinePunct w:val="0"/>
                    <w:autoSpaceDE/>
                    <w:autoSpaceDN/>
                    <w:bidi w:val="0"/>
                    <w:adjustRightInd/>
                    <w:snapToGrid w:val="0"/>
                    <w:textAlignment w:val="auto"/>
                  </w:pPr>
                </w:p>
              </w:tc>
              <w:tc>
                <w:tcPr>
                  <w:tcW w:w="2247" w:type="dxa"/>
                  <w:vAlign w:val="center"/>
                </w:tcPr>
                <w:p w14:paraId="66F0BE6E">
                  <w:pPr>
                    <w:pStyle w:val="135"/>
                    <w:keepNext w:val="0"/>
                    <w:keepLines w:val="0"/>
                    <w:pageBreakBefore w:val="0"/>
                    <w:widowControl/>
                    <w:kinsoku/>
                    <w:wordWrap/>
                    <w:overflowPunct/>
                    <w:topLinePunct w:val="0"/>
                    <w:autoSpaceDE/>
                    <w:autoSpaceDN/>
                    <w:bidi w:val="0"/>
                    <w:adjustRightInd/>
                    <w:snapToGrid w:val="0"/>
                    <w:textAlignment w:val="auto"/>
                    <w:rPr>
                      <w:color w:val="auto"/>
                      <w:lang w:val="en-US" w:eastAsia="zh-CN"/>
                    </w:rPr>
                  </w:pPr>
                  <w:r>
                    <w:rPr>
                      <w:rFonts w:hint="eastAsia"/>
                      <w:color w:val="auto"/>
                      <w:lang w:val="en-US" w:eastAsia="zh-CN"/>
                    </w:rPr>
                    <w:t>石油烃（C</w:t>
                  </w:r>
                  <w:r>
                    <w:rPr>
                      <w:rFonts w:hint="eastAsia"/>
                      <w:color w:val="auto"/>
                      <w:vertAlign w:val="subscript"/>
                      <w:lang w:val="en-US" w:eastAsia="zh-CN"/>
                    </w:rPr>
                    <w:t>6</w:t>
                  </w:r>
                  <w:r>
                    <w:rPr>
                      <w:rFonts w:hint="eastAsia"/>
                      <w:color w:val="auto"/>
                      <w:lang w:val="en-US" w:eastAsia="zh-CN"/>
                    </w:rPr>
                    <w:t>-C</w:t>
                  </w:r>
                  <w:r>
                    <w:rPr>
                      <w:rFonts w:hint="eastAsia"/>
                      <w:color w:val="auto"/>
                      <w:vertAlign w:val="subscript"/>
                      <w:lang w:val="en-US" w:eastAsia="zh-CN"/>
                    </w:rPr>
                    <w:t>9</w:t>
                  </w:r>
                  <w:r>
                    <w:rPr>
                      <w:rFonts w:hint="eastAsia"/>
                      <w:color w:val="auto"/>
                      <w:lang w:val="en-US" w:eastAsia="zh-CN"/>
                    </w:rPr>
                    <w:t>）</w:t>
                  </w:r>
                </w:p>
              </w:tc>
              <w:tc>
                <w:tcPr>
                  <w:tcW w:w="1227" w:type="dxa"/>
                  <w:vAlign w:val="center"/>
                </w:tcPr>
                <w:p w14:paraId="7D4F2A0B">
                  <w:pPr>
                    <w:pStyle w:val="135"/>
                    <w:keepNext w:val="0"/>
                    <w:keepLines w:val="0"/>
                    <w:pageBreakBefore w:val="0"/>
                    <w:widowControl/>
                    <w:kinsoku/>
                    <w:wordWrap/>
                    <w:overflowPunct/>
                    <w:topLinePunct w:val="0"/>
                    <w:autoSpaceDE/>
                    <w:autoSpaceDN/>
                    <w:bidi w:val="0"/>
                    <w:adjustRightInd/>
                    <w:snapToGrid w:val="0"/>
                    <w:textAlignment w:val="auto"/>
                    <w:rPr>
                      <w:color w:val="auto"/>
                      <w:lang w:val="en-US" w:eastAsia="zh-CN"/>
                    </w:rPr>
                  </w:pPr>
                  <w:r>
                    <w:rPr>
                      <w:color w:val="auto"/>
                      <w:lang w:val="en-US" w:eastAsia="zh-CN"/>
                    </w:rPr>
                    <w:t>1次/</w:t>
                  </w:r>
                  <w:r>
                    <w:rPr>
                      <w:rFonts w:hint="eastAsia"/>
                      <w:color w:val="auto"/>
                      <w:lang w:val="en-US" w:eastAsia="zh-CN"/>
                    </w:rPr>
                    <w:t>半年</w:t>
                  </w:r>
                </w:p>
              </w:tc>
              <w:tc>
                <w:tcPr>
                  <w:tcW w:w="1487" w:type="dxa"/>
                  <w:vMerge w:val="continue"/>
                  <w:vAlign w:val="center"/>
                </w:tcPr>
                <w:p w14:paraId="014E327B">
                  <w:pPr>
                    <w:pStyle w:val="135"/>
                    <w:keepNext w:val="0"/>
                    <w:keepLines w:val="0"/>
                    <w:pageBreakBefore w:val="0"/>
                    <w:widowControl/>
                    <w:kinsoku/>
                    <w:wordWrap/>
                    <w:overflowPunct/>
                    <w:topLinePunct w:val="0"/>
                    <w:autoSpaceDE/>
                    <w:autoSpaceDN/>
                    <w:bidi w:val="0"/>
                    <w:adjustRightInd/>
                    <w:snapToGrid w:val="0"/>
                    <w:textAlignment w:val="auto"/>
                    <w:rPr>
                      <w:color w:val="auto"/>
                      <w:lang w:val="en-US" w:eastAsia="zh-CN"/>
                    </w:rPr>
                  </w:pPr>
                </w:p>
              </w:tc>
              <w:tc>
                <w:tcPr>
                  <w:tcW w:w="2077" w:type="dxa"/>
                  <w:vMerge w:val="continue"/>
                  <w:tcBorders>
                    <w:left w:val="single" w:color="auto" w:sz="4" w:space="0"/>
                  </w:tcBorders>
                  <w:vAlign w:val="center"/>
                </w:tcPr>
                <w:p w14:paraId="459138E9">
                  <w:pPr>
                    <w:pStyle w:val="135"/>
                    <w:keepNext w:val="0"/>
                    <w:keepLines w:val="0"/>
                    <w:pageBreakBefore w:val="0"/>
                    <w:widowControl/>
                    <w:kinsoku/>
                    <w:wordWrap/>
                    <w:overflowPunct/>
                    <w:topLinePunct w:val="0"/>
                    <w:autoSpaceDE/>
                    <w:autoSpaceDN/>
                    <w:bidi w:val="0"/>
                    <w:adjustRightInd/>
                    <w:snapToGrid w:val="0"/>
                    <w:textAlignment w:val="auto"/>
                    <w:rPr>
                      <w:color w:val="auto"/>
                      <w:lang w:val="en-US" w:eastAsia="zh-CN"/>
                    </w:rPr>
                  </w:pPr>
                </w:p>
              </w:tc>
            </w:tr>
            <w:tr w14:paraId="38A16EA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909" w:type="dxa"/>
                  <w:vMerge w:val="continue"/>
                  <w:vAlign w:val="center"/>
                </w:tcPr>
                <w:p w14:paraId="444BD5C4">
                  <w:pPr>
                    <w:pStyle w:val="135"/>
                    <w:keepNext w:val="0"/>
                    <w:keepLines w:val="0"/>
                    <w:pageBreakBefore w:val="0"/>
                    <w:widowControl/>
                    <w:kinsoku/>
                    <w:wordWrap/>
                    <w:overflowPunct/>
                    <w:topLinePunct w:val="0"/>
                    <w:autoSpaceDE/>
                    <w:autoSpaceDN/>
                    <w:bidi w:val="0"/>
                    <w:adjustRightInd/>
                    <w:snapToGrid w:val="0"/>
                    <w:textAlignment w:val="auto"/>
                    <w:rPr>
                      <w:color w:val="auto"/>
                      <w:lang w:val="en-US" w:eastAsia="zh-CN"/>
                    </w:rPr>
                  </w:pPr>
                </w:p>
              </w:tc>
              <w:tc>
                <w:tcPr>
                  <w:tcW w:w="1314" w:type="dxa"/>
                  <w:vMerge w:val="continue"/>
                  <w:vAlign w:val="center"/>
                </w:tcPr>
                <w:p w14:paraId="1DFECF7E">
                  <w:pPr>
                    <w:pStyle w:val="135"/>
                    <w:keepNext w:val="0"/>
                    <w:keepLines w:val="0"/>
                    <w:pageBreakBefore w:val="0"/>
                    <w:widowControl/>
                    <w:kinsoku/>
                    <w:wordWrap/>
                    <w:overflowPunct/>
                    <w:topLinePunct w:val="0"/>
                    <w:autoSpaceDE/>
                    <w:autoSpaceDN/>
                    <w:bidi w:val="0"/>
                    <w:adjustRightInd/>
                    <w:snapToGrid w:val="0"/>
                    <w:textAlignment w:val="auto"/>
                    <w:rPr>
                      <w:color w:val="auto"/>
                      <w:lang w:val="en-US" w:eastAsia="zh-CN"/>
                    </w:rPr>
                  </w:pPr>
                </w:p>
              </w:tc>
              <w:tc>
                <w:tcPr>
                  <w:tcW w:w="2247" w:type="dxa"/>
                  <w:vAlign w:val="center"/>
                </w:tcPr>
                <w:p w14:paraId="15CA6610">
                  <w:pPr>
                    <w:pStyle w:val="135"/>
                    <w:keepNext w:val="0"/>
                    <w:keepLines w:val="0"/>
                    <w:pageBreakBefore w:val="0"/>
                    <w:widowControl/>
                    <w:kinsoku/>
                    <w:wordWrap/>
                    <w:overflowPunct/>
                    <w:topLinePunct w:val="0"/>
                    <w:autoSpaceDE/>
                    <w:autoSpaceDN/>
                    <w:bidi w:val="0"/>
                    <w:adjustRightInd/>
                    <w:snapToGrid w:val="0"/>
                    <w:textAlignment w:val="auto"/>
                    <w:rPr>
                      <w:color w:val="auto"/>
                      <w:lang w:val="en-US" w:eastAsia="zh-CN"/>
                    </w:rPr>
                  </w:pPr>
                  <w:r>
                    <w:rPr>
                      <w:rFonts w:hint="eastAsia"/>
                      <w:color w:val="auto"/>
                      <w:lang w:val="en-US" w:eastAsia="zh-CN"/>
                    </w:rPr>
                    <w:t>石油烃（C</w:t>
                  </w:r>
                  <w:r>
                    <w:rPr>
                      <w:rFonts w:hint="eastAsia"/>
                      <w:color w:val="auto"/>
                      <w:vertAlign w:val="subscript"/>
                      <w:lang w:val="en-US" w:eastAsia="zh-CN"/>
                    </w:rPr>
                    <w:t>10</w:t>
                  </w:r>
                  <w:r>
                    <w:rPr>
                      <w:rFonts w:hint="eastAsia"/>
                      <w:color w:val="auto"/>
                      <w:lang w:val="en-US" w:eastAsia="zh-CN"/>
                    </w:rPr>
                    <w:t>-C</w:t>
                  </w:r>
                  <w:r>
                    <w:rPr>
                      <w:rFonts w:hint="eastAsia"/>
                      <w:color w:val="auto"/>
                      <w:vertAlign w:val="subscript"/>
                      <w:lang w:val="en-US" w:eastAsia="zh-CN"/>
                    </w:rPr>
                    <w:t>40</w:t>
                  </w:r>
                  <w:r>
                    <w:rPr>
                      <w:rFonts w:hint="eastAsia"/>
                      <w:color w:val="auto"/>
                      <w:lang w:val="en-US" w:eastAsia="zh-CN"/>
                    </w:rPr>
                    <w:t>）</w:t>
                  </w:r>
                </w:p>
              </w:tc>
              <w:tc>
                <w:tcPr>
                  <w:tcW w:w="1227" w:type="dxa"/>
                  <w:vAlign w:val="center"/>
                </w:tcPr>
                <w:p w14:paraId="10C8BB6E">
                  <w:pPr>
                    <w:pStyle w:val="135"/>
                    <w:keepNext w:val="0"/>
                    <w:keepLines w:val="0"/>
                    <w:pageBreakBefore w:val="0"/>
                    <w:widowControl/>
                    <w:kinsoku/>
                    <w:wordWrap/>
                    <w:overflowPunct/>
                    <w:topLinePunct w:val="0"/>
                    <w:autoSpaceDE/>
                    <w:autoSpaceDN/>
                    <w:bidi w:val="0"/>
                    <w:adjustRightInd/>
                    <w:snapToGrid w:val="0"/>
                    <w:textAlignment w:val="auto"/>
                    <w:rPr>
                      <w:color w:val="auto"/>
                      <w:lang w:val="en-US" w:eastAsia="zh-CN"/>
                    </w:rPr>
                  </w:pPr>
                  <w:r>
                    <w:rPr>
                      <w:color w:val="auto"/>
                      <w:lang w:val="en-US" w:eastAsia="zh-CN"/>
                    </w:rPr>
                    <w:t>1次/</w:t>
                  </w:r>
                  <w:r>
                    <w:rPr>
                      <w:rFonts w:hint="eastAsia"/>
                      <w:color w:val="auto"/>
                      <w:lang w:val="en-US" w:eastAsia="zh-CN"/>
                    </w:rPr>
                    <w:t>半年</w:t>
                  </w:r>
                </w:p>
              </w:tc>
              <w:tc>
                <w:tcPr>
                  <w:tcW w:w="1487" w:type="dxa"/>
                  <w:vMerge w:val="continue"/>
                  <w:vAlign w:val="center"/>
                </w:tcPr>
                <w:p w14:paraId="3A9F612E">
                  <w:pPr>
                    <w:pStyle w:val="135"/>
                    <w:keepNext w:val="0"/>
                    <w:keepLines w:val="0"/>
                    <w:pageBreakBefore w:val="0"/>
                    <w:widowControl/>
                    <w:kinsoku/>
                    <w:wordWrap/>
                    <w:overflowPunct/>
                    <w:topLinePunct w:val="0"/>
                    <w:autoSpaceDE/>
                    <w:autoSpaceDN/>
                    <w:bidi w:val="0"/>
                    <w:adjustRightInd/>
                    <w:snapToGrid w:val="0"/>
                    <w:textAlignment w:val="auto"/>
                    <w:rPr>
                      <w:color w:val="auto"/>
                      <w:lang w:val="en-US" w:eastAsia="zh-CN"/>
                    </w:rPr>
                  </w:pPr>
                </w:p>
              </w:tc>
              <w:tc>
                <w:tcPr>
                  <w:tcW w:w="2077" w:type="dxa"/>
                  <w:vMerge w:val="continue"/>
                  <w:tcBorders>
                    <w:left w:val="single" w:color="auto" w:sz="4" w:space="0"/>
                  </w:tcBorders>
                  <w:vAlign w:val="center"/>
                </w:tcPr>
                <w:p w14:paraId="6C9BF315">
                  <w:pPr>
                    <w:pStyle w:val="135"/>
                    <w:keepNext w:val="0"/>
                    <w:keepLines w:val="0"/>
                    <w:pageBreakBefore w:val="0"/>
                    <w:widowControl/>
                    <w:kinsoku/>
                    <w:wordWrap/>
                    <w:overflowPunct/>
                    <w:topLinePunct w:val="0"/>
                    <w:autoSpaceDE/>
                    <w:autoSpaceDN/>
                    <w:bidi w:val="0"/>
                    <w:adjustRightInd/>
                    <w:snapToGrid w:val="0"/>
                    <w:textAlignment w:val="auto"/>
                    <w:rPr>
                      <w:color w:val="auto"/>
                      <w:lang w:val="en-US" w:eastAsia="zh-CN"/>
                    </w:rPr>
                  </w:pPr>
                </w:p>
              </w:tc>
            </w:tr>
            <w:tr w14:paraId="7954F94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28" w:hRule="atLeast"/>
                <w:jc w:val="center"/>
              </w:trPr>
              <w:tc>
                <w:tcPr>
                  <w:tcW w:w="909" w:type="dxa"/>
                  <w:vMerge w:val="continue"/>
                  <w:vAlign w:val="center"/>
                </w:tcPr>
                <w:p w14:paraId="1888FDA0">
                  <w:pPr>
                    <w:pStyle w:val="135"/>
                    <w:keepNext w:val="0"/>
                    <w:keepLines w:val="0"/>
                    <w:pageBreakBefore w:val="0"/>
                    <w:widowControl/>
                    <w:kinsoku/>
                    <w:wordWrap/>
                    <w:overflowPunct/>
                    <w:topLinePunct w:val="0"/>
                    <w:autoSpaceDE/>
                    <w:autoSpaceDN/>
                    <w:bidi w:val="0"/>
                    <w:adjustRightInd/>
                    <w:snapToGrid w:val="0"/>
                    <w:textAlignment w:val="auto"/>
                    <w:rPr>
                      <w:color w:val="auto"/>
                      <w:lang w:val="en-US" w:eastAsia="zh-CN"/>
                    </w:rPr>
                  </w:pPr>
                </w:p>
              </w:tc>
              <w:tc>
                <w:tcPr>
                  <w:tcW w:w="1314" w:type="dxa"/>
                  <w:vMerge w:val="continue"/>
                  <w:vAlign w:val="center"/>
                </w:tcPr>
                <w:p w14:paraId="485DA62F">
                  <w:pPr>
                    <w:pStyle w:val="135"/>
                    <w:keepNext w:val="0"/>
                    <w:keepLines w:val="0"/>
                    <w:pageBreakBefore w:val="0"/>
                    <w:widowControl/>
                    <w:kinsoku/>
                    <w:wordWrap/>
                    <w:overflowPunct/>
                    <w:topLinePunct w:val="0"/>
                    <w:autoSpaceDE/>
                    <w:autoSpaceDN/>
                    <w:bidi w:val="0"/>
                    <w:adjustRightInd/>
                    <w:snapToGrid w:val="0"/>
                    <w:textAlignment w:val="auto"/>
                    <w:rPr>
                      <w:color w:val="auto"/>
                      <w:lang w:val="en-US" w:eastAsia="zh-CN"/>
                    </w:rPr>
                  </w:pPr>
                </w:p>
              </w:tc>
              <w:tc>
                <w:tcPr>
                  <w:tcW w:w="2247" w:type="dxa"/>
                  <w:vAlign w:val="center"/>
                </w:tcPr>
                <w:p w14:paraId="519D3B50">
                  <w:pPr>
                    <w:pStyle w:val="135"/>
                    <w:keepNext w:val="0"/>
                    <w:keepLines w:val="0"/>
                    <w:pageBreakBefore w:val="0"/>
                    <w:widowControl/>
                    <w:kinsoku/>
                    <w:wordWrap/>
                    <w:overflowPunct/>
                    <w:topLinePunct w:val="0"/>
                    <w:autoSpaceDE/>
                    <w:autoSpaceDN/>
                    <w:bidi w:val="0"/>
                    <w:adjustRightInd/>
                    <w:snapToGrid w:val="0"/>
                    <w:textAlignment w:val="auto"/>
                    <w:rPr>
                      <w:color w:val="auto"/>
                      <w:lang w:val="en-US" w:eastAsia="zh-CN"/>
                    </w:rPr>
                  </w:pPr>
                  <w:r>
                    <w:rPr>
                      <w:color w:val="auto"/>
                      <w:lang w:val="en-US" w:eastAsia="zh-CN"/>
                    </w:rPr>
                    <w:t>甲基叔丁基醚</w:t>
                  </w:r>
                </w:p>
              </w:tc>
              <w:tc>
                <w:tcPr>
                  <w:tcW w:w="1227" w:type="dxa"/>
                  <w:vAlign w:val="center"/>
                </w:tcPr>
                <w:p w14:paraId="115F4668">
                  <w:pPr>
                    <w:pStyle w:val="135"/>
                    <w:keepNext w:val="0"/>
                    <w:keepLines w:val="0"/>
                    <w:pageBreakBefore w:val="0"/>
                    <w:widowControl/>
                    <w:kinsoku/>
                    <w:wordWrap/>
                    <w:overflowPunct/>
                    <w:topLinePunct w:val="0"/>
                    <w:autoSpaceDE/>
                    <w:autoSpaceDN/>
                    <w:bidi w:val="0"/>
                    <w:adjustRightInd/>
                    <w:snapToGrid w:val="0"/>
                    <w:textAlignment w:val="auto"/>
                    <w:rPr>
                      <w:color w:val="auto"/>
                      <w:lang w:val="en-US" w:eastAsia="zh-CN"/>
                    </w:rPr>
                  </w:pPr>
                  <w:r>
                    <w:rPr>
                      <w:color w:val="auto"/>
                      <w:lang w:val="en-US" w:eastAsia="zh-CN"/>
                    </w:rPr>
                    <w:t>1次/</w:t>
                  </w:r>
                  <w:r>
                    <w:rPr>
                      <w:rFonts w:hint="eastAsia"/>
                      <w:color w:val="auto"/>
                      <w:lang w:val="en-US" w:eastAsia="zh-CN"/>
                    </w:rPr>
                    <w:t>半年</w:t>
                  </w:r>
                </w:p>
              </w:tc>
              <w:tc>
                <w:tcPr>
                  <w:tcW w:w="1487" w:type="dxa"/>
                  <w:vMerge w:val="continue"/>
                  <w:vAlign w:val="center"/>
                </w:tcPr>
                <w:p w14:paraId="044F141F">
                  <w:pPr>
                    <w:pStyle w:val="135"/>
                    <w:keepNext w:val="0"/>
                    <w:keepLines w:val="0"/>
                    <w:pageBreakBefore w:val="0"/>
                    <w:widowControl/>
                    <w:kinsoku/>
                    <w:wordWrap/>
                    <w:overflowPunct/>
                    <w:topLinePunct w:val="0"/>
                    <w:autoSpaceDE/>
                    <w:autoSpaceDN/>
                    <w:bidi w:val="0"/>
                    <w:adjustRightInd/>
                    <w:snapToGrid w:val="0"/>
                    <w:textAlignment w:val="auto"/>
                    <w:rPr>
                      <w:color w:val="auto"/>
                      <w:lang w:val="en-US" w:eastAsia="zh-CN"/>
                    </w:rPr>
                  </w:pPr>
                </w:p>
              </w:tc>
              <w:tc>
                <w:tcPr>
                  <w:tcW w:w="2077" w:type="dxa"/>
                  <w:vMerge w:val="continue"/>
                  <w:tcBorders>
                    <w:left w:val="single" w:color="auto" w:sz="4" w:space="0"/>
                  </w:tcBorders>
                  <w:vAlign w:val="center"/>
                </w:tcPr>
                <w:p w14:paraId="72655D61">
                  <w:pPr>
                    <w:pStyle w:val="135"/>
                    <w:keepNext w:val="0"/>
                    <w:keepLines w:val="0"/>
                    <w:pageBreakBefore w:val="0"/>
                    <w:widowControl/>
                    <w:kinsoku/>
                    <w:wordWrap/>
                    <w:overflowPunct/>
                    <w:topLinePunct w:val="0"/>
                    <w:autoSpaceDE/>
                    <w:autoSpaceDN/>
                    <w:bidi w:val="0"/>
                    <w:adjustRightInd/>
                    <w:snapToGrid w:val="0"/>
                    <w:textAlignment w:val="auto"/>
                    <w:rPr>
                      <w:color w:val="auto"/>
                      <w:lang w:val="en-US" w:eastAsia="zh-CN"/>
                    </w:rPr>
                  </w:pPr>
                </w:p>
              </w:tc>
            </w:tr>
            <w:tr w14:paraId="128DAA5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28" w:hRule="atLeast"/>
                <w:jc w:val="center"/>
              </w:trPr>
              <w:tc>
                <w:tcPr>
                  <w:tcW w:w="909" w:type="dxa"/>
                  <w:vMerge w:val="continue"/>
                  <w:vAlign w:val="center"/>
                </w:tcPr>
                <w:p w14:paraId="1B1F2B6D">
                  <w:pPr>
                    <w:pStyle w:val="135"/>
                    <w:keepNext w:val="0"/>
                    <w:keepLines w:val="0"/>
                    <w:pageBreakBefore w:val="0"/>
                    <w:widowControl/>
                    <w:kinsoku/>
                    <w:wordWrap/>
                    <w:overflowPunct/>
                    <w:topLinePunct w:val="0"/>
                    <w:autoSpaceDE/>
                    <w:autoSpaceDN/>
                    <w:bidi w:val="0"/>
                    <w:adjustRightInd/>
                    <w:snapToGrid w:val="0"/>
                    <w:textAlignment w:val="auto"/>
                  </w:pPr>
                </w:p>
              </w:tc>
              <w:tc>
                <w:tcPr>
                  <w:tcW w:w="1314" w:type="dxa"/>
                  <w:vMerge w:val="continue"/>
                  <w:vAlign w:val="center"/>
                </w:tcPr>
                <w:p w14:paraId="0C2B27DB">
                  <w:pPr>
                    <w:pStyle w:val="135"/>
                    <w:keepNext w:val="0"/>
                    <w:keepLines w:val="0"/>
                    <w:pageBreakBefore w:val="0"/>
                    <w:widowControl/>
                    <w:kinsoku/>
                    <w:wordWrap/>
                    <w:overflowPunct/>
                    <w:topLinePunct w:val="0"/>
                    <w:autoSpaceDE/>
                    <w:autoSpaceDN/>
                    <w:bidi w:val="0"/>
                    <w:adjustRightInd/>
                    <w:snapToGrid w:val="0"/>
                    <w:textAlignment w:val="auto"/>
                  </w:pPr>
                </w:p>
              </w:tc>
              <w:tc>
                <w:tcPr>
                  <w:tcW w:w="2247" w:type="dxa"/>
                  <w:vAlign w:val="center"/>
                </w:tcPr>
                <w:p w14:paraId="006106D0">
                  <w:pPr>
                    <w:pStyle w:val="135"/>
                    <w:keepNext w:val="0"/>
                    <w:keepLines w:val="0"/>
                    <w:pageBreakBefore w:val="0"/>
                    <w:widowControl/>
                    <w:kinsoku/>
                    <w:wordWrap/>
                    <w:overflowPunct/>
                    <w:topLinePunct w:val="0"/>
                    <w:autoSpaceDE/>
                    <w:autoSpaceDN/>
                    <w:bidi w:val="0"/>
                    <w:adjustRightInd/>
                    <w:snapToGrid w:val="0"/>
                    <w:textAlignment w:val="auto"/>
                    <w:rPr>
                      <w:color w:val="1F497D" w:themeColor="text2"/>
                      <w:lang w:val="en-US" w:eastAsia="zh-CN"/>
                      <w14:textFill>
                        <w14:solidFill>
                          <w14:schemeClr w14:val="tx2"/>
                        </w14:solidFill>
                      </w14:textFill>
                    </w:rPr>
                  </w:pPr>
                  <w:r>
                    <w:rPr>
                      <w:rFonts w:hint="eastAsia"/>
                      <w:color w:val="1F497D" w:themeColor="text2"/>
                      <w:lang w:val="en-US" w:eastAsia="zh-CN"/>
                      <w14:textFill>
                        <w14:solidFill>
                          <w14:schemeClr w14:val="tx2"/>
                        </w14:solidFill>
                      </w14:textFill>
                    </w:rPr>
                    <w:t>挥发性有机物（萘、苯、甲苯、乙苯、邻二甲苯、间（对）二甲苯）</w:t>
                  </w:r>
                </w:p>
              </w:tc>
              <w:tc>
                <w:tcPr>
                  <w:tcW w:w="1227" w:type="dxa"/>
                  <w:vAlign w:val="center"/>
                </w:tcPr>
                <w:p w14:paraId="38E39C30">
                  <w:pPr>
                    <w:pStyle w:val="135"/>
                    <w:keepNext w:val="0"/>
                    <w:keepLines w:val="0"/>
                    <w:pageBreakBefore w:val="0"/>
                    <w:widowControl/>
                    <w:kinsoku/>
                    <w:wordWrap/>
                    <w:overflowPunct/>
                    <w:topLinePunct w:val="0"/>
                    <w:autoSpaceDE/>
                    <w:autoSpaceDN/>
                    <w:bidi w:val="0"/>
                    <w:adjustRightInd/>
                    <w:snapToGrid w:val="0"/>
                    <w:textAlignment w:val="auto"/>
                    <w:rPr>
                      <w:color w:val="1F497D" w:themeColor="text2"/>
                      <w:lang w:val="en-US" w:eastAsia="zh-CN"/>
                      <w14:textFill>
                        <w14:solidFill>
                          <w14:schemeClr w14:val="tx2"/>
                        </w14:solidFill>
                      </w14:textFill>
                    </w:rPr>
                  </w:pPr>
                  <w:r>
                    <w:rPr>
                      <w:color w:val="1F497D" w:themeColor="text2"/>
                      <w:lang w:val="en-US" w:eastAsia="zh-CN"/>
                      <w14:textFill>
                        <w14:solidFill>
                          <w14:schemeClr w14:val="tx2"/>
                        </w14:solidFill>
                      </w14:textFill>
                    </w:rPr>
                    <w:t>1次/</w:t>
                  </w:r>
                  <w:r>
                    <w:rPr>
                      <w:rFonts w:hint="eastAsia"/>
                      <w:color w:val="1F497D" w:themeColor="text2"/>
                      <w:lang w:val="en-US" w:eastAsia="zh-CN"/>
                      <w14:textFill>
                        <w14:solidFill>
                          <w14:schemeClr w14:val="tx2"/>
                        </w14:solidFill>
                      </w14:textFill>
                    </w:rPr>
                    <w:t>半年</w:t>
                  </w:r>
                </w:p>
              </w:tc>
              <w:tc>
                <w:tcPr>
                  <w:tcW w:w="1487" w:type="dxa"/>
                  <w:vMerge w:val="continue"/>
                  <w:vAlign w:val="center"/>
                </w:tcPr>
                <w:p w14:paraId="2EC07917">
                  <w:pPr>
                    <w:pStyle w:val="135"/>
                    <w:keepNext w:val="0"/>
                    <w:keepLines w:val="0"/>
                    <w:pageBreakBefore w:val="0"/>
                    <w:widowControl/>
                    <w:kinsoku/>
                    <w:wordWrap/>
                    <w:overflowPunct/>
                    <w:topLinePunct w:val="0"/>
                    <w:autoSpaceDE/>
                    <w:autoSpaceDN/>
                    <w:bidi w:val="0"/>
                    <w:adjustRightInd/>
                    <w:snapToGrid w:val="0"/>
                    <w:textAlignment w:val="auto"/>
                    <w:rPr>
                      <w:color w:val="auto"/>
                      <w:lang w:val="en-US" w:eastAsia="zh-CN"/>
                    </w:rPr>
                  </w:pPr>
                </w:p>
              </w:tc>
              <w:tc>
                <w:tcPr>
                  <w:tcW w:w="2077" w:type="dxa"/>
                  <w:vMerge w:val="continue"/>
                  <w:tcBorders>
                    <w:left w:val="single" w:color="auto" w:sz="4" w:space="0"/>
                  </w:tcBorders>
                  <w:vAlign w:val="center"/>
                </w:tcPr>
                <w:p w14:paraId="1A5EC8DC">
                  <w:pPr>
                    <w:pStyle w:val="135"/>
                    <w:keepNext w:val="0"/>
                    <w:keepLines w:val="0"/>
                    <w:pageBreakBefore w:val="0"/>
                    <w:widowControl/>
                    <w:kinsoku/>
                    <w:wordWrap/>
                    <w:overflowPunct/>
                    <w:topLinePunct w:val="0"/>
                    <w:autoSpaceDE/>
                    <w:autoSpaceDN/>
                    <w:bidi w:val="0"/>
                    <w:adjustRightInd/>
                    <w:snapToGrid w:val="0"/>
                    <w:textAlignment w:val="auto"/>
                    <w:rPr>
                      <w:color w:val="auto"/>
                      <w:lang w:val="en-US" w:eastAsia="zh-CN"/>
                    </w:rPr>
                  </w:pPr>
                </w:p>
              </w:tc>
            </w:tr>
          </w:tbl>
          <w:p w14:paraId="46FAF9A2">
            <w:pPr>
              <w:pStyle w:val="54"/>
              <w:keepNext w:val="0"/>
              <w:keepLines w:val="0"/>
              <w:pageBreakBefore w:val="0"/>
              <w:widowControl w:val="0"/>
              <w:numPr>
                <w:ilvl w:val="0"/>
                <w:numId w:val="0"/>
              </w:numPr>
              <w:kinsoku/>
              <w:wordWrap/>
              <w:overflowPunct/>
              <w:topLinePunct w:val="0"/>
              <w:autoSpaceDE/>
              <w:autoSpaceDN/>
              <w:bidi w:val="0"/>
              <w:adjustRightInd/>
              <w:snapToGrid/>
              <w:ind w:leftChars="0" w:firstLine="482" w:firstLineChars="200"/>
              <w:textAlignment w:val="auto"/>
              <w:rPr>
                <w:b/>
              </w:rPr>
            </w:pPr>
            <w:r>
              <w:rPr>
                <w:rFonts w:hint="eastAsia"/>
                <w:b/>
                <w:lang w:val="en-US" w:eastAsia="zh-CN"/>
              </w:rPr>
              <w:t>6、</w:t>
            </w:r>
            <w:r>
              <w:rPr>
                <w:b/>
              </w:rPr>
              <w:t>土壤</w:t>
            </w:r>
          </w:p>
          <w:p w14:paraId="70016F9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color w:val="auto"/>
                <w:sz w:val="24"/>
              </w:rPr>
            </w:pPr>
            <w:r>
              <w:rPr>
                <w:rFonts w:hint="eastAsia"/>
                <w:b/>
                <w:lang w:eastAsia="zh-CN"/>
              </w:rPr>
              <w:t>（</w:t>
            </w:r>
            <w:r>
              <w:rPr>
                <w:rFonts w:hint="eastAsia"/>
                <w:b/>
                <w:lang w:val="en-US" w:eastAsia="zh-CN"/>
              </w:rPr>
              <w:t>1</w:t>
            </w:r>
            <w:r>
              <w:rPr>
                <w:rFonts w:hint="eastAsia"/>
                <w:b/>
                <w:lang w:eastAsia="zh-CN"/>
              </w:rPr>
              <w:t>）</w:t>
            </w:r>
            <w:r>
              <w:rPr>
                <w:rFonts w:hint="eastAsia"/>
                <w:b/>
              </w:rPr>
              <w:t>污染类型及污染途径</w:t>
            </w:r>
          </w:p>
          <w:p w14:paraId="69522D4A">
            <w:pPr>
              <w:spacing w:line="360" w:lineRule="auto"/>
              <w:ind w:firstLine="480" w:firstLineChars="200"/>
              <w:rPr>
                <w:rFonts w:hint="eastAsia" w:eastAsia="宋体"/>
                <w:color w:val="auto"/>
                <w:sz w:val="24"/>
                <w:lang w:eastAsia="zh-CN"/>
              </w:rPr>
            </w:pPr>
            <w:r>
              <w:rPr>
                <w:color w:val="auto"/>
                <w:sz w:val="24"/>
              </w:rPr>
              <w:t>污染物可以通过多种途径进入土壤，主要类型有以下三种</w:t>
            </w:r>
            <w:r>
              <w:rPr>
                <w:rFonts w:hint="eastAsia"/>
                <w:color w:val="auto"/>
                <w:sz w:val="24"/>
                <w:lang w:eastAsia="zh-CN"/>
              </w:rPr>
              <w:t>：</w:t>
            </w:r>
          </w:p>
          <w:p w14:paraId="0975CC68">
            <w:pPr>
              <w:spacing w:line="360" w:lineRule="auto"/>
              <w:ind w:firstLine="480" w:firstLineChars="200"/>
              <w:rPr>
                <w:color w:val="auto"/>
                <w:sz w:val="24"/>
              </w:rPr>
            </w:pPr>
            <w:r>
              <w:rPr>
                <w:color w:val="auto"/>
                <w:sz w:val="24"/>
              </w:rPr>
              <w:t>1）大气沉降：污染物来源于被污染的大气，主要集中在土壤表层，主要污染物是大气中的各污染物，它们降落到地表可引起土壤土质发生变化，破坏土壤肥力与生态系统的平衡。</w:t>
            </w:r>
          </w:p>
          <w:p w14:paraId="04A0A40B">
            <w:pPr>
              <w:spacing w:line="360" w:lineRule="auto"/>
              <w:ind w:firstLine="480" w:firstLineChars="200"/>
              <w:rPr>
                <w:color w:val="auto"/>
                <w:sz w:val="24"/>
              </w:rPr>
            </w:pPr>
            <w:r>
              <w:rPr>
                <w:color w:val="auto"/>
                <w:sz w:val="24"/>
              </w:rPr>
              <w:t>2）垂直入渗：项目事故状态下危</w:t>
            </w:r>
            <w:r>
              <w:rPr>
                <w:rFonts w:hint="eastAsia"/>
                <w:color w:val="auto"/>
                <w:sz w:val="24"/>
                <w:lang w:val="en-US" w:eastAsia="zh-CN"/>
              </w:rPr>
              <w:t>险</w:t>
            </w:r>
            <w:r>
              <w:rPr>
                <w:color w:val="auto"/>
                <w:sz w:val="24"/>
              </w:rPr>
              <w:t>废</w:t>
            </w:r>
            <w:r>
              <w:rPr>
                <w:rFonts w:hint="eastAsia"/>
                <w:color w:val="auto"/>
                <w:sz w:val="24"/>
                <w:lang w:val="en-US" w:eastAsia="zh-CN"/>
              </w:rPr>
              <w:t>物</w:t>
            </w:r>
            <w:r>
              <w:rPr>
                <w:color w:val="auto"/>
                <w:sz w:val="24"/>
              </w:rPr>
              <w:t>渗滤液直接通过包气带渗入土壤，或发生泄漏，致使土壤受到污染。</w:t>
            </w:r>
          </w:p>
          <w:p w14:paraId="4576C464">
            <w:pPr>
              <w:spacing w:line="360" w:lineRule="auto"/>
              <w:ind w:firstLine="480" w:firstLineChars="200"/>
              <w:rPr>
                <w:color w:val="auto"/>
                <w:sz w:val="24"/>
              </w:rPr>
            </w:pPr>
            <w:r>
              <w:rPr>
                <w:color w:val="auto"/>
                <w:sz w:val="24"/>
              </w:rPr>
              <w:t>3）地面漫流：项目固</w:t>
            </w:r>
            <w:r>
              <w:rPr>
                <w:rFonts w:hint="eastAsia"/>
                <w:color w:val="auto"/>
                <w:sz w:val="24"/>
                <w:lang w:val="en-US" w:eastAsia="zh-CN"/>
              </w:rPr>
              <w:t>体</w:t>
            </w:r>
            <w:r>
              <w:rPr>
                <w:color w:val="auto"/>
                <w:sz w:val="24"/>
              </w:rPr>
              <w:t>废</w:t>
            </w:r>
            <w:r>
              <w:rPr>
                <w:rFonts w:hint="eastAsia"/>
                <w:color w:val="auto"/>
                <w:sz w:val="24"/>
                <w:lang w:val="en-US" w:eastAsia="zh-CN"/>
              </w:rPr>
              <w:t>物</w:t>
            </w:r>
            <w:r>
              <w:rPr>
                <w:color w:val="auto"/>
                <w:sz w:val="24"/>
              </w:rPr>
              <w:t>等在堆放、运输过程中通过扩散、降水淋洗等直接或间接影响土壤。</w:t>
            </w:r>
          </w:p>
          <w:p w14:paraId="7F6DE232">
            <w:pPr>
              <w:ind w:firstLine="480"/>
              <w:rPr>
                <w:color w:val="auto"/>
                <w:sz w:val="24"/>
              </w:rPr>
            </w:pPr>
            <w:r>
              <w:rPr>
                <w:color w:val="auto"/>
                <w:sz w:val="24"/>
              </w:rPr>
              <w:t>本项目土壤影响类型为污染影响型，产生的废气均为非沉降性废气，废气产生量</w:t>
            </w:r>
            <w:r>
              <w:rPr>
                <w:rFonts w:hint="eastAsia"/>
                <w:color w:val="auto"/>
                <w:sz w:val="24"/>
                <w:lang w:val="en-US" w:eastAsia="zh-CN"/>
              </w:rPr>
              <w:t>较</w:t>
            </w:r>
            <w:r>
              <w:rPr>
                <w:color w:val="auto"/>
                <w:sz w:val="24"/>
              </w:rPr>
              <w:t>少，沉降作用不明显；项目拟将危</w:t>
            </w:r>
            <w:r>
              <w:rPr>
                <w:rFonts w:hint="eastAsia"/>
                <w:color w:val="auto"/>
                <w:sz w:val="24"/>
                <w:lang w:val="en-US" w:eastAsia="zh-CN"/>
              </w:rPr>
              <w:t>险</w:t>
            </w:r>
            <w:r>
              <w:rPr>
                <w:color w:val="auto"/>
                <w:sz w:val="24"/>
              </w:rPr>
              <w:t>废</w:t>
            </w:r>
            <w:r>
              <w:rPr>
                <w:rFonts w:hint="eastAsia"/>
                <w:color w:val="auto"/>
                <w:sz w:val="24"/>
                <w:lang w:val="en-US" w:eastAsia="zh-CN"/>
              </w:rPr>
              <w:t>物暂存箱</w:t>
            </w:r>
            <w:r>
              <w:rPr>
                <w:color w:val="auto"/>
                <w:sz w:val="24"/>
              </w:rPr>
              <w:t>、</w:t>
            </w:r>
            <w:r>
              <w:rPr>
                <w:rFonts w:hint="eastAsia"/>
                <w:color w:val="auto"/>
                <w:sz w:val="24"/>
                <w:lang w:val="en-US" w:eastAsia="zh-CN"/>
              </w:rPr>
              <w:t>储</w:t>
            </w:r>
            <w:r>
              <w:rPr>
                <w:color w:val="auto"/>
                <w:sz w:val="24"/>
              </w:rPr>
              <w:t>罐区、输油管、卸油区、加油区、输油管</w:t>
            </w:r>
            <w:r>
              <w:rPr>
                <w:rFonts w:hint="eastAsia"/>
                <w:color w:val="auto"/>
                <w:sz w:val="24"/>
                <w:lang w:val="en-US" w:eastAsia="zh-CN"/>
              </w:rPr>
              <w:t>线区</w:t>
            </w:r>
            <w:r>
              <w:rPr>
                <w:color w:val="auto"/>
                <w:sz w:val="24"/>
              </w:rPr>
              <w:t>等按重点防渗区进行处理；</w:t>
            </w:r>
            <w:r>
              <w:rPr>
                <w:rFonts w:hint="eastAsia"/>
                <w:color w:val="auto"/>
                <w:sz w:val="24"/>
              </w:rPr>
              <w:t>排水渠、化粪池、洗车区、</w:t>
            </w:r>
            <w:r>
              <w:rPr>
                <w:color w:val="auto"/>
                <w:sz w:val="24"/>
              </w:rPr>
              <w:t>隔油池</w:t>
            </w:r>
            <w:r>
              <w:rPr>
                <w:rFonts w:hint="eastAsia"/>
                <w:color w:val="auto"/>
                <w:sz w:val="24"/>
                <w:lang w:eastAsia="zh-CN"/>
              </w:rPr>
              <w:t>、</w:t>
            </w:r>
            <w:r>
              <w:rPr>
                <w:rFonts w:hint="eastAsia"/>
                <w:color w:val="auto"/>
                <w:sz w:val="24"/>
                <w:lang w:val="en-US" w:eastAsia="zh-CN"/>
              </w:rPr>
              <w:t>一体化（MBR）洗车废水处理设施</w:t>
            </w:r>
            <w:r>
              <w:rPr>
                <w:color w:val="auto"/>
                <w:sz w:val="24"/>
              </w:rPr>
              <w:t>等按照一般防渗区进行处理</w:t>
            </w:r>
            <w:r>
              <w:rPr>
                <w:rFonts w:hint="eastAsia"/>
                <w:color w:val="auto"/>
                <w:sz w:val="24"/>
              </w:rPr>
              <w:t>；</w:t>
            </w:r>
            <w:r>
              <w:rPr>
                <w:color w:val="auto"/>
                <w:sz w:val="24"/>
              </w:rPr>
              <w:t>站房室内地面</w:t>
            </w:r>
            <w:r>
              <w:rPr>
                <w:rFonts w:hint="eastAsia"/>
                <w:color w:val="auto"/>
                <w:sz w:val="24"/>
              </w:rPr>
              <w:t>、</w:t>
            </w:r>
            <w:r>
              <w:rPr>
                <w:color w:val="auto"/>
                <w:sz w:val="24"/>
              </w:rPr>
              <w:t>站内道路按照</w:t>
            </w:r>
            <w:r>
              <w:rPr>
                <w:rFonts w:hint="eastAsia"/>
                <w:color w:val="auto"/>
                <w:sz w:val="24"/>
              </w:rPr>
              <w:t>简单</w:t>
            </w:r>
            <w:r>
              <w:rPr>
                <w:color w:val="auto"/>
                <w:sz w:val="24"/>
              </w:rPr>
              <w:t>防渗区进行处理，因此垂直入渗与地面漫流对周围土壤环境影响也较小。项目地面设置基础防渗，防止地面污水渗入地下污染土壤。隔油池、化粪池做好防渗，做好管道的连接施工，并且内壁及底面设置相应的防腐防渗处理，防止污水下渗，可有效防止污水处理系统的废水下渗，对土壤造成污染。项目在落实土壤保护措施的前提下，项目建设对厂区及周围土壤环境的影响可接受。</w:t>
            </w:r>
          </w:p>
          <w:p w14:paraId="2CA16363">
            <w:pPr>
              <w:ind w:firstLine="480"/>
              <w:rPr>
                <w:rFonts w:hint="eastAsia"/>
                <w:b/>
                <w:lang w:val="en-US" w:eastAsia="zh-CN"/>
              </w:rPr>
            </w:pPr>
            <w:r>
              <w:rPr>
                <w:rFonts w:hint="eastAsia"/>
                <w:b/>
                <w:lang w:eastAsia="zh-CN"/>
              </w:rPr>
              <w:t>（</w:t>
            </w:r>
            <w:r>
              <w:rPr>
                <w:rFonts w:hint="eastAsia"/>
                <w:b/>
                <w:lang w:val="en-US" w:eastAsia="zh-CN"/>
              </w:rPr>
              <w:t>2</w:t>
            </w:r>
            <w:r>
              <w:rPr>
                <w:rFonts w:hint="eastAsia"/>
                <w:b/>
                <w:lang w:eastAsia="zh-CN"/>
              </w:rPr>
              <w:t>）</w:t>
            </w:r>
            <w:r>
              <w:rPr>
                <w:rFonts w:hint="eastAsia"/>
                <w:b/>
                <w:lang w:val="en-US" w:eastAsia="zh-CN"/>
              </w:rPr>
              <w:t>土壤环境监测要求</w:t>
            </w:r>
          </w:p>
          <w:p w14:paraId="0EA2BFE6">
            <w:pPr>
              <w:ind w:firstLine="48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根据《排污单位自行监测技术指南 储油库、加油站》（HJ1249-2022）</w:t>
            </w:r>
            <w:r>
              <w:rPr>
                <w:rFonts w:hint="eastAsia" w:cs="Times New Roman"/>
                <w:color w:val="auto"/>
                <w:sz w:val="24"/>
                <w:lang w:val="en-US" w:eastAsia="zh-CN"/>
              </w:rPr>
              <w:t>的要求</w:t>
            </w:r>
            <w:r>
              <w:rPr>
                <w:rFonts w:hint="eastAsia" w:ascii="Times New Roman" w:hAnsi="Times New Roman" w:eastAsia="宋体" w:cs="Times New Roman"/>
                <w:color w:val="auto"/>
                <w:sz w:val="24"/>
              </w:rPr>
              <w:t>，本项目</w:t>
            </w:r>
            <w:r>
              <w:rPr>
                <w:rFonts w:hint="eastAsia" w:ascii="Times New Roman" w:hAnsi="Times New Roman" w:eastAsia="宋体" w:cs="Times New Roman"/>
                <w:color w:val="auto"/>
                <w:sz w:val="24"/>
                <w:lang w:val="en-US" w:eastAsia="zh-CN"/>
              </w:rPr>
              <w:t>土壤</w:t>
            </w:r>
            <w:r>
              <w:rPr>
                <w:rFonts w:hint="eastAsia" w:ascii="Times New Roman" w:hAnsi="Times New Roman" w:eastAsia="宋体" w:cs="Times New Roman"/>
                <w:color w:val="auto"/>
                <w:sz w:val="24"/>
              </w:rPr>
              <w:t>环境监测计划</w:t>
            </w:r>
            <w:r>
              <w:rPr>
                <w:rFonts w:hint="eastAsia" w:cs="Times New Roman"/>
                <w:color w:val="auto"/>
                <w:sz w:val="24"/>
                <w:lang w:val="en-US" w:eastAsia="zh-CN"/>
              </w:rPr>
              <w:t>详</w:t>
            </w:r>
            <w:r>
              <w:rPr>
                <w:rFonts w:hint="eastAsia" w:ascii="Times New Roman" w:hAnsi="Times New Roman" w:eastAsia="宋体" w:cs="Times New Roman"/>
                <w:color w:val="auto"/>
                <w:sz w:val="24"/>
              </w:rPr>
              <w:t>见表</w:t>
            </w:r>
            <w:r>
              <w:rPr>
                <w:rFonts w:hint="eastAsia" w:ascii="Times New Roman" w:hAnsi="Times New Roman" w:eastAsia="宋体" w:cs="Times New Roman"/>
                <w:color w:val="auto"/>
                <w:sz w:val="24"/>
                <w:lang w:val="en-US" w:eastAsia="zh-CN"/>
              </w:rPr>
              <w:t>4.6-1</w:t>
            </w:r>
            <w:r>
              <w:rPr>
                <w:rFonts w:hint="eastAsia" w:ascii="Times New Roman" w:hAnsi="Times New Roman" w:eastAsia="宋体" w:cs="Times New Roman"/>
                <w:color w:val="auto"/>
                <w:sz w:val="24"/>
              </w:rPr>
              <w:t>。</w:t>
            </w:r>
          </w:p>
          <w:p w14:paraId="6E202E9D">
            <w:pPr>
              <w:pStyle w:val="134"/>
              <w:keepNext w:val="0"/>
              <w:keepLines w:val="0"/>
              <w:pageBreakBefore w:val="0"/>
              <w:widowControl w:val="0"/>
              <w:kinsoku/>
              <w:wordWrap/>
              <w:overflowPunct/>
              <w:topLinePunct w:val="0"/>
              <w:autoSpaceDE/>
              <w:autoSpaceDN/>
              <w:bidi w:val="0"/>
              <w:adjustRightInd/>
              <w:snapToGrid/>
              <w:textAlignment w:val="auto"/>
              <w:rPr>
                <w:color w:val="auto"/>
                <w:lang w:val="en-US" w:eastAsia="zh-CN"/>
              </w:rPr>
            </w:pPr>
            <w:r>
              <w:rPr>
                <w:rFonts w:hint="eastAsia" w:ascii="宋体" w:hAnsi="宋体" w:eastAsia="宋体" w:cs="宋体"/>
                <w:color w:val="auto"/>
                <w:lang w:val="en-US" w:eastAsia="zh-CN"/>
              </w:rPr>
              <w:t>表</w:t>
            </w:r>
            <w:r>
              <w:rPr>
                <w:rFonts w:hint="eastAsia"/>
                <w:color w:val="auto"/>
                <w:lang w:val="en-US" w:eastAsia="zh-CN"/>
              </w:rPr>
              <w:t xml:space="preserve">4.6-1   </w:t>
            </w:r>
            <w:r>
              <w:rPr>
                <w:rFonts w:hint="eastAsia" w:ascii="宋体" w:hAnsi="宋体" w:eastAsia="宋体" w:cs="宋体"/>
                <w:color w:val="auto"/>
                <w:lang w:val="en-US" w:eastAsia="zh-CN"/>
              </w:rPr>
              <w:t>项目土壤环境监测计划</w:t>
            </w:r>
          </w:p>
          <w:tbl>
            <w:tblPr>
              <w:tblStyle w:val="35"/>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09"/>
              <w:gridCol w:w="1314"/>
              <w:gridCol w:w="1686"/>
              <w:gridCol w:w="1132"/>
              <w:gridCol w:w="1991"/>
              <w:gridCol w:w="2229"/>
            </w:tblGrid>
            <w:tr w14:paraId="566A5B6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909" w:type="dxa"/>
                  <w:vAlign w:val="center"/>
                </w:tcPr>
                <w:p w14:paraId="0A4FBF53">
                  <w:pPr>
                    <w:pStyle w:val="135"/>
                    <w:keepNext w:val="0"/>
                    <w:keepLines w:val="0"/>
                    <w:pageBreakBefore w:val="0"/>
                    <w:widowControl/>
                    <w:kinsoku/>
                    <w:wordWrap/>
                    <w:overflowPunct/>
                    <w:topLinePunct w:val="0"/>
                    <w:autoSpaceDE/>
                    <w:autoSpaceDN/>
                    <w:bidi w:val="0"/>
                    <w:adjustRightInd/>
                    <w:snapToGrid w:val="0"/>
                    <w:textAlignment w:val="auto"/>
                    <w:rPr>
                      <w:b/>
                      <w:bCs/>
                      <w:color w:val="auto"/>
                      <w:lang w:val="en-US" w:eastAsia="zh-CN"/>
                    </w:rPr>
                  </w:pPr>
                  <w:r>
                    <w:rPr>
                      <w:b/>
                      <w:bCs/>
                      <w:color w:val="auto"/>
                      <w:lang w:val="en-US" w:eastAsia="zh-CN"/>
                    </w:rPr>
                    <w:t>阶段</w:t>
                  </w:r>
                </w:p>
              </w:tc>
              <w:tc>
                <w:tcPr>
                  <w:tcW w:w="1314" w:type="dxa"/>
                  <w:vAlign w:val="center"/>
                </w:tcPr>
                <w:p w14:paraId="1C2B3463">
                  <w:pPr>
                    <w:pStyle w:val="135"/>
                    <w:keepNext w:val="0"/>
                    <w:keepLines w:val="0"/>
                    <w:pageBreakBefore w:val="0"/>
                    <w:widowControl/>
                    <w:kinsoku/>
                    <w:wordWrap/>
                    <w:overflowPunct/>
                    <w:topLinePunct w:val="0"/>
                    <w:autoSpaceDE/>
                    <w:autoSpaceDN/>
                    <w:bidi w:val="0"/>
                    <w:adjustRightInd/>
                    <w:snapToGrid w:val="0"/>
                    <w:textAlignment w:val="auto"/>
                    <w:rPr>
                      <w:rFonts w:hint="default"/>
                      <w:b/>
                      <w:bCs/>
                      <w:color w:val="auto"/>
                      <w:lang w:val="en-US" w:eastAsia="zh-CN"/>
                    </w:rPr>
                  </w:pPr>
                  <w:r>
                    <w:rPr>
                      <w:b/>
                      <w:bCs/>
                      <w:color w:val="auto"/>
                      <w:lang w:val="en-US" w:eastAsia="zh-CN"/>
                    </w:rPr>
                    <w:t>监测点</w:t>
                  </w:r>
                  <w:r>
                    <w:rPr>
                      <w:rFonts w:hint="eastAsia"/>
                      <w:b/>
                      <w:bCs/>
                      <w:color w:val="auto"/>
                      <w:lang w:val="en-US" w:eastAsia="zh-CN"/>
                    </w:rPr>
                    <w:t>位</w:t>
                  </w:r>
                </w:p>
              </w:tc>
              <w:tc>
                <w:tcPr>
                  <w:tcW w:w="1686" w:type="dxa"/>
                  <w:vAlign w:val="center"/>
                </w:tcPr>
                <w:p w14:paraId="28EBEFB0">
                  <w:pPr>
                    <w:pStyle w:val="135"/>
                    <w:keepNext w:val="0"/>
                    <w:keepLines w:val="0"/>
                    <w:pageBreakBefore w:val="0"/>
                    <w:widowControl/>
                    <w:kinsoku/>
                    <w:wordWrap/>
                    <w:overflowPunct/>
                    <w:topLinePunct w:val="0"/>
                    <w:autoSpaceDE/>
                    <w:autoSpaceDN/>
                    <w:bidi w:val="0"/>
                    <w:adjustRightInd/>
                    <w:snapToGrid w:val="0"/>
                    <w:textAlignment w:val="auto"/>
                    <w:rPr>
                      <w:rFonts w:hint="default"/>
                      <w:b/>
                      <w:bCs/>
                      <w:color w:val="auto"/>
                      <w:lang w:val="en-US" w:eastAsia="zh-CN"/>
                    </w:rPr>
                  </w:pPr>
                  <w:r>
                    <w:rPr>
                      <w:b/>
                      <w:bCs/>
                      <w:color w:val="auto"/>
                      <w:lang w:val="en-US" w:eastAsia="zh-CN"/>
                    </w:rPr>
                    <w:t>监测</w:t>
                  </w:r>
                  <w:r>
                    <w:rPr>
                      <w:rFonts w:hint="eastAsia"/>
                      <w:b/>
                      <w:bCs/>
                      <w:color w:val="auto"/>
                      <w:lang w:val="en-US" w:eastAsia="zh-CN"/>
                    </w:rPr>
                    <w:t>因子</w:t>
                  </w:r>
                </w:p>
              </w:tc>
              <w:tc>
                <w:tcPr>
                  <w:tcW w:w="1132" w:type="dxa"/>
                  <w:vAlign w:val="center"/>
                </w:tcPr>
                <w:p w14:paraId="765B62B4">
                  <w:pPr>
                    <w:pStyle w:val="135"/>
                    <w:keepNext w:val="0"/>
                    <w:keepLines w:val="0"/>
                    <w:pageBreakBefore w:val="0"/>
                    <w:widowControl/>
                    <w:kinsoku/>
                    <w:wordWrap/>
                    <w:overflowPunct/>
                    <w:topLinePunct w:val="0"/>
                    <w:autoSpaceDE/>
                    <w:autoSpaceDN/>
                    <w:bidi w:val="0"/>
                    <w:adjustRightInd/>
                    <w:snapToGrid w:val="0"/>
                    <w:textAlignment w:val="auto"/>
                    <w:rPr>
                      <w:rFonts w:hint="default"/>
                      <w:b/>
                      <w:bCs/>
                      <w:color w:val="auto"/>
                      <w:lang w:val="en-US" w:eastAsia="zh-CN"/>
                    </w:rPr>
                  </w:pPr>
                  <w:r>
                    <w:rPr>
                      <w:b/>
                      <w:bCs/>
                      <w:color w:val="auto"/>
                      <w:lang w:val="en-US" w:eastAsia="zh-CN"/>
                    </w:rPr>
                    <w:t>监测频</w:t>
                  </w:r>
                  <w:r>
                    <w:rPr>
                      <w:rFonts w:hint="eastAsia"/>
                      <w:b/>
                      <w:bCs/>
                      <w:color w:val="auto"/>
                      <w:lang w:val="en-US" w:eastAsia="zh-CN"/>
                    </w:rPr>
                    <w:t>次</w:t>
                  </w:r>
                </w:p>
              </w:tc>
              <w:tc>
                <w:tcPr>
                  <w:tcW w:w="1990" w:type="dxa"/>
                  <w:vAlign w:val="center"/>
                </w:tcPr>
                <w:p w14:paraId="1E23CDD4">
                  <w:pPr>
                    <w:pStyle w:val="135"/>
                    <w:keepNext w:val="0"/>
                    <w:keepLines w:val="0"/>
                    <w:pageBreakBefore w:val="0"/>
                    <w:widowControl/>
                    <w:kinsoku/>
                    <w:wordWrap/>
                    <w:overflowPunct/>
                    <w:topLinePunct w:val="0"/>
                    <w:autoSpaceDE/>
                    <w:autoSpaceDN/>
                    <w:bidi w:val="0"/>
                    <w:adjustRightInd/>
                    <w:snapToGrid w:val="0"/>
                    <w:textAlignment w:val="auto"/>
                    <w:rPr>
                      <w:b/>
                      <w:bCs/>
                      <w:color w:val="auto"/>
                      <w:lang w:val="en-US" w:eastAsia="zh-CN"/>
                    </w:rPr>
                  </w:pPr>
                  <w:r>
                    <w:rPr>
                      <w:b/>
                      <w:bCs/>
                      <w:color w:val="auto"/>
                      <w:lang w:val="en-US" w:eastAsia="zh-CN"/>
                    </w:rPr>
                    <w:t>实施机构</w:t>
                  </w:r>
                </w:p>
              </w:tc>
              <w:tc>
                <w:tcPr>
                  <w:tcW w:w="2228" w:type="dxa"/>
                  <w:tcBorders>
                    <w:left w:val="single" w:color="auto" w:sz="4" w:space="0"/>
                  </w:tcBorders>
                  <w:vAlign w:val="center"/>
                </w:tcPr>
                <w:p w14:paraId="404DD2C8">
                  <w:pPr>
                    <w:pStyle w:val="135"/>
                    <w:keepNext w:val="0"/>
                    <w:keepLines w:val="0"/>
                    <w:pageBreakBefore w:val="0"/>
                    <w:widowControl/>
                    <w:kinsoku/>
                    <w:wordWrap/>
                    <w:overflowPunct/>
                    <w:topLinePunct w:val="0"/>
                    <w:autoSpaceDE/>
                    <w:autoSpaceDN/>
                    <w:bidi w:val="0"/>
                    <w:adjustRightInd/>
                    <w:snapToGrid w:val="0"/>
                    <w:textAlignment w:val="auto"/>
                    <w:rPr>
                      <w:b/>
                      <w:bCs/>
                      <w:color w:val="auto"/>
                      <w:lang w:val="en-US" w:eastAsia="zh-CN"/>
                    </w:rPr>
                  </w:pPr>
                  <w:r>
                    <w:rPr>
                      <w:rFonts w:hint="eastAsia"/>
                      <w:b/>
                      <w:bCs/>
                      <w:color w:val="auto"/>
                      <w:lang w:val="en-US" w:eastAsia="zh-CN"/>
                    </w:rPr>
                    <w:t>执行标准</w:t>
                  </w:r>
                </w:p>
              </w:tc>
            </w:tr>
            <w:tr w14:paraId="0E9AFFE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89" w:hRule="atLeast"/>
                <w:jc w:val="center"/>
              </w:trPr>
              <w:tc>
                <w:tcPr>
                  <w:tcW w:w="909" w:type="dxa"/>
                  <w:vMerge w:val="restart"/>
                  <w:vAlign w:val="center"/>
                </w:tcPr>
                <w:p w14:paraId="1CC0DF12">
                  <w:pPr>
                    <w:pStyle w:val="135"/>
                    <w:keepNext w:val="0"/>
                    <w:keepLines w:val="0"/>
                    <w:pageBreakBefore w:val="0"/>
                    <w:widowControl/>
                    <w:kinsoku/>
                    <w:wordWrap/>
                    <w:overflowPunct/>
                    <w:topLinePunct w:val="0"/>
                    <w:autoSpaceDE/>
                    <w:autoSpaceDN/>
                    <w:bidi w:val="0"/>
                    <w:adjustRightInd/>
                    <w:snapToGrid w:val="0"/>
                    <w:textAlignment w:val="auto"/>
                    <w:rPr>
                      <w:color w:val="auto"/>
                      <w:lang w:val="en-US" w:eastAsia="zh-CN"/>
                    </w:rPr>
                  </w:pPr>
                  <w:r>
                    <w:rPr>
                      <w:rFonts w:hint="eastAsia"/>
                      <w:color w:val="auto"/>
                      <w:lang w:val="en-US" w:eastAsia="zh-CN"/>
                    </w:rPr>
                    <w:t>运营期</w:t>
                  </w:r>
                </w:p>
              </w:tc>
              <w:tc>
                <w:tcPr>
                  <w:tcW w:w="1314" w:type="dxa"/>
                  <w:vMerge w:val="restart"/>
                  <w:vAlign w:val="center"/>
                </w:tcPr>
                <w:p w14:paraId="7AB47656">
                  <w:pPr>
                    <w:pStyle w:val="135"/>
                    <w:keepNext w:val="0"/>
                    <w:keepLines w:val="0"/>
                    <w:pageBreakBefore w:val="0"/>
                    <w:widowControl/>
                    <w:kinsoku/>
                    <w:wordWrap/>
                    <w:overflowPunct/>
                    <w:topLinePunct w:val="0"/>
                    <w:autoSpaceDE/>
                    <w:autoSpaceDN/>
                    <w:bidi w:val="0"/>
                    <w:adjustRightInd/>
                    <w:snapToGrid w:val="0"/>
                    <w:textAlignment w:val="auto"/>
                    <w:rPr>
                      <w:color w:val="auto"/>
                      <w:lang w:val="en-US" w:eastAsia="zh-CN"/>
                    </w:rPr>
                  </w:pPr>
                  <w:r>
                    <w:rPr>
                      <w:rFonts w:hint="eastAsia"/>
                      <w:color w:val="auto"/>
                      <w:lang w:val="en-US" w:eastAsia="zh-CN"/>
                    </w:rPr>
                    <w:t>储罐区</w:t>
                  </w:r>
                </w:p>
              </w:tc>
              <w:tc>
                <w:tcPr>
                  <w:tcW w:w="1686" w:type="dxa"/>
                  <w:vAlign w:val="center"/>
                </w:tcPr>
                <w:p w14:paraId="40DFC2A1">
                  <w:pPr>
                    <w:pStyle w:val="135"/>
                    <w:keepNext w:val="0"/>
                    <w:keepLines w:val="0"/>
                    <w:pageBreakBefore w:val="0"/>
                    <w:widowControl/>
                    <w:kinsoku/>
                    <w:wordWrap/>
                    <w:overflowPunct/>
                    <w:topLinePunct w:val="0"/>
                    <w:autoSpaceDE/>
                    <w:autoSpaceDN/>
                    <w:bidi w:val="0"/>
                    <w:adjustRightInd/>
                    <w:snapToGrid w:val="0"/>
                    <w:textAlignment w:val="auto"/>
                    <w:rPr>
                      <w:color w:val="auto"/>
                      <w:lang w:val="en-US" w:eastAsia="zh-CN"/>
                    </w:rPr>
                  </w:pPr>
                  <w:r>
                    <w:rPr>
                      <w:color w:val="auto"/>
                      <w:lang w:val="en-US" w:eastAsia="zh-CN"/>
                    </w:rPr>
                    <w:t>石油类</w:t>
                  </w:r>
                </w:p>
              </w:tc>
              <w:tc>
                <w:tcPr>
                  <w:tcW w:w="1132" w:type="dxa"/>
                  <w:vAlign w:val="center"/>
                </w:tcPr>
                <w:p w14:paraId="271E2BB9">
                  <w:pPr>
                    <w:pStyle w:val="135"/>
                    <w:keepNext w:val="0"/>
                    <w:keepLines w:val="0"/>
                    <w:pageBreakBefore w:val="0"/>
                    <w:widowControl/>
                    <w:kinsoku/>
                    <w:wordWrap/>
                    <w:overflowPunct/>
                    <w:topLinePunct w:val="0"/>
                    <w:autoSpaceDE/>
                    <w:autoSpaceDN/>
                    <w:bidi w:val="0"/>
                    <w:adjustRightInd/>
                    <w:snapToGrid w:val="0"/>
                    <w:textAlignment w:val="auto"/>
                    <w:rPr>
                      <w:color w:val="auto"/>
                      <w:lang w:val="en-US" w:eastAsia="zh-CN"/>
                    </w:rPr>
                  </w:pPr>
                  <w:r>
                    <w:rPr>
                      <w:color w:val="auto"/>
                      <w:lang w:val="en-US" w:eastAsia="zh-CN"/>
                    </w:rPr>
                    <w:t>1次/</w:t>
                  </w:r>
                  <w:r>
                    <w:rPr>
                      <w:rFonts w:hint="eastAsia"/>
                      <w:color w:val="auto"/>
                      <w:lang w:val="en-US" w:eastAsia="zh-CN"/>
                    </w:rPr>
                    <w:t>年</w:t>
                  </w:r>
                </w:p>
              </w:tc>
              <w:tc>
                <w:tcPr>
                  <w:tcW w:w="1990" w:type="dxa"/>
                  <w:vMerge w:val="restart"/>
                  <w:vAlign w:val="center"/>
                </w:tcPr>
                <w:p w14:paraId="2F71503A">
                  <w:pPr>
                    <w:pStyle w:val="135"/>
                    <w:keepNext w:val="0"/>
                    <w:keepLines w:val="0"/>
                    <w:pageBreakBefore w:val="0"/>
                    <w:widowControl/>
                    <w:kinsoku/>
                    <w:wordWrap/>
                    <w:overflowPunct/>
                    <w:topLinePunct w:val="0"/>
                    <w:autoSpaceDE/>
                    <w:autoSpaceDN/>
                    <w:bidi w:val="0"/>
                    <w:adjustRightInd/>
                    <w:snapToGrid w:val="0"/>
                    <w:textAlignment w:val="auto"/>
                    <w:rPr>
                      <w:color w:val="auto"/>
                      <w:lang w:val="en-US" w:eastAsia="zh-CN"/>
                    </w:rPr>
                  </w:pPr>
                  <w:r>
                    <w:rPr>
                      <w:color w:val="auto"/>
                      <w:lang w:val="en-US" w:eastAsia="zh-CN"/>
                    </w:rPr>
                    <w:t>有资质</w:t>
                  </w:r>
                  <w:r>
                    <w:rPr>
                      <w:rFonts w:hint="eastAsia"/>
                      <w:color w:val="auto"/>
                      <w:lang w:val="en-US" w:eastAsia="zh-CN"/>
                    </w:rPr>
                    <w:t>的监测</w:t>
                  </w:r>
                  <w:r>
                    <w:rPr>
                      <w:color w:val="auto"/>
                      <w:lang w:val="en-US" w:eastAsia="zh-CN"/>
                    </w:rPr>
                    <w:t>单位</w:t>
                  </w:r>
                </w:p>
              </w:tc>
              <w:tc>
                <w:tcPr>
                  <w:tcW w:w="2228" w:type="dxa"/>
                  <w:vMerge w:val="restart"/>
                  <w:tcBorders>
                    <w:left w:val="single" w:color="auto" w:sz="4" w:space="0"/>
                  </w:tcBorders>
                  <w:vAlign w:val="center"/>
                </w:tcPr>
                <w:p w14:paraId="7F32D6B0">
                  <w:pPr>
                    <w:pStyle w:val="135"/>
                    <w:keepNext w:val="0"/>
                    <w:keepLines w:val="0"/>
                    <w:pageBreakBefore w:val="0"/>
                    <w:widowControl/>
                    <w:kinsoku/>
                    <w:wordWrap/>
                    <w:overflowPunct/>
                    <w:topLinePunct w:val="0"/>
                    <w:autoSpaceDE/>
                    <w:autoSpaceDN/>
                    <w:bidi w:val="0"/>
                    <w:adjustRightInd/>
                    <w:snapToGrid w:val="0"/>
                    <w:textAlignment w:val="auto"/>
                    <w:rPr>
                      <w:color w:val="auto"/>
                      <w:lang w:val="en-US" w:eastAsia="zh-CN"/>
                    </w:rPr>
                  </w:pPr>
                  <w:r>
                    <w:rPr>
                      <w:rFonts w:hint="eastAsia"/>
                      <w:color w:val="auto"/>
                      <w:lang w:val="en-US" w:eastAsia="zh-CN"/>
                    </w:rPr>
                    <w:t>《建设用地土壤污染风险管控标准（试行）》（DB36/1282-2020）</w:t>
                  </w:r>
                </w:p>
              </w:tc>
            </w:tr>
            <w:tr w14:paraId="32A03DA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36" w:hRule="atLeast"/>
                <w:jc w:val="center"/>
              </w:trPr>
              <w:tc>
                <w:tcPr>
                  <w:tcW w:w="909" w:type="dxa"/>
                  <w:vMerge w:val="continue"/>
                  <w:vAlign w:val="center"/>
                </w:tcPr>
                <w:p w14:paraId="4B751C16">
                  <w:pPr>
                    <w:pStyle w:val="135"/>
                    <w:keepNext w:val="0"/>
                    <w:keepLines w:val="0"/>
                    <w:pageBreakBefore w:val="0"/>
                    <w:widowControl/>
                    <w:kinsoku/>
                    <w:wordWrap/>
                    <w:overflowPunct/>
                    <w:topLinePunct w:val="0"/>
                    <w:autoSpaceDE/>
                    <w:autoSpaceDN/>
                    <w:bidi w:val="0"/>
                    <w:adjustRightInd/>
                    <w:snapToGrid w:val="0"/>
                    <w:textAlignment w:val="auto"/>
                  </w:pPr>
                </w:p>
              </w:tc>
              <w:tc>
                <w:tcPr>
                  <w:tcW w:w="1314" w:type="dxa"/>
                  <w:vMerge w:val="continue"/>
                  <w:vAlign w:val="center"/>
                </w:tcPr>
                <w:p w14:paraId="0750CAA1">
                  <w:pPr>
                    <w:pStyle w:val="135"/>
                    <w:keepNext w:val="0"/>
                    <w:keepLines w:val="0"/>
                    <w:pageBreakBefore w:val="0"/>
                    <w:widowControl/>
                    <w:kinsoku/>
                    <w:wordWrap/>
                    <w:overflowPunct/>
                    <w:topLinePunct w:val="0"/>
                    <w:autoSpaceDE/>
                    <w:autoSpaceDN/>
                    <w:bidi w:val="0"/>
                    <w:adjustRightInd/>
                    <w:snapToGrid w:val="0"/>
                    <w:textAlignment w:val="auto"/>
                  </w:pPr>
                </w:p>
              </w:tc>
              <w:tc>
                <w:tcPr>
                  <w:tcW w:w="1686" w:type="dxa"/>
                  <w:vAlign w:val="center"/>
                </w:tcPr>
                <w:p w14:paraId="34D954DC">
                  <w:pPr>
                    <w:pStyle w:val="135"/>
                    <w:keepNext w:val="0"/>
                    <w:keepLines w:val="0"/>
                    <w:pageBreakBefore w:val="0"/>
                    <w:widowControl/>
                    <w:kinsoku/>
                    <w:wordWrap/>
                    <w:overflowPunct/>
                    <w:topLinePunct w:val="0"/>
                    <w:autoSpaceDE/>
                    <w:autoSpaceDN/>
                    <w:bidi w:val="0"/>
                    <w:adjustRightInd/>
                    <w:snapToGrid w:val="0"/>
                    <w:textAlignment w:val="auto"/>
                    <w:rPr>
                      <w:color w:val="auto"/>
                      <w:lang w:val="en-US" w:eastAsia="zh-CN"/>
                    </w:rPr>
                  </w:pPr>
                  <w:r>
                    <w:rPr>
                      <w:rFonts w:hint="eastAsia"/>
                      <w:color w:val="auto"/>
                      <w:lang w:val="en-US" w:eastAsia="zh-CN"/>
                    </w:rPr>
                    <w:t>石油烃（C</w:t>
                  </w:r>
                  <w:r>
                    <w:rPr>
                      <w:rFonts w:hint="eastAsia"/>
                      <w:color w:val="auto"/>
                      <w:vertAlign w:val="subscript"/>
                      <w:lang w:val="en-US" w:eastAsia="zh-CN"/>
                    </w:rPr>
                    <w:t>6</w:t>
                  </w:r>
                  <w:r>
                    <w:rPr>
                      <w:rFonts w:hint="eastAsia"/>
                      <w:color w:val="auto"/>
                      <w:lang w:val="en-US" w:eastAsia="zh-CN"/>
                    </w:rPr>
                    <w:t>-C</w:t>
                  </w:r>
                  <w:r>
                    <w:rPr>
                      <w:rFonts w:hint="eastAsia"/>
                      <w:color w:val="auto"/>
                      <w:vertAlign w:val="subscript"/>
                      <w:lang w:val="en-US" w:eastAsia="zh-CN"/>
                    </w:rPr>
                    <w:t>9</w:t>
                  </w:r>
                  <w:r>
                    <w:rPr>
                      <w:rFonts w:hint="eastAsia"/>
                      <w:color w:val="auto"/>
                      <w:lang w:val="en-US" w:eastAsia="zh-CN"/>
                    </w:rPr>
                    <w:t>）</w:t>
                  </w:r>
                </w:p>
              </w:tc>
              <w:tc>
                <w:tcPr>
                  <w:tcW w:w="1132" w:type="dxa"/>
                  <w:vAlign w:val="center"/>
                </w:tcPr>
                <w:p w14:paraId="05590CA6">
                  <w:pPr>
                    <w:pStyle w:val="135"/>
                    <w:keepNext w:val="0"/>
                    <w:keepLines w:val="0"/>
                    <w:pageBreakBefore w:val="0"/>
                    <w:widowControl/>
                    <w:kinsoku/>
                    <w:wordWrap/>
                    <w:overflowPunct/>
                    <w:topLinePunct w:val="0"/>
                    <w:autoSpaceDE/>
                    <w:autoSpaceDN/>
                    <w:bidi w:val="0"/>
                    <w:adjustRightInd/>
                    <w:snapToGrid w:val="0"/>
                    <w:textAlignment w:val="auto"/>
                    <w:rPr>
                      <w:color w:val="auto"/>
                      <w:lang w:val="en-US" w:eastAsia="zh-CN"/>
                    </w:rPr>
                  </w:pPr>
                  <w:r>
                    <w:rPr>
                      <w:color w:val="auto"/>
                      <w:lang w:val="en-US" w:eastAsia="zh-CN"/>
                    </w:rPr>
                    <w:t>1次/</w:t>
                  </w:r>
                  <w:r>
                    <w:rPr>
                      <w:rFonts w:hint="eastAsia"/>
                      <w:color w:val="auto"/>
                      <w:lang w:val="en-US" w:eastAsia="zh-CN"/>
                    </w:rPr>
                    <w:t>年</w:t>
                  </w:r>
                </w:p>
              </w:tc>
              <w:tc>
                <w:tcPr>
                  <w:tcW w:w="1990" w:type="dxa"/>
                  <w:vMerge w:val="continue"/>
                  <w:vAlign w:val="center"/>
                </w:tcPr>
                <w:p w14:paraId="3D09B190">
                  <w:pPr>
                    <w:pStyle w:val="135"/>
                    <w:keepNext w:val="0"/>
                    <w:keepLines w:val="0"/>
                    <w:pageBreakBefore w:val="0"/>
                    <w:widowControl/>
                    <w:kinsoku/>
                    <w:wordWrap/>
                    <w:overflowPunct/>
                    <w:topLinePunct w:val="0"/>
                    <w:autoSpaceDE/>
                    <w:autoSpaceDN/>
                    <w:bidi w:val="0"/>
                    <w:adjustRightInd/>
                    <w:snapToGrid w:val="0"/>
                    <w:textAlignment w:val="auto"/>
                    <w:rPr>
                      <w:color w:val="auto"/>
                      <w:lang w:val="en-US" w:eastAsia="zh-CN"/>
                    </w:rPr>
                  </w:pPr>
                </w:p>
              </w:tc>
              <w:tc>
                <w:tcPr>
                  <w:tcW w:w="2228" w:type="dxa"/>
                  <w:vMerge w:val="continue"/>
                  <w:tcBorders>
                    <w:left w:val="single" w:color="auto" w:sz="4" w:space="0"/>
                  </w:tcBorders>
                  <w:vAlign w:val="center"/>
                </w:tcPr>
                <w:p w14:paraId="5F22AA4D">
                  <w:pPr>
                    <w:pStyle w:val="135"/>
                    <w:keepNext w:val="0"/>
                    <w:keepLines w:val="0"/>
                    <w:pageBreakBefore w:val="0"/>
                    <w:widowControl/>
                    <w:kinsoku/>
                    <w:wordWrap/>
                    <w:overflowPunct/>
                    <w:topLinePunct w:val="0"/>
                    <w:autoSpaceDE/>
                    <w:autoSpaceDN/>
                    <w:bidi w:val="0"/>
                    <w:adjustRightInd/>
                    <w:snapToGrid w:val="0"/>
                    <w:textAlignment w:val="auto"/>
                    <w:rPr>
                      <w:color w:val="auto"/>
                      <w:lang w:val="en-US" w:eastAsia="zh-CN"/>
                    </w:rPr>
                  </w:pPr>
                </w:p>
              </w:tc>
            </w:tr>
            <w:tr w14:paraId="00A97F9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36" w:hRule="atLeast"/>
                <w:jc w:val="center"/>
              </w:trPr>
              <w:tc>
                <w:tcPr>
                  <w:tcW w:w="909" w:type="dxa"/>
                  <w:vMerge w:val="continue"/>
                  <w:vAlign w:val="center"/>
                </w:tcPr>
                <w:p w14:paraId="1339D073">
                  <w:pPr>
                    <w:pStyle w:val="135"/>
                    <w:keepNext w:val="0"/>
                    <w:keepLines w:val="0"/>
                    <w:pageBreakBefore w:val="0"/>
                    <w:widowControl/>
                    <w:kinsoku/>
                    <w:wordWrap/>
                    <w:overflowPunct/>
                    <w:topLinePunct w:val="0"/>
                    <w:autoSpaceDE/>
                    <w:autoSpaceDN/>
                    <w:bidi w:val="0"/>
                    <w:adjustRightInd/>
                    <w:snapToGrid w:val="0"/>
                    <w:textAlignment w:val="auto"/>
                    <w:rPr>
                      <w:color w:val="auto"/>
                      <w:lang w:val="en-US" w:eastAsia="zh-CN"/>
                    </w:rPr>
                  </w:pPr>
                </w:p>
              </w:tc>
              <w:tc>
                <w:tcPr>
                  <w:tcW w:w="1314" w:type="dxa"/>
                  <w:vMerge w:val="continue"/>
                  <w:vAlign w:val="center"/>
                </w:tcPr>
                <w:p w14:paraId="43B38380">
                  <w:pPr>
                    <w:pStyle w:val="135"/>
                    <w:keepNext w:val="0"/>
                    <w:keepLines w:val="0"/>
                    <w:pageBreakBefore w:val="0"/>
                    <w:widowControl/>
                    <w:kinsoku/>
                    <w:wordWrap/>
                    <w:overflowPunct/>
                    <w:topLinePunct w:val="0"/>
                    <w:autoSpaceDE/>
                    <w:autoSpaceDN/>
                    <w:bidi w:val="0"/>
                    <w:adjustRightInd/>
                    <w:snapToGrid w:val="0"/>
                    <w:textAlignment w:val="auto"/>
                    <w:rPr>
                      <w:color w:val="auto"/>
                      <w:lang w:val="en-US" w:eastAsia="zh-CN"/>
                    </w:rPr>
                  </w:pPr>
                </w:p>
              </w:tc>
              <w:tc>
                <w:tcPr>
                  <w:tcW w:w="1686" w:type="dxa"/>
                  <w:vAlign w:val="center"/>
                </w:tcPr>
                <w:p w14:paraId="0C54D385">
                  <w:pPr>
                    <w:pStyle w:val="135"/>
                    <w:keepNext w:val="0"/>
                    <w:keepLines w:val="0"/>
                    <w:pageBreakBefore w:val="0"/>
                    <w:widowControl/>
                    <w:kinsoku/>
                    <w:wordWrap/>
                    <w:overflowPunct/>
                    <w:topLinePunct w:val="0"/>
                    <w:autoSpaceDE/>
                    <w:autoSpaceDN/>
                    <w:bidi w:val="0"/>
                    <w:adjustRightInd/>
                    <w:snapToGrid w:val="0"/>
                    <w:textAlignment w:val="auto"/>
                    <w:rPr>
                      <w:color w:val="auto"/>
                      <w:lang w:val="en-US" w:eastAsia="zh-CN"/>
                    </w:rPr>
                  </w:pPr>
                  <w:r>
                    <w:rPr>
                      <w:rFonts w:hint="eastAsia"/>
                      <w:color w:val="auto"/>
                      <w:lang w:val="en-US" w:eastAsia="zh-CN"/>
                    </w:rPr>
                    <w:t>石油烃（C</w:t>
                  </w:r>
                  <w:r>
                    <w:rPr>
                      <w:rFonts w:hint="eastAsia"/>
                      <w:color w:val="auto"/>
                      <w:vertAlign w:val="subscript"/>
                      <w:lang w:val="en-US" w:eastAsia="zh-CN"/>
                    </w:rPr>
                    <w:t>10</w:t>
                  </w:r>
                  <w:r>
                    <w:rPr>
                      <w:rFonts w:hint="eastAsia"/>
                      <w:color w:val="auto"/>
                      <w:lang w:val="en-US" w:eastAsia="zh-CN"/>
                    </w:rPr>
                    <w:t>-C</w:t>
                  </w:r>
                  <w:r>
                    <w:rPr>
                      <w:rFonts w:hint="eastAsia"/>
                      <w:color w:val="auto"/>
                      <w:vertAlign w:val="subscript"/>
                      <w:lang w:val="en-US" w:eastAsia="zh-CN"/>
                    </w:rPr>
                    <w:t>40</w:t>
                  </w:r>
                  <w:r>
                    <w:rPr>
                      <w:rFonts w:hint="eastAsia"/>
                      <w:color w:val="auto"/>
                      <w:lang w:val="en-US" w:eastAsia="zh-CN"/>
                    </w:rPr>
                    <w:t>）</w:t>
                  </w:r>
                </w:p>
              </w:tc>
              <w:tc>
                <w:tcPr>
                  <w:tcW w:w="1132" w:type="dxa"/>
                  <w:vAlign w:val="center"/>
                </w:tcPr>
                <w:p w14:paraId="6B713F84">
                  <w:pPr>
                    <w:pStyle w:val="135"/>
                    <w:keepNext w:val="0"/>
                    <w:keepLines w:val="0"/>
                    <w:pageBreakBefore w:val="0"/>
                    <w:widowControl/>
                    <w:kinsoku/>
                    <w:wordWrap/>
                    <w:overflowPunct/>
                    <w:topLinePunct w:val="0"/>
                    <w:autoSpaceDE/>
                    <w:autoSpaceDN/>
                    <w:bidi w:val="0"/>
                    <w:adjustRightInd/>
                    <w:snapToGrid w:val="0"/>
                    <w:textAlignment w:val="auto"/>
                    <w:rPr>
                      <w:color w:val="auto"/>
                      <w:lang w:val="en-US" w:eastAsia="zh-CN"/>
                    </w:rPr>
                  </w:pPr>
                  <w:r>
                    <w:rPr>
                      <w:color w:val="auto"/>
                      <w:lang w:val="en-US" w:eastAsia="zh-CN"/>
                    </w:rPr>
                    <w:t>1次/</w:t>
                  </w:r>
                  <w:r>
                    <w:rPr>
                      <w:rFonts w:hint="eastAsia"/>
                      <w:color w:val="auto"/>
                      <w:lang w:val="en-US" w:eastAsia="zh-CN"/>
                    </w:rPr>
                    <w:t>年</w:t>
                  </w:r>
                </w:p>
              </w:tc>
              <w:tc>
                <w:tcPr>
                  <w:tcW w:w="1990" w:type="dxa"/>
                  <w:vMerge w:val="continue"/>
                  <w:vAlign w:val="center"/>
                </w:tcPr>
                <w:p w14:paraId="70022D49">
                  <w:pPr>
                    <w:pStyle w:val="135"/>
                    <w:keepNext w:val="0"/>
                    <w:keepLines w:val="0"/>
                    <w:pageBreakBefore w:val="0"/>
                    <w:widowControl/>
                    <w:kinsoku/>
                    <w:wordWrap/>
                    <w:overflowPunct/>
                    <w:topLinePunct w:val="0"/>
                    <w:autoSpaceDE/>
                    <w:autoSpaceDN/>
                    <w:bidi w:val="0"/>
                    <w:adjustRightInd/>
                    <w:snapToGrid w:val="0"/>
                    <w:textAlignment w:val="auto"/>
                    <w:rPr>
                      <w:color w:val="auto"/>
                      <w:lang w:val="en-US" w:eastAsia="zh-CN"/>
                    </w:rPr>
                  </w:pPr>
                </w:p>
              </w:tc>
              <w:tc>
                <w:tcPr>
                  <w:tcW w:w="2228" w:type="dxa"/>
                  <w:vMerge w:val="continue"/>
                  <w:tcBorders>
                    <w:left w:val="single" w:color="auto" w:sz="4" w:space="0"/>
                  </w:tcBorders>
                  <w:vAlign w:val="center"/>
                </w:tcPr>
                <w:p w14:paraId="720AC650">
                  <w:pPr>
                    <w:pStyle w:val="135"/>
                    <w:keepNext w:val="0"/>
                    <w:keepLines w:val="0"/>
                    <w:pageBreakBefore w:val="0"/>
                    <w:widowControl/>
                    <w:kinsoku/>
                    <w:wordWrap/>
                    <w:overflowPunct/>
                    <w:topLinePunct w:val="0"/>
                    <w:autoSpaceDE/>
                    <w:autoSpaceDN/>
                    <w:bidi w:val="0"/>
                    <w:adjustRightInd/>
                    <w:snapToGrid w:val="0"/>
                    <w:textAlignment w:val="auto"/>
                    <w:rPr>
                      <w:color w:val="auto"/>
                      <w:lang w:val="en-US" w:eastAsia="zh-CN"/>
                    </w:rPr>
                  </w:pPr>
                </w:p>
              </w:tc>
            </w:tr>
            <w:tr w14:paraId="5F4CEE6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36" w:hRule="atLeast"/>
                <w:jc w:val="center"/>
              </w:trPr>
              <w:tc>
                <w:tcPr>
                  <w:tcW w:w="909" w:type="dxa"/>
                  <w:vMerge w:val="continue"/>
                  <w:vAlign w:val="center"/>
                </w:tcPr>
                <w:p w14:paraId="3CE7BED8">
                  <w:pPr>
                    <w:pStyle w:val="135"/>
                    <w:keepNext w:val="0"/>
                    <w:keepLines w:val="0"/>
                    <w:pageBreakBefore w:val="0"/>
                    <w:widowControl/>
                    <w:kinsoku/>
                    <w:wordWrap/>
                    <w:overflowPunct/>
                    <w:topLinePunct w:val="0"/>
                    <w:autoSpaceDE/>
                    <w:autoSpaceDN/>
                    <w:bidi w:val="0"/>
                    <w:adjustRightInd/>
                    <w:snapToGrid w:val="0"/>
                    <w:textAlignment w:val="auto"/>
                    <w:rPr>
                      <w:color w:val="auto"/>
                      <w:lang w:val="en-US" w:eastAsia="zh-CN"/>
                    </w:rPr>
                  </w:pPr>
                </w:p>
              </w:tc>
              <w:tc>
                <w:tcPr>
                  <w:tcW w:w="1314" w:type="dxa"/>
                  <w:vMerge w:val="continue"/>
                  <w:vAlign w:val="center"/>
                </w:tcPr>
                <w:p w14:paraId="0EC9B193">
                  <w:pPr>
                    <w:pStyle w:val="135"/>
                    <w:keepNext w:val="0"/>
                    <w:keepLines w:val="0"/>
                    <w:pageBreakBefore w:val="0"/>
                    <w:widowControl/>
                    <w:kinsoku/>
                    <w:wordWrap/>
                    <w:overflowPunct/>
                    <w:topLinePunct w:val="0"/>
                    <w:autoSpaceDE/>
                    <w:autoSpaceDN/>
                    <w:bidi w:val="0"/>
                    <w:adjustRightInd/>
                    <w:snapToGrid w:val="0"/>
                    <w:textAlignment w:val="auto"/>
                    <w:rPr>
                      <w:color w:val="auto"/>
                      <w:lang w:val="en-US" w:eastAsia="zh-CN"/>
                    </w:rPr>
                  </w:pPr>
                </w:p>
              </w:tc>
              <w:tc>
                <w:tcPr>
                  <w:tcW w:w="1686" w:type="dxa"/>
                  <w:vAlign w:val="center"/>
                </w:tcPr>
                <w:p w14:paraId="61E6CD9D">
                  <w:pPr>
                    <w:pStyle w:val="135"/>
                    <w:keepNext w:val="0"/>
                    <w:keepLines w:val="0"/>
                    <w:pageBreakBefore w:val="0"/>
                    <w:widowControl/>
                    <w:kinsoku/>
                    <w:wordWrap/>
                    <w:overflowPunct/>
                    <w:topLinePunct w:val="0"/>
                    <w:autoSpaceDE/>
                    <w:autoSpaceDN/>
                    <w:bidi w:val="0"/>
                    <w:adjustRightInd/>
                    <w:snapToGrid w:val="0"/>
                    <w:textAlignment w:val="auto"/>
                    <w:rPr>
                      <w:color w:val="auto"/>
                      <w:lang w:val="en-US" w:eastAsia="zh-CN"/>
                    </w:rPr>
                  </w:pPr>
                  <w:r>
                    <w:rPr>
                      <w:color w:val="auto"/>
                      <w:lang w:val="en-US" w:eastAsia="zh-CN"/>
                    </w:rPr>
                    <w:t>甲基叔丁基醚</w:t>
                  </w:r>
                </w:p>
              </w:tc>
              <w:tc>
                <w:tcPr>
                  <w:tcW w:w="1132" w:type="dxa"/>
                  <w:vAlign w:val="center"/>
                </w:tcPr>
                <w:p w14:paraId="6709F9A1">
                  <w:pPr>
                    <w:pStyle w:val="135"/>
                    <w:keepNext w:val="0"/>
                    <w:keepLines w:val="0"/>
                    <w:pageBreakBefore w:val="0"/>
                    <w:widowControl/>
                    <w:kinsoku/>
                    <w:wordWrap/>
                    <w:overflowPunct/>
                    <w:topLinePunct w:val="0"/>
                    <w:autoSpaceDE/>
                    <w:autoSpaceDN/>
                    <w:bidi w:val="0"/>
                    <w:adjustRightInd/>
                    <w:snapToGrid w:val="0"/>
                    <w:textAlignment w:val="auto"/>
                    <w:rPr>
                      <w:color w:val="auto"/>
                      <w:lang w:val="en-US" w:eastAsia="zh-CN"/>
                    </w:rPr>
                  </w:pPr>
                  <w:r>
                    <w:rPr>
                      <w:color w:val="auto"/>
                      <w:lang w:val="en-US" w:eastAsia="zh-CN"/>
                    </w:rPr>
                    <w:t>1次/</w:t>
                  </w:r>
                  <w:r>
                    <w:rPr>
                      <w:rFonts w:hint="eastAsia"/>
                      <w:color w:val="auto"/>
                      <w:lang w:val="en-US" w:eastAsia="zh-CN"/>
                    </w:rPr>
                    <w:t>年</w:t>
                  </w:r>
                </w:p>
              </w:tc>
              <w:tc>
                <w:tcPr>
                  <w:tcW w:w="1990" w:type="dxa"/>
                  <w:vMerge w:val="continue"/>
                  <w:vAlign w:val="center"/>
                </w:tcPr>
                <w:p w14:paraId="3806B238">
                  <w:pPr>
                    <w:pStyle w:val="135"/>
                    <w:keepNext w:val="0"/>
                    <w:keepLines w:val="0"/>
                    <w:pageBreakBefore w:val="0"/>
                    <w:widowControl/>
                    <w:kinsoku/>
                    <w:wordWrap/>
                    <w:overflowPunct/>
                    <w:topLinePunct w:val="0"/>
                    <w:autoSpaceDE/>
                    <w:autoSpaceDN/>
                    <w:bidi w:val="0"/>
                    <w:adjustRightInd/>
                    <w:snapToGrid w:val="0"/>
                    <w:textAlignment w:val="auto"/>
                    <w:rPr>
                      <w:color w:val="auto"/>
                      <w:lang w:val="en-US" w:eastAsia="zh-CN"/>
                    </w:rPr>
                  </w:pPr>
                </w:p>
              </w:tc>
              <w:tc>
                <w:tcPr>
                  <w:tcW w:w="2228" w:type="dxa"/>
                  <w:vMerge w:val="continue"/>
                  <w:tcBorders>
                    <w:left w:val="single" w:color="auto" w:sz="4" w:space="0"/>
                  </w:tcBorders>
                  <w:vAlign w:val="center"/>
                </w:tcPr>
                <w:p w14:paraId="5302286B">
                  <w:pPr>
                    <w:pStyle w:val="135"/>
                    <w:keepNext w:val="0"/>
                    <w:keepLines w:val="0"/>
                    <w:pageBreakBefore w:val="0"/>
                    <w:widowControl/>
                    <w:kinsoku/>
                    <w:wordWrap/>
                    <w:overflowPunct/>
                    <w:topLinePunct w:val="0"/>
                    <w:autoSpaceDE/>
                    <w:autoSpaceDN/>
                    <w:bidi w:val="0"/>
                    <w:adjustRightInd/>
                    <w:snapToGrid w:val="0"/>
                    <w:textAlignment w:val="auto"/>
                    <w:rPr>
                      <w:color w:val="auto"/>
                      <w:lang w:val="en-US" w:eastAsia="zh-CN"/>
                    </w:rPr>
                  </w:pPr>
                </w:p>
              </w:tc>
            </w:tr>
          </w:tbl>
          <w:p w14:paraId="330AD037">
            <w:pPr>
              <w:pStyle w:val="54"/>
              <w:keepNext w:val="0"/>
              <w:keepLines w:val="0"/>
              <w:pageBreakBefore w:val="0"/>
              <w:widowControl w:val="0"/>
              <w:numPr>
                <w:ilvl w:val="0"/>
                <w:numId w:val="0"/>
              </w:numPr>
              <w:kinsoku/>
              <w:wordWrap/>
              <w:overflowPunct/>
              <w:topLinePunct w:val="0"/>
              <w:autoSpaceDE/>
              <w:autoSpaceDN/>
              <w:bidi w:val="0"/>
              <w:adjustRightInd/>
              <w:snapToGrid/>
              <w:ind w:leftChars="0" w:firstLine="482" w:firstLineChars="200"/>
              <w:textAlignment w:val="auto"/>
              <w:rPr>
                <w:b/>
              </w:rPr>
            </w:pPr>
            <w:r>
              <w:rPr>
                <w:rFonts w:hint="eastAsia"/>
                <w:b/>
                <w:lang w:val="en-US" w:eastAsia="zh-CN"/>
              </w:rPr>
              <w:t>7、</w:t>
            </w:r>
            <w:r>
              <w:rPr>
                <w:b/>
              </w:rPr>
              <w:t>生态</w:t>
            </w:r>
          </w:p>
          <w:p w14:paraId="12639294">
            <w:pPr>
              <w:keepNext w:val="0"/>
              <w:keepLines w:val="0"/>
              <w:pageBreakBefore w:val="0"/>
              <w:widowControl w:val="0"/>
              <w:kinsoku/>
              <w:wordWrap/>
              <w:overflowPunct/>
              <w:topLinePunct w:val="0"/>
              <w:autoSpaceDE/>
              <w:autoSpaceDN/>
              <w:bidi w:val="0"/>
              <w:adjustRightInd/>
              <w:snapToGrid/>
              <w:ind w:firstLine="496"/>
              <w:textAlignment w:val="auto"/>
              <w:rPr>
                <w:color w:val="000000"/>
                <w:spacing w:val="4"/>
                <w:kern w:val="0"/>
              </w:rPr>
            </w:pPr>
            <w:r>
              <w:rPr>
                <w:rFonts w:hint="eastAsia"/>
                <w:color w:val="000000"/>
                <w:spacing w:val="4"/>
                <w:kern w:val="0"/>
                <w:lang w:val="en-US" w:eastAsia="zh-CN"/>
              </w:rPr>
              <w:t>本</w:t>
            </w:r>
            <w:r>
              <w:rPr>
                <w:color w:val="000000"/>
                <w:spacing w:val="4"/>
                <w:kern w:val="0"/>
              </w:rPr>
              <w:t>项目用地范围内无自然保护区、风景名胜区等生态环境保护目标</w:t>
            </w:r>
            <w:r>
              <w:rPr>
                <w:rFonts w:hint="eastAsia"/>
                <w:color w:val="000000"/>
                <w:spacing w:val="4"/>
                <w:kern w:val="0"/>
              </w:rPr>
              <w:t>，对周围生态环境基本无影响</w:t>
            </w:r>
            <w:r>
              <w:rPr>
                <w:color w:val="000000"/>
                <w:spacing w:val="4"/>
                <w:kern w:val="0"/>
              </w:rPr>
              <w:t>。</w:t>
            </w:r>
          </w:p>
          <w:p w14:paraId="00D677BF">
            <w:pPr>
              <w:pStyle w:val="54"/>
              <w:keepNext w:val="0"/>
              <w:keepLines w:val="0"/>
              <w:pageBreakBefore w:val="0"/>
              <w:widowControl w:val="0"/>
              <w:numPr>
                <w:ilvl w:val="0"/>
                <w:numId w:val="0"/>
              </w:numPr>
              <w:kinsoku/>
              <w:wordWrap/>
              <w:overflowPunct/>
              <w:topLinePunct w:val="0"/>
              <w:autoSpaceDE/>
              <w:autoSpaceDN/>
              <w:bidi w:val="0"/>
              <w:adjustRightInd/>
              <w:snapToGrid/>
              <w:ind w:leftChars="0" w:firstLine="482" w:firstLineChars="200"/>
              <w:textAlignment w:val="auto"/>
              <w:rPr>
                <w:b/>
              </w:rPr>
            </w:pPr>
            <w:r>
              <w:rPr>
                <w:rFonts w:hint="eastAsia"/>
                <w:b/>
                <w:lang w:val="en-US" w:eastAsia="zh-CN"/>
              </w:rPr>
              <w:t>8、</w:t>
            </w:r>
            <w:r>
              <w:rPr>
                <w:b/>
              </w:rPr>
              <w:t>环境风险</w:t>
            </w:r>
          </w:p>
          <w:p w14:paraId="47F1A4E3">
            <w:pPr>
              <w:pStyle w:val="54"/>
              <w:keepNext w:val="0"/>
              <w:keepLines w:val="0"/>
              <w:pageBreakBefore w:val="0"/>
              <w:widowControl w:val="0"/>
              <w:numPr>
                <w:ilvl w:val="0"/>
                <w:numId w:val="0"/>
              </w:numPr>
              <w:kinsoku/>
              <w:wordWrap/>
              <w:overflowPunct/>
              <w:topLinePunct w:val="0"/>
              <w:autoSpaceDE/>
              <w:autoSpaceDN/>
              <w:bidi w:val="0"/>
              <w:adjustRightInd/>
              <w:snapToGrid/>
              <w:ind w:left="0" w:leftChars="0" w:firstLine="482" w:firstLineChars="200"/>
              <w:textAlignment w:val="auto"/>
              <w:rPr>
                <w:b/>
              </w:rPr>
            </w:pPr>
            <w:r>
              <w:rPr>
                <w:rFonts w:hint="eastAsia"/>
                <w:b/>
                <w:lang w:eastAsia="zh-CN"/>
              </w:rPr>
              <w:t>（</w:t>
            </w:r>
            <w:r>
              <w:rPr>
                <w:rFonts w:hint="eastAsia"/>
                <w:b/>
                <w:lang w:val="en-US" w:eastAsia="zh-CN"/>
              </w:rPr>
              <w:t>1</w:t>
            </w:r>
            <w:r>
              <w:rPr>
                <w:rFonts w:hint="eastAsia"/>
                <w:b/>
                <w:lang w:eastAsia="zh-CN"/>
              </w:rPr>
              <w:t>）</w:t>
            </w:r>
            <w:r>
              <w:rPr>
                <w:b/>
              </w:rPr>
              <w:t>风险调查</w:t>
            </w:r>
          </w:p>
          <w:p w14:paraId="29F79BE9">
            <w:pPr>
              <w:keepNext w:val="0"/>
              <w:keepLines w:val="0"/>
              <w:pageBreakBefore w:val="0"/>
              <w:widowControl w:val="0"/>
              <w:kinsoku/>
              <w:wordWrap/>
              <w:overflowPunct/>
              <w:topLinePunct w:val="0"/>
              <w:autoSpaceDE/>
              <w:autoSpaceDN/>
              <w:bidi w:val="0"/>
              <w:adjustRightInd/>
              <w:snapToGrid/>
              <w:ind w:firstLine="496"/>
              <w:textAlignment w:val="auto"/>
              <w:rPr>
                <w:color w:val="auto"/>
                <w:spacing w:val="4"/>
                <w:kern w:val="0"/>
                <w:highlight w:val="none"/>
              </w:rPr>
            </w:pPr>
            <w:r>
              <w:rPr>
                <w:rFonts w:hint="eastAsia"/>
                <w:bCs/>
                <w:color w:val="auto"/>
                <w:sz w:val="24"/>
                <w:highlight w:val="none"/>
              </w:rPr>
              <w:t>根据《建设项目环境风险评价技术导则》（HJ169-2018）</w:t>
            </w:r>
            <w:r>
              <w:rPr>
                <w:bCs/>
                <w:color w:val="auto"/>
                <w:sz w:val="24"/>
                <w:highlight w:val="none"/>
              </w:rPr>
              <w:t>附录B</w:t>
            </w:r>
            <w:r>
              <w:rPr>
                <w:rFonts w:hint="eastAsia"/>
                <w:bCs/>
                <w:color w:val="auto"/>
                <w:sz w:val="24"/>
                <w:highlight w:val="none"/>
              </w:rPr>
              <w:t>，本项目</w:t>
            </w:r>
            <w:r>
              <w:rPr>
                <w:rFonts w:hint="eastAsia"/>
                <w:bCs/>
                <w:color w:val="auto"/>
                <w:sz w:val="24"/>
                <w:highlight w:val="none"/>
                <w:lang w:val="en-US" w:eastAsia="zh-CN"/>
              </w:rPr>
              <w:t>涉及</w:t>
            </w:r>
            <w:r>
              <w:rPr>
                <w:rFonts w:hint="eastAsia"/>
                <w:bCs/>
                <w:color w:val="auto"/>
                <w:sz w:val="24"/>
                <w:highlight w:val="none"/>
              </w:rPr>
              <w:t>危险物质主要为汽油、柴油和危险废物中的</w:t>
            </w:r>
            <w:r>
              <w:rPr>
                <w:rFonts w:hint="eastAsia"/>
                <w:bCs/>
                <w:color w:val="auto"/>
                <w:sz w:val="24"/>
                <w:highlight w:val="none"/>
                <w:lang w:val="en-US" w:eastAsia="zh-CN"/>
              </w:rPr>
              <w:t>废吸油毡、废滤芯、废含油抹布手套</w:t>
            </w:r>
            <w:r>
              <w:rPr>
                <w:rFonts w:hint="eastAsia"/>
                <w:bCs/>
                <w:color w:val="auto"/>
                <w:sz w:val="24"/>
                <w:highlight w:val="none"/>
              </w:rPr>
              <w:t>等，</w:t>
            </w:r>
            <w:r>
              <w:rPr>
                <w:rFonts w:hint="eastAsia" w:ascii="Times New Roman" w:hAnsi="Times New Roman" w:cs="Times New Roman"/>
                <w:color w:val="auto"/>
                <w:spacing w:val="4"/>
                <w:kern w:val="0"/>
                <w:sz w:val="24"/>
                <w:highlight w:val="none"/>
                <w:lang w:eastAsia="zh-CN"/>
              </w:rPr>
              <w:t>项目风险物质详见表</w:t>
            </w:r>
            <w:r>
              <w:rPr>
                <w:rFonts w:hint="eastAsia" w:ascii="Times New Roman" w:hAnsi="Times New Roman" w:cs="Times New Roman"/>
                <w:color w:val="auto"/>
                <w:spacing w:val="4"/>
                <w:kern w:val="0"/>
                <w:sz w:val="24"/>
                <w:highlight w:val="none"/>
                <w:lang w:val="en-US" w:eastAsia="zh-CN"/>
              </w:rPr>
              <w:t>4.8-1</w:t>
            </w:r>
            <w:r>
              <w:rPr>
                <w:rFonts w:hint="default" w:ascii="Times New Roman" w:hAnsi="Times New Roman" w:cs="Times New Roman"/>
                <w:color w:val="auto"/>
                <w:spacing w:val="4"/>
                <w:kern w:val="0"/>
                <w:sz w:val="24"/>
                <w:highlight w:val="none"/>
              </w:rPr>
              <w:t>。</w:t>
            </w:r>
          </w:p>
          <w:p w14:paraId="0A057A1C">
            <w:pPr>
              <w:pStyle w:val="74"/>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宋体" w:cs="Times New Roman"/>
                <w:b/>
                <w:bCs/>
                <w:color w:val="auto"/>
                <w:kern w:val="2"/>
                <w:sz w:val="21"/>
                <w:szCs w:val="21"/>
                <w:highlight w:val="none"/>
                <w:lang w:val="en-US" w:eastAsia="zh-CN"/>
              </w:rPr>
            </w:pPr>
            <w:r>
              <w:rPr>
                <w:rFonts w:hint="eastAsia" w:ascii="Times New Roman" w:hAnsi="Times New Roman" w:eastAsia="宋体" w:cs="Times New Roman"/>
                <w:b/>
                <w:bCs/>
                <w:color w:val="auto"/>
                <w:kern w:val="2"/>
                <w:sz w:val="21"/>
                <w:szCs w:val="21"/>
                <w:highlight w:val="none"/>
                <w:lang w:val="zh-CN" w:eastAsia="zh-CN"/>
              </w:rPr>
              <w:t>表</w:t>
            </w:r>
            <w:r>
              <w:rPr>
                <w:rFonts w:hint="eastAsia" w:ascii="Times New Roman" w:hAnsi="Times New Roman" w:eastAsia="宋体" w:cs="Times New Roman"/>
                <w:b/>
                <w:bCs/>
                <w:color w:val="auto"/>
                <w:kern w:val="2"/>
                <w:sz w:val="21"/>
                <w:szCs w:val="21"/>
                <w:highlight w:val="none"/>
                <w:lang w:val="en-US" w:eastAsia="zh-CN"/>
              </w:rPr>
              <w:t>4.</w:t>
            </w:r>
            <w:r>
              <w:rPr>
                <w:rFonts w:hint="eastAsia" w:ascii="Times New Roman" w:hAnsi="Times New Roman" w:cs="Times New Roman"/>
                <w:b/>
                <w:bCs/>
                <w:color w:val="auto"/>
                <w:kern w:val="2"/>
                <w:sz w:val="21"/>
                <w:szCs w:val="21"/>
                <w:highlight w:val="none"/>
                <w:lang w:val="en-US" w:eastAsia="zh-CN"/>
              </w:rPr>
              <w:t>8</w:t>
            </w:r>
            <w:r>
              <w:rPr>
                <w:rFonts w:hint="eastAsia" w:ascii="Times New Roman" w:hAnsi="Times New Roman" w:eastAsia="宋体" w:cs="Times New Roman"/>
                <w:b/>
                <w:bCs/>
                <w:color w:val="auto"/>
                <w:kern w:val="2"/>
                <w:sz w:val="21"/>
                <w:szCs w:val="21"/>
                <w:highlight w:val="none"/>
                <w:lang w:val="en-US" w:eastAsia="zh-CN"/>
              </w:rPr>
              <w:t>-1   项目风险物质数量与临界量比值表</w:t>
            </w:r>
          </w:p>
          <w:tbl>
            <w:tblPr>
              <w:tblStyle w:val="35"/>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Layout w:type="fixed"/>
              <w:tblCellMar>
                <w:top w:w="0" w:type="dxa"/>
                <w:left w:w="108" w:type="dxa"/>
                <w:bottom w:w="0" w:type="dxa"/>
                <w:right w:w="108" w:type="dxa"/>
              </w:tblCellMar>
            </w:tblPr>
            <w:tblGrid>
              <w:gridCol w:w="643"/>
              <w:gridCol w:w="1727"/>
              <w:gridCol w:w="994"/>
              <w:gridCol w:w="1694"/>
              <w:gridCol w:w="1730"/>
              <w:gridCol w:w="1323"/>
              <w:gridCol w:w="1150"/>
            </w:tblGrid>
            <w:tr w14:paraId="37A8F6C4">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0" w:hRule="atLeast"/>
                <w:jc w:val="center"/>
              </w:trPr>
              <w:tc>
                <w:tcPr>
                  <w:tcW w:w="643" w:type="dxa"/>
                  <w:tcBorders>
                    <w:tl2br w:val="nil"/>
                    <w:tr2bl w:val="nil"/>
                  </w:tcBorders>
                  <w:noWrap w:val="0"/>
                  <w:vAlign w:val="center"/>
                </w:tcPr>
                <w:p w14:paraId="0EBAC891">
                  <w:pPr>
                    <w:pStyle w:val="131"/>
                    <w:keepNext w:val="0"/>
                    <w:keepLines w:val="0"/>
                    <w:pageBreakBefore w:val="0"/>
                    <w:widowControl w:val="0"/>
                    <w:kinsoku/>
                    <w:wordWrap/>
                    <w:overflowPunct/>
                    <w:topLinePunct w:val="0"/>
                    <w:autoSpaceDE/>
                    <w:autoSpaceDN/>
                    <w:bidi w:val="0"/>
                    <w:adjustRightInd/>
                    <w:snapToGrid w:val="0"/>
                    <w:spacing w:before="0" w:after="0" w:line="240" w:lineRule="auto"/>
                    <w:textAlignment w:val="baseline"/>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序号</w:t>
                  </w:r>
                </w:p>
              </w:tc>
              <w:tc>
                <w:tcPr>
                  <w:tcW w:w="1727" w:type="dxa"/>
                  <w:tcBorders>
                    <w:tl2br w:val="nil"/>
                    <w:tr2bl w:val="nil"/>
                  </w:tcBorders>
                  <w:noWrap w:val="0"/>
                  <w:vAlign w:val="center"/>
                </w:tcPr>
                <w:p w14:paraId="306387BF">
                  <w:pPr>
                    <w:pStyle w:val="131"/>
                    <w:keepNext w:val="0"/>
                    <w:keepLines w:val="0"/>
                    <w:pageBreakBefore w:val="0"/>
                    <w:widowControl w:val="0"/>
                    <w:kinsoku/>
                    <w:wordWrap/>
                    <w:overflowPunct/>
                    <w:topLinePunct w:val="0"/>
                    <w:autoSpaceDE/>
                    <w:autoSpaceDN/>
                    <w:bidi w:val="0"/>
                    <w:adjustRightInd/>
                    <w:snapToGrid w:val="0"/>
                    <w:spacing w:before="0" w:after="0" w:line="240" w:lineRule="auto"/>
                    <w:textAlignment w:val="baseline"/>
                    <w:rPr>
                      <w:rFonts w:hint="eastAsia" w:ascii="Times New Roman" w:hAnsi="Times New Roman" w:eastAsia="宋体" w:cs="Times New Roman"/>
                      <w:b/>
                      <w:bCs/>
                      <w:color w:val="auto"/>
                      <w:highlight w:val="none"/>
                      <w:lang w:eastAsia="zh-CN"/>
                    </w:rPr>
                  </w:pPr>
                  <w:r>
                    <w:rPr>
                      <w:rFonts w:hint="eastAsia" w:ascii="Times New Roman" w:hAnsi="Times New Roman" w:eastAsia="宋体" w:cs="Times New Roman"/>
                      <w:b/>
                      <w:bCs/>
                      <w:color w:val="auto"/>
                      <w:highlight w:val="none"/>
                      <w:lang w:eastAsia="zh-CN"/>
                    </w:rPr>
                    <w:t>风险物质名称</w:t>
                  </w:r>
                </w:p>
              </w:tc>
              <w:tc>
                <w:tcPr>
                  <w:tcW w:w="994" w:type="dxa"/>
                  <w:tcBorders>
                    <w:tl2br w:val="nil"/>
                    <w:tr2bl w:val="nil"/>
                  </w:tcBorders>
                  <w:noWrap w:val="0"/>
                  <w:vAlign w:val="center"/>
                </w:tcPr>
                <w:p w14:paraId="5AFCA857">
                  <w:pPr>
                    <w:pStyle w:val="131"/>
                    <w:keepNext w:val="0"/>
                    <w:keepLines w:val="0"/>
                    <w:pageBreakBefore w:val="0"/>
                    <w:widowControl w:val="0"/>
                    <w:kinsoku/>
                    <w:wordWrap/>
                    <w:overflowPunct/>
                    <w:topLinePunct w:val="0"/>
                    <w:autoSpaceDE/>
                    <w:autoSpaceDN/>
                    <w:bidi w:val="0"/>
                    <w:adjustRightInd/>
                    <w:snapToGrid w:val="0"/>
                    <w:spacing w:before="0" w:after="0" w:line="240" w:lineRule="auto"/>
                    <w:textAlignment w:val="baseline"/>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CAS号</w:t>
                  </w:r>
                </w:p>
              </w:tc>
              <w:tc>
                <w:tcPr>
                  <w:tcW w:w="1694" w:type="dxa"/>
                  <w:tcBorders>
                    <w:tl2br w:val="nil"/>
                    <w:tr2bl w:val="nil"/>
                  </w:tcBorders>
                  <w:noWrap w:val="0"/>
                  <w:vAlign w:val="center"/>
                </w:tcPr>
                <w:p w14:paraId="2BFB0F3B">
                  <w:pPr>
                    <w:pStyle w:val="131"/>
                    <w:keepNext w:val="0"/>
                    <w:keepLines w:val="0"/>
                    <w:pageBreakBefore w:val="0"/>
                    <w:widowControl w:val="0"/>
                    <w:kinsoku/>
                    <w:wordWrap/>
                    <w:overflowPunct/>
                    <w:topLinePunct w:val="0"/>
                    <w:autoSpaceDE/>
                    <w:autoSpaceDN/>
                    <w:bidi w:val="0"/>
                    <w:adjustRightInd/>
                    <w:snapToGrid w:val="0"/>
                    <w:spacing w:before="0" w:after="0" w:line="240" w:lineRule="auto"/>
                    <w:textAlignment w:val="baseline"/>
                    <w:rPr>
                      <w:rFonts w:hint="eastAsia" w:ascii="Times New Roman" w:hAnsi="Times New Roman" w:eastAsia="宋体" w:cs="Times New Roman"/>
                      <w:b/>
                      <w:bCs/>
                      <w:color w:val="auto"/>
                      <w:highlight w:val="none"/>
                      <w:lang w:eastAsia="zh-CN"/>
                    </w:rPr>
                  </w:pPr>
                  <w:r>
                    <w:rPr>
                      <w:rFonts w:hint="eastAsia" w:ascii="Times New Roman" w:hAnsi="Times New Roman" w:eastAsia="宋体" w:cs="Times New Roman"/>
                      <w:b/>
                      <w:bCs/>
                      <w:color w:val="auto"/>
                      <w:highlight w:val="none"/>
                      <w:lang w:eastAsia="zh-CN"/>
                    </w:rPr>
                    <w:t>储存位置</w:t>
                  </w:r>
                </w:p>
              </w:tc>
              <w:tc>
                <w:tcPr>
                  <w:tcW w:w="1730" w:type="dxa"/>
                  <w:tcBorders>
                    <w:tl2br w:val="nil"/>
                    <w:tr2bl w:val="nil"/>
                  </w:tcBorders>
                  <w:noWrap w:val="0"/>
                  <w:vAlign w:val="center"/>
                </w:tcPr>
                <w:p w14:paraId="56ABAED1">
                  <w:pPr>
                    <w:pStyle w:val="131"/>
                    <w:keepNext w:val="0"/>
                    <w:keepLines w:val="0"/>
                    <w:pageBreakBefore w:val="0"/>
                    <w:widowControl w:val="0"/>
                    <w:kinsoku/>
                    <w:wordWrap/>
                    <w:overflowPunct/>
                    <w:topLinePunct w:val="0"/>
                    <w:autoSpaceDE/>
                    <w:autoSpaceDN/>
                    <w:bidi w:val="0"/>
                    <w:adjustRightInd/>
                    <w:snapToGrid w:val="0"/>
                    <w:spacing w:before="0" w:after="0" w:line="240" w:lineRule="auto"/>
                    <w:textAlignment w:val="baseline"/>
                    <w:rPr>
                      <w:rFonts w:hint="eastAsia" w:ascii="Times New Roman" w:hAnsi="Times New Roman" w:eastAsia="宋体" w:cs="Times New Roman"/>
                      <w:b/>
                      <w:bCs/>
                      <w:color w:val="auto"/>
                      <w:highlight w:val="none"/>
                      <w:lang w:eastAsia="zh-CN"/>
                    </w:rPr>
                  </w:pPr>
                  <w:r>
                    <w:rPr>
                      <w:rFonts w:hint="eastAsia" w:ascii="Times New Roman" w:hAnsi="Times New Roman" w:eastAsia="宋体" w:cs="Times New Roman"/>
                      <w:b/>
                      <w:bCs/>
                      <w:color w:val="auto"/>
                      <w:highlight w:val="none"/>
                      <w:lang w:eastAsia="zh-CN"/>
                    </w:rPr>
                    <w:t>最大存在量（</w:t>
                  </w:r>
                  <w:r>
                    <w:rPr>
                      <w:rFonts w:hint="eastAsia" w:ascii="Times New Roman" w:hAnsi="Times New Roman" w:eastAsia="宋体" w:cs="Times New Roman"/>
                      <w:b/>
                      <w:bCs/>
                      <w:color w:val="auto"/>
                      <w:highlight w:val="none"/>
                      <w:lang w:val="en-US" w:eastAsia="zh-CN"/>
                    </w:rPr>
                    <w:t>t</w:t>
                  </w:r>
                  <w:r>
                    <w:rPr>
                      <w:rFonts w:hint="eastAsia" w:ascii="Times New Roman" w:hAnsi="Times New Roman" w:eastAsia="宋体" w:cs="Times New Roman"/>
                      <w:b/>
                      <w:bCs/>
                      <w:color w:val="auto"/>
                      <w:highlight w:val="none"/>
                      <w:lang w:eastAsia="zh-CN"/>
                    </w:rPr>
                    <w:t>）</w:t>
                  </w:r>
                </w:p>
              </w:tc>
              <w:tc>
                <w:tcPr>
                  <w:tcW w:w="1323" w:type="dxa"/>
                  <w:tcBorders>
                    <w:tl2br w:val="nil"/>
                    <w:tr2bl w:val="nil"/>
                  </w:tcBorders>
                  <w:noWrap w:val="0"/>
                  <w:vAlign w:val="center"/>
                </w:tcPr>
                <w:p w14:paraId="0F223172">
                  <w:pPr>
                    <w:pStyle w:val="131"/>
                    <w:keepNext w:val="0"/>
                    <w:keepLines w:val="0"/>
                    <w:pageBreakBefore w:val="0"/>
                    <w:widowControl w:val="0"/>
                    <w:kinsoku/>
                    <w:wordWrap/>
                    <w:overflowPunct/>
                    <w:topLinePunct w:val="0"/>
                    <w:autoSpaceDE/>
                    <w:autoSpaceDN/>
                    <w:bidi w:val="0"/>
                    <w:adjustRightInd/>
                    <w:snapToGrid w:val="0"/>
                    <w:spacing w:before="0" w:after="0" w:line="240" w:lineRule="auto"/>
                    <w:textAlignment w:val="baseline"/>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临界量（t）</w:t>
                  </w:r>
                </w:p>
              </w:tc>
              <w:tc>
                <w:tcPr>
                  <w:tcW w:w="1150" w:type="dxa"/>
                  <w:tcBorders>
                    <w:tl2br w:val="nil"/>
                    <w:tr2bl w:val="nil"/>
                  </w:tcBorders>
                  <w:noWrap w:val="0"/>
                  <w:vAlign w:val="center"/>
                </w:tcPr>
                <w:p w14:paraId="0BD2DC66">
                  <w:pPr>
                    <w:pStyle w:val="131"/>
                    <w:keepNext w:val="0"/>
                    <w:keepLines w:val="0"/>
                    <w:pageBreakBefore w:val="0"/>
                    <w:widowControl w:val="0"/>
                    <w:kinsoku/>
                    <w:wordWrap/>
                    <w:overflowPunct/>
                    <w:topLinePunct w:val="0"/>
                    <w:autoSpaceDE/>
                    <w:autoSpaceDN/>
                    <w:bidi w:val="0"/>
                    <w:adjustRightInd/>
                    <w:snapToGrid w:val="0"/>
                    <w:spacing w:before="0" w:after="0" w:line="240" w:lineRule="auto"/>
                    <w:textAlignment w:val="baseline"/>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eastAsia="zh-CN"/>
                    </w:rPr>
                    <w:t>比值</w:t>
                  </w:r>
                  <w:r>
                    <w:rPr>
                      <w:rFonts w:hint="eastAsia" w:ascii="Times New Roman" w:hAnsi="Times New Roman" w:eastAsia="宋体" w:cs="Times New Roman"/>
                      <w:b/>
                      <w:bCs/>
                      <w:color w:val="auto"/>
                      <w:highlight w:val="none"/>
                      <w:lang w:val="en-US" w:eastAsia="zh-CN"/>
                    </w:rPr>
                    <w:t>Q</w:t>
                  </w:r>
                </w:p>
              </w:tc>
            </w:tr>
            <w:tr w14:paraId="12752D29">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0" w:hRule="atLeast"/>
                <w:jc w:val="center"/>
              </w:trPr>
              <w:tc>
                <w:tcPr>
                  <w:tcW w:w="643" w:type="dxa"/>
                  <w:tcBorders>
                    <w:tl2br w:val="nil"/>
                    <w:tr2bl w:val="nil"/>
                  </w:tcBorders>
                  <w:noWrap w:val="0"/>
                  <w:vAlign w:val="center"/>
                </w:tcPr>
                <w:p w14:paraId="74528C2E">
                  <w:pPr>
                    <w:pStyle w:val="131"/>
                    <w:keepNext w:val="0"/>
                    <w:keepLines w:val="0"/>
                    <w:pageBreakBefore w:val="0"/>
                    <w:widowControl w:val="0"/>
                    <w:kinsoku/>
                    <w:wordWrap/>
                    <w:overflowPunct/>
                    <w:topLinePunct w:val="0"/>
                    <w:autoSpaceDE/>
                    <w:autoSpaceDN/>
                    <w:bidi w:val="0"/>
                    <w:adjustRightInd/>
                    <w:snapToGrid w:val="0"/>
                    <w:spacing w:before="0" w:after="0" w:line="240" w:lineRule="auto"/>
                    <w:textAlignment w:val="baseline"/>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1</w:t>
                  </w:r>
                </w:p>
              </w:tc>
              <w:tc>
                <w:tcPr>
                  <w:tcW w:w="1727" w:type="dxa"/>
                  <w:tcBorders>
                    <w:tl2br w:val="nil"/>
                    <w:tr2bl w:val="nil"/>
                  </w:tcBorders>
                  <w:noWrap w:val="0"/>
                  <w:vAlign w:val="center"/>
                </w:tcPr>
                <w:p w14:paraId="175673F7">
                  <w:pPr>
                    <w:pStyle w:val="131"/>
                    <w:keepNext w:val="0"/>
                    <w:keepLines w:val="0"/>
                    <w:pageBreakBefore w:val="0"/>
                    <w:widowControl w:val="0"/>
                    <w:kinsoku/>
                    <w:wordWrap/>
                    <w:overflowPunct/>
                    <w:topLinePunct w:val="0"/>
                    <w:autoSpaceDE/>
                    <w:autoSpaceDN/>
                    <w:bidi w:val="0"/>
                    <w:adjustRightInd/>
                    <w:snapToGrid w:val="0"/>
                    <w:spacing w:before="0" w:after="0" w:line="240" w:lineRule="auto"/>
                    <w:textAlignment w:val="baseline"/>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kern w:val="2"/>
                      <w:sz w:val="21"/>
                      <w:szCs w:val="21"/>
                      <w:highlight w:val="none"/>
                      <w:lang w:val="en-US" w:eastAsia="zh-CN" w:bidi="ar-SA"/>
                    </w:rPr>
                    <w:t>汽油</w:t>
                  </w:r>
                </w:p>
              </w:tc>
              <w:tc>
                <w:tcPr>
                  <w:tcW w:w="994" w:type="dxa"/>
                  <w:tcBorders>
                    <w:tl2br w:val="nil"/>
                    <w:tr2bl w:val="nil"/>
                  </w:tcBorders>
                  <w:noWrap w:val="0"/>
                  <w:vAlign w:val="center"/>
                </w:tcPr>
                <w:p w14:paraId="78447505">
                  <w:pPr>
                    <w:pStyle w:val="131"/>
                    <w:keepNext w:val="0"/>
                    <w:keepLines w:val="0"/>
                    <w:pageBreakBefore w:val="0"/>
                    <w:widowControl w:val="0"/>
                    <w:kinsoku/>
                    <w:wordWrap/>
                    <w:overflowPunct/>
                    <w:topLinePunct w:val="0"/>
                    <w:autoSpaceDE/>
                    <w:autoSpaceDN/>
                    <w:bidi w:val="0"/>
                    <w:adjustRightInd/>
                    <w:snapToGrid w:val="0"/>
                    <w:spacing w:before="0" w:after="0" w:line="240" w:lineRule="auto"/>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1694" w:type="dxa"/>
                  <w:tcBorders>
                    <w:tl2br w:val="nil"/>
                    <w:tr2bl w:val="nil"/>
                  </w:tcBorders>
                  <w:noWrap w:val="0"/>
                  <w:vAlign w:val="center"/>
                </w:tcPr>
                <w:p w14:paraId="14BEE210">
                  <w:pPr>
                    <w:pStyle w:val="131"/>
                    <w:keepNext w:val="0"/>
                    <w:keepLines w:val="0"/>
                    <w:pageBreakBefore w:val="0"/>
                    <w:widowControl w:val="0"/>
                    <w:kinsoku/>
                    <w:wordWrap/>
                    <w:overflowPunct/>
                    <w:topLinePunct w:val="0"/>
                    <w:autoSpaceDE/>
                    <w:autoSpaceDN/>
                    <w:bidi w:val="0"/>
                    <w:adjustRightInd/>
                    <w:snapToGrid w:val="0"/>
                    <w:spacing w:before="0" w:after="0" w:line="240" w:lineRule="auto"/>
                    <w:textAlignment w:val="baseline"/>
                    <w:rPr>
                      <w:rFonts w:hint="default" w:cs="Times New Roman"/>
                      <w:color w:val="auto"/>
                      <w:highlight w:val="none"/>
                      <w:lang w:val="en-US" w:eastAsia="zh-CN"/>
                    </w:rPr>
                  </w:pPr>
                  <w:r>
                    <w:rPr>
                      <w:rFonts w:hint="eastAsia"/>
                      <w:lang w:val="en-US" w:eastAsia="zh-CN"/>
                    </w:rPr>
                    <w:t>储</w:t>
                  </w:r>
                  <w:r>
                    <w:rPr>
                      <w:rFonts w:hint="eastAsia"/>
                    </w:rPr>
                    <w:t>罐区</w:t>
                  </w:r>
                </w:p>
              </w:tc>
              <w:tc>
                <w:tcPr>
                  <w:tcW w:w="1730" w:type="dxa"/>
                  <w:tcBorders>
                    <w:tl2br w:val="nil"/>
                    <w:tr2bl w:val="nil"/>
                  </w:tcBorders>
                  <w:noWrap w:val="0"/>
                  <w:vAlign w:val="center"/>
                </w:tcPr>
                <w:p w14:paraId="44C6B918">
                  <w:pPr>
                    <w:pStyle w:val="131"/>
                    <w:keepNext w:val="0"/>
                    <w:keepLines w:val="0"/>
                    <w:pageBreakBefore w:val="0"/>
                    <w:widowControl w:val="0"/>
                    <w:kinsoku/>
                    <w:wordWrap/>
                    <w:overflowPunct/>
                    <w:topLinePunct w:val="0"/>
                    <w:autoSpaceDE/>
                    <w:autoSpaceDN/>
                    <w:bidi w:val="0"/>
                    <w:adjustRightInd/>
                    <w:snapToGrid w:val="0"/>
                    <w:spacing w:before="0" w:after="0" w:line="240" w:lineRule="auto"/>
                    <w:textAlignment w:val="baseline"/>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37.485</w:t>
                  </w:r>
                </w:p>
              </w:tc>
              <w:tc>
                <w:tcPr>
                  <w:tcW w:w="1323" w:type="dxa"/>
                  <w:tcBorders>
                    <w:tl2br w:val="nil"/>
                    <w:tr2bl w:val="nil"/>
                  </w:tcBorders>
                  <w:noWrap w:val="0"/>
                  <w:vAlign w:val="center"/>
                </w:tcPr>
                <w:p w14:paraId="0CDB2A4A">
                  <w:pPr>
                    <w:pStyle w:val="131"/>
                    <w:keepNext w:val="0"/>
                    <w:keepLines w:val="0"/>
                    <w:pageBreakBefore w:val="0"/>
                    <w:widowControl w:val="0"/>
                    <w:kinsoku/>
                    <w:wordWrap/>
                    <w:overflowPunct/>
                    <w:topLinePunct w:val="0"/>
                    <w:autoSpaceDE/>
                    <w:autoSpaceDN/>
                    <w:bidi w:val="0"/>
                    <w:adjustRightInd/>
                    <w:snapToGrid w:val="0"/>
                    <w:spacing w:before="0" w:after="0" w:line="240" w:lineRule="auto"/>
                    <w:textAlignment w:val="baseline"/>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2500</w:t>
                  </w:r>
                </w:p>
              </w:tc>
              <w:tc>
                <w:tcPr>
                  <w:tcW w:w="1150" w:type="dxa"/>
                  <w:tcBorders>
                    <w:tl2br w:val="nil"/>
                    <w:tr2bl w:val="nil"/>
                  </w:tcBorders>
                  <w:noWrap w:val="0"/>
                  <w:vAlign w:val="center"/>
                </w:tcPr>
                <w:p w14:paraId="69CEDF04">
                  <w:pPr>
                    <w:pStyle w:val="131"/>
                    <w:keepNext w:val="0"/>
                    <w:keepLines w:val="0"/>
                    <w:pageBreakBefore w:val="0"/>
                    <w:widowControl w:val="0"/>
                    <w:kinsoku/>
                    <w:wordWrap/>
                    <w:overflowPunct/>
                    <w:topLinePunct w:val="0"/>
                    <w:autoSpaceDE/>
                    <w:autoSpaceDN/>
                    <w:bidi w:val="0"/>
                    <w:adjustRightInd/>
                    <w:snapToGrid w:val="0"/>
                    <w:spacing w:before="0" w:after="0" w:line="240" w:lineRule="auto"/>
                    <w:textAlignment w:val="baseline"/>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0.014994</w:t>
                  </w:r>
                </w:p>
              </w:tc>
            </w:tr>
            <w:tr w14:paraId="70B7884E">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212" w:hRule="atLeast"/>
                <w:jc w:val="center"/>
              </w:trPr>
              <w:tc>
                <w:tcPr>
                  <w:tcW w:w="643" w:type="dxa"/>
                  <w:tcBorders>
                    <w:tl2br w:val="nil"/>
                    <w:tr2bl w:val="nil"/>
                  </w:tcBorders>
                  <w:noWrap w:val="0"/>
                  <w:vAlign w:val="center"/>
                </w:tcPr>
                <w:p w14:paraId="3EF066EC">
                  <w:pPr>
                    <w:pStyle w:val="131"/>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baseline"/>
                    <w:rPr>
                      <w:rFonts w:hint="default" w:cs="Times New Roman"/>
                      <w:color w:val="auto"/>
                      <w:highlight w:val="none"/>
                      <w:lang w:val="en-US" w:eastAsia="zh-CN"/>
                    </w:rPr>
                  </w:pPr>
                  <w:r>
                    <w:rPr>
                      <w:rFonts w:hint="eastAsia" w:cs="Times New Roman"/>
                      <w:color w:val="auto"/>
                      <w:highlight w:val="none"/>
                      <w:lang w:val="en-US" w:eastAsia="zh-CN"/>
                    </w:rPr>
                    <w:t>2</w:t>
                  </w:r>
                </w:p>
              </w:tc>
              <w:tc>
                <w:tcPr>
                  <w:tcW w:w="1727" w:type="dxa"/>
                  <w:tcBorders>
                    <w:tl2br w:val="nil"/>
                    <w:tr2bl w:val="nil"/>
                  </w:tcBorders>
                  <w:noWrap w:val="0"/>
                  <w:vAlign w:val="center"/>
                </w:tcPr>
                <w:p w14:paraId="094AE338">
                  <w:pPr>
                    <w:pStyle w:val="131"/>
                    <w:keepNext w:val="0"/>
                    <w:keepLines w:val="0"/>
                    <w:pageBreakBefore w:val="0"/>
                    <w:widowControl w:val="0"/>
                    <w:kinsoku/>
                    <w:wordWrap/>
                    <w:overflowPunct/>
                    <w:topLinePunct w:val="0"/>
                    <w:autoSpaceDE/>
                    <w:autoSpaceDN/>
                    <w:bidi w:val="0"/>
                    <w:adjustRightInd/>
                    <w:snapToGrid w:val="0"/>
                    <w:spacing w:before="0" w:after="0" w:line="240" w:lineRule="auto"/>
                    <w:textAlignment w:val="baseline"/>
                    <w:rPr>
                      <w:rFonts w:hint="default" w:cs="Times New Roman"/>
                      <w:color w:val="auto"/>
                      <w:highlight w:val="none"/>
                      <w:lang w:val="en-US" w:eastAsia="zh-CN"/>
                    </w:rPr>
                  </w:pPr>
                  <w:r>
                    <w:rPr>
                      <w:rFonts w:hint="eastAsia" w:cs="Times New Roman"/>
                      <w:color w:val="auto"/>
                      <w:highlight w:val="none"/>
                      <w:lang w:val="en-US" w:eastAsia="zh-CN"/>
                    </w:rPr>
                    <w:t>柴油</w:t>
                  </w:r>
                </w:p>
              </w:tc>
              <w:tc>
                <w:tcPr>
                  <w:tcW w:w="994" w:type="dxa"/>
                  <w:tcBorders>
                    <w:tl2br w:val="nil"/>
                    <w:tr2bl w:val="nil"/>
                  </w:tcBorders>
                  <w:noWrap w:val="0"/>
                  <w:vAlign w:val="center"/>
                </w:tcPr>
                <w:p w14:paraId="05D6EC38">
                  <w:pPr>
                    <w:pStyle w:val="131"/>
                    <w:keepNext w:val="0"/>
                    <w:keepLines w:val="0"/>
                    <w:pageBreakBefore w:val="0"/>
                    <w:widowControl w:val="0"/>
                    <w:kinsoku/>
                    <w:wordWrap/>
                    <w:overflowPunct/>
                    <w:topLinePunct w:val="0"/>
                    <w:autoSpaceDE/>
                    <w:autoSpaceDN/>
                    <w:bidi w:val="0"/>
                    <w:adjustRightInd/>
                    <w:snapToGrid w:val="0"/>
                    <w:spacing w:before="0" w:after="0" w:line="240" w:lineRule="auto"/>
                    <w:textAlignment w:val="baseline"/>
                    <w:rPr>
                      <w:rFonts w:hint="eastAsia" w:cs="Times New Roman"/>
                      <w:color w:val="auto"/>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w:t>
                  </w:r>
                </w:p>
              </w:tc>
              <w:tc>
                <w:tcPr>
                  <w:tcW w:w="1694" w:type="dxa"/>
                  <w:tcBorders>
                    <w:tl2br w:val="nil"/>
                    <w:tr2bl w:val="nil"/>
                  </w:tcBorders>
                  <w:noWrap w:val="0"/>
                  <w:vAlign w:val="center"/>
                </w:tcPr>
                <w:p w14:paraId="6545AD04">
                  <w:pPr>
                    <w:pStyle w:val="131"/>
                    <w:keepNext w:val="0"/>
                    <w:keepLines w:val="0"/>
                    <w:pageBreakBefore w:val="0"/>
                    <w:widowControl w:val="0"/>
                    <w:kinsoku/>
                    <w:wordWrap/>
                    <w:overflowPunct/>
                    <w:topLinePunct w:val="0"/>
                    <w:autoSpaceDE/>
                    <w:autoSpaceDN/>
                    <w:bidi w:val="0"/>
                    <w:adjustRightInd/>
                    <w:snapToGrid w:val="0"/>
                    <w:spacing w:before="0" w:after="0" w:line="240" w:lineRule="auto"/>
                    <w:textAlignment w:val="baseline"/>
                    <w:rPr>
                      <w:rFonts w:hint="default" w:cs="Times New Roman"/>
                      <w:color w:val="auto"/>
                      <w:highlight w:val="none"/>
                      <w:lang w:val="en-US" w:eastAsia="zh-CN"/>
                    </w:rPr>
                  </w:pPr>
                  <w:r>
                    <w:rPr>
                      <w:rFonts w:hint="eastAsia"/>
                      <w:lang w:val="en-US" w:eastAsia="zh-CN"/>
                    </w:rPr>
                    <w:t>储</w:t>
                  </w:r>
                  <w:r>
                    <w:rPr>
                      <w:rFonts w:hint="eastAsia"/>
                    </w:rPr>
                    <w:t>罐区</w:t>
                  </w:r>
                </w:p>
              </w:tc>
              <w:tc>
                <w:tcPr>
                  <w:tcW w:w="1730" w:type="dxa"/>
                  <w:tcBorders>
                    <w:tl2br w:val="nil"/>
                    <w:tr2bl w:val="nil"/>
                  </w:tcBorders>
                  <w:noWrap w:val="0"/>
                  <w:vAlign w:val="center"/>
                </w:tcPr>
                <w:p w14:paraId="2A037FD9">
                  <w:pPr>
                    <w:pStyle w:val="131"/>
                    <w:keepNext w:val="0"/>
                    <w:keepLines w:val="0"/>
                    <w:pageBreakBefore w:val="0"/>
                    <w:widowControl w:val="0"/>
                    <w:kinsoku/>
                    <w:wordWrap/>
                    <w:overflowPunct/>
                    <w:topLinePunct w:val="0"/>
                    <w:autoSpaceDE/>
                    <w:autoSpaceDN/>
                    <w:bidi w:val="0"/>
                    <w:adjustRightInd/>
                    <w:snapToGrid w:val="0"/>
                    <w:spacing w:before="0" w:after="0" w:line="240" w:lineRule="auto"/>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71.40</w:t>
                  </w:r>
                </w:p>
              </w:tc>
              <w:tc>
                <w:tcPr>
                  <w:tcW w:w="1323" w:type="dxa"/>
                  <w:tcBorders>
                    <w:tl2br w:val="nil"/>
                    <w:tr2bl w:val="nil"/>
                  </w:tcBorders>
                  <w:noWrap w:val="0"/>
                  <w:vAlign w:val="center"/>
                </w:tcPr>
                <w:p w14:paraId="770448FA">
                  <w:pPr>
                    <w:pStyle w:val="131"/>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baseline"/>
                    <w:rPr>
                      <w:rFonts w:hint="default" w:cs="Times New Roman"/>
                      <w:color w:val="auto"/>
                      <w:highlight w:val="none"/>
                      <w:lang w:val="en-US" w:eastAsia="zh-CN"/>
                    </w:rPr>
                  </w:pPr>
                  <w:r>
                    <w:rPr>
                      <w:rFonts w:hint="eastAsia" w:ascii="Times New Roman" w:hAnsi="Times New Roman" w:eastAsia="宋体" w:cs="Times New Roman"/>
                      <w:color w:val="auto"/>
                      <w:highlight w:val="none"/>
                      <w:lang w:val="en-US" w:eastAsia="zh-CN"/>
                    </w:rPr>
                    <w:t>2500</w:t>
                  </w:r>
                </w:p>
              </w:tc>
              <w:tc>
                <w:tcPr>
                  <w:tcW w:w="1150" w:type="dxa"/>
                  <w:tcBorders>
                    <w:tl2br w:val="nil"/>
                    <w:tr2bl w:val="nil"/>
                  </w:tcBorders>
                  <w:noWrap w:val="0"/>
                  <w:vAlign w:val="center"/>
                </w:tcPr>
                <w:p w14:paraId="0E4F11C3">
                  <w:pPr>
                    <w:pStyle w:val="131"/>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baseline"/>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0.02856</w:t>
                  </w:r>
                </w:p>
              </w:tc>
            </w:tr>
            <w:tr w14:paraId="4F4BFF8E">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136" w:hRule="atLeast"/>
                <w:jc w:val="center"/>
              </w:trPr>
              <w:tc>
                <w:tcPr>
                  <w:tcW w:w="643" w:type="dxa"/>
                  <w:tcBorders>
                    <w:tl2br w:val="nil"/>
                    <w:tr2bl w:val="nil"/>
                  </w:tcBorders>
                  <w:noWrap w:val="0"/>
                  <w:vAlign w:val="center"/>
                </w:tcPr>
                <w:p w14:paraId="03F197CB">
                  <w:pPr>
                    <w:pStyle w:val="131"/>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baseline"/>
                    <w:rPr>
                      <w:rFonts w:hint="default" w:cs="Times New Roman"/>
                      <w:color w:val="auto"/>
                      <w:highlight w:val="none"/>
                      <w:lang w:val="en-US" w:eastAsia="zh-CN"/>
                    </w:rPr>
                  </w:pPr>
                  <w:r>
                    <w:rPr>
                      <w:rFonts w:hint="eastAsia" w:cs="Times New Roman"/>
                      <w:color w:val="auto"/>
                      <w:highlight w:val="none"/>
                      <w:lang w:val="en-US" w:eastAsia="zh-CN"/>
                    </w:rPr>
                    <w:t>3</w:t>
                  </w:r>
                </w:p>
              </w:tc>
              <w:tc>
                <w:tcPr>
                  <w:tcW w:w="1727" w:type="dxa"/>
                  <w:tcBorders>
                    <w:tl2br w:val="nil"/>
                    <w:tr2bl w:val="nil"/>
                  </w:tcBorders>
                  <w:noWrap w:val="0"/>
                  <w:vAlign w:val="center"/>
                </w:tcPr>
                <w:p w14:paraId="14506FB7">
                  <w:pPr>
                    <w:pStyle w:val="131"/>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baseline"/>
                    <w:rPr>
                      <w:rFonts w:hint="eastAsia" w:cs="Times New Roman"/>
                      <w:color w:val="auto"/>
                      <w:highlight w:val="none"/>
                      <w:lang w:val="en-US" w:eastAsia="zh-CN"/>
                    </w:rPr>
                  </w:pPr>
                  <w:r>
                    <w:rPr>
                      <w:rFonts w:hint="eastAsia" w:cs="Times New Roman"/>
                      <w:color w:val="auto"/>
                      <w:highlight w:val="none"/>
                      <w:lang w:val="en-US" w:eastAsia="zh-CN"/>
                    </w:rPr>
                    <w:t>废吸油毡</w:t>
                  </w:r>
                </w:p>
              </w:tc>
              <w:tc>
                <w:tcPr>
                  <w:tcW w:w="994" w:type="dxa"/>
                  <w:tcBorders>
                    <w:tl2br w:val="nil"/>
                    <w:tr2bl w:val="nil"/>
                  </w:tcBorders>
                  <w:noWrap w:val="0"/>
                  <w:vAlign w:val="center"/>
                </w:tcPr>
                <w:p w14:paraId="15CA4307">
                  <w:pPr>
                    <w:pStyle w:val="131"/>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baseline"/>
                    <w:rPr>
                      <w:rFonts w:hint="eastAsia" w:cs="Times New Roman"/>
                      <w:color w:val="auto"/>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w:t>
                  </w:r>
                </w:p>
              </w:tc>
              <w:tc>
                <w:tcPr>
                  <w:tcW w:w="1694" w:type="dxa"/>
                  <w:tcBorders>
                    <w:tl2br w:val="nil"/>
                    <w:tr2bl w:val="nil"/>
                  </w:tcBorders>
                  <w:noWrap w:val="0"/>
                  <w:vAlign w:val="center"/>
                </w:tcPr>
                <w:p w14:paraId="276D0CC8">
                  <w:pPr>
                    <w:pStyle w:val="131"/>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baseline"/>
                    <w:rPr>
                      <w:rFonts w:hint="eastAsia" w:cs="Times New Roman"/>
                      <w:color w:val="auto"/>
                      <w:highlight w:val="none"/>
                      <w:lang w:val="en-US" w:eastAsia="zh-CN"/>
                    </w:rPr>
                  </w:pPr>
                  <w:r>
                    <w:rPr>
                      <w:rFonts w:hint="eastAsia" w:cs="Times New Roman"/>
                      <w:color w:val="auto"/>
                      <w:highlight w:val="none"/>
                      <w:lang w:val="en-US" w:eastAsia="zh-CN"/>
                    </w:rPr>
                    <w:t>危险废物暂存箱</w:t>
                  </w:r>
                </w:p>
              </w:tc>
              <w:tc>
                <w:tcPr>
                  <w:tcW w:w="1730" w:type="dxa"/>
                  <w:tcBorders>
                    <w:tl2br w:val="nil"/>
                    <w:tr2bl w:val="nil"/>
                  </w:tcBorders>
                  <w:noWrap w:val="0"/>
                  <w:vAlign w:val="center"/>
                </w:tcPr>
                <w:p w14:paraId="58DE0FE1">
                  <w:pPr>
                    <w:pStyle w:val="131"/>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baseline"/>
                    <w:rPr>
                      <w:rFonts w:hint="default" w:cs="Times New Roman"/>
                      <w:color w:val="auto"/>
                      <w:highlight w:val="none"/>
                      <w:lang w:val="en-US" w:eastAsia="zh-CN"/>
                    </w:rPr>
                  </w:pPr>
                  <w:r>
                    <w:rPr>
                      <w:rFonts w:hint="eastAsia" w:cs="Times New Roman"/>
                      <w:color w:val="auto"/>
                      <w:highlight w:val="none"/>
                      <w:lang w:val="en-US" w:eastAsia="zh-CN"/>
                    </w:rPr>
                    <w:t>0.2</w:t>
                  </w:r>
                </w:p>
              </w:tc>
              <w:tc>
                <w:tcPr>
                  <w:tcW w:w="1323" w:type="dxa"/>
                  <w:tcBorders>
                    <w:tl2br w:val="nil"/>
                    <w:tr2bl w:val="nil"/>
                  </w:tcBorders>
                  <w:noWrap w:val="0"/>
                  <w:vAlign w:val="center"/>
                </w:tcPr>
                <w:p w14:paraId="7C2B9F4D">
                  <w:pPr>
                    <w:pStyle w:val="131"/>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baseline"/>
                    <w:rPr>
                      <w:rFonts w:hint="default" w:cs="Times New Roman"/>
                      <w:color w:val="auto"/>
                      <w:highlight w:val="none"/>
                      <w:lang w:val="en-US" w:eastAsia="zh-CN"/>
                    </w:rPr>
                  </w:pPr>
                  <w:r>
                    <w:rPr>
                      <w:rFonts w:hint="eastAsia" w:cs="Times New Roman"/>
                      <w:color w:val="auto"/>
                      <w:highlight w:val="none"/>
                      <w:lang w:val="en-US" w:eastAsia="zh-CN"/>
                    </w:rPr>
                    <w:t>50</w:t>
                  </w:r>
                </w:p>
              </w:tc>
              <w:tc>
                <w:tcPr>
                  <w:tcW w:w="1150" w:type="dxa"/>
                  <w:tcBorders>
                    <w:tl2br w:val="nil"/>
                    <w:tr2bl w:val="nil"/>
                  </w:tcBorders>
                  <w:noWrap w:val="0"/>
                  <w:vAlign w:val="center"/>
                </w:tcPr>
                <w:p w14:paraId="649C9CB0">
                  <w:pPr>
                    <w:pStyle w:val="131"/>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baseline"/>
                    <w:rPr>
                      <w:rFonts w:hint="default" w:cs="Times New Roman"/>
                      <w:color w:val="auto"/>
                      <w:highlight w:val="none"/>
                      <w:lang w:val="en-US" w:eastAsia="zh-CN"/>
                    </w:rPr>
                  </w:pPr>
                  <w:r>
                    <w:rPr>
                      <w:rFonts w:hint="eastAsia" w:cs="Times New Roman"/>
                      <w:color w:val="auto"/>
                      <w:highlight w:val="none"/>
                      <w:lang w:val="en-US" w:eastAsia="zh-CN"/>
                    </w:rPr>
                    <w:t>0.004</w:t>
                  </w:r>
                </w:p>
              </w:tc>
            </w:tr>
            <w:tr w14:paraId="57483515">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136" w:hRule="atLeast"/>
                <w:jc w:val="center"/>
              </w:trPr>
              <w:tc>
                <w:tcPr>
                  <w:tcW w:w="643" w:type="dxa"/>
                  <w:tcBorders>
                    <w:tl2br w:val="nil"/>
                    <w:tr2bl w:val="nil"/>
                  </w:tcBorders>
                  <w:noWrap w:val="0"/>
                  <w:vAlign w:val="center"/>
                </w:tcPr>
                <w:p w14:paraId="3C65ACE7">
                  <w:pPr>
                    <w:pStyle w:val="131"/>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baseline"/>
                    <w:rPr>
                      <w:rFonts w:hint="default" w:cs="Times New Roman"/>
                      <w:color w:val="auto"/>
                      <w:highlight w:val="none"/>
                      <w:lang w:val="en-US" w:eastAsia="zh-CN"/>
                    </w:rPr>
                  </w:pPr>
                  <w:r>
                    <w:rPr>
                      <w:rFonts w:hint="eastAsia" w:cs="Times New Roman"/>
                      <w:color w:val="auto"/>
                      <w:highlight w:val="none"/>
                      <w:lang w:val="en-US" w:eastAsia="zh-CN"/>
                    </w:rPr>
                    <w:t>4</w:t>
                  </w:r>
                </w:p>
              </w:tc>
              <w:tc>
                <w:tcPr>
                  <w:tcW w:w="1727" w:type="dxa"/>
                  <w:tcBorders>
                    <w:tl2br w:val="nil"/>
                    <w:tr2bl w:val="nil"/>
                  </w:tcBorders>
                  <w:noWrap w:val="0"/>
                  <w:vAlign w:val="center"/>
                </w:tcPr>
                <w:p w14:paraId="10C6B689">
                  <w:pPr>
                    <w:pStyle w:val="131"/>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baseline"/>
                    <w:rPr>
                      <w:rFonts w:hint="eastAsia" w:cs="Times New Roman"/>
                      <w:color w:val="auto"/>
                      <w:highlight w:val="none"/>
                      <w:lang w:val="en-US" w:eastAsia="zh-CN"/>
                    </w:rPr>
                  </w:pPr>
                  <w:r>
                    <w:rPr>
                      <w:rFonts w:hint="eastAsia" w:cs="Times New Roman"/>
                      <w:color w:val="auto"/>
                      <w:highlight w:val="none"/>
                      <w:lang w:val="en-US" w:eastAsia="zh-CN"/>
                    </w:rPr>
                    <w:t>废滤芯</w:t>
                  </w:r>
                </w:p>
              </w:tc>
              <w:tc>
                <w:tcPr>
                  <w:tcW w:w="994" w:type="dxa"/>
                  <w:tcBorders>
                    <w:tl2br w:val="nil"/>
                    <w:tr2bl w:val="nil"/>
                  </w:tcBorders>
                  <w:noWrap w:val="0"/>
                  <w:vAlign w:val="center"/>
                </w:tcPr>
                <w:p w14:paraId="4CEA4A39">
                  <w:pPr>
                    <w:pStyle w:val="131"/>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baseline"/>
                    <w:rPr>
                      <w:rFonts w:hint="eastAsia" w:cs="Times New Roman"/>
                      <w:color w:val="auto"/>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w:t>
                  </w:r>
                </w:p>
              </w:tc>
              <w:tc>
                <w:tcPr>
                  <w:tcW w:w="1694" w:type="dxa"/>
                  <w:tcBorders>
                    <w:tl2br w:val="nil"/>
                    <w:tr2bl w:val="nil"/>
                  </w:tcBorders>
                  <w:noWrap w:val="0"/>
                  <w:vAlign w:val="center"/>
                </w:tcPr>
                <w:p w14:paraId="69D62C2F">
                  <w:pPr>
                    <w:pStyle w:val="131"/>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baseline"/>
                    <w:rPr>
                      <w:rFonts w:hint="default" w:cs="Times New Roman"/>
                      <w:color w:val="auto"/>
                      <w:highlight w:val="none"/>
                      <w:lang w:val="en-US" w:eastAsia="zh-CN"/>
                    </w:rPr>
                  </w:pPr>
                  <w:r>
                    <w:rPr>
                      <w:rFonts w:hint="eastAsia" w:cs="Times New Roman"/>
                      <w:color w:val="auto"/>
                      <w:highlight w:val="none"/>
                      <w:lang w:val="en-US" w:eastAsia="zh-CN"/>
                    </w:rPr>
                    <w:t>危险废物暂存箱</w:t>
                  </w:r>
                </w:p>
              </w:tc>
              <w:tc>
                <w:tcPr>
                  <w:tcW w:w="1730" w:type="dxa"/>
                  <w:tcBorders>
                    <w:tl2br w:val="nil"/>
                    <w:tr2bl w:val="nil"/>
                  </w:tcBorders>
                  <w:noWrap w:val="0"/>
                  <w:vAlign w:val="center"/>
                </w:tcPr>
                <w:p w14:paraId="2BC72967">
                  <w:pPr>
                    <w:pStyle w:val="131"/>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baseline"/>
                    <w:rPr>
                      <w:rFonts w:hint="default" w:cs="Times New Roman"/>
                      <w:color w:val="auto"/>
                      <w:highlight w:val="none"/>
                      <w:lang w:val="en-US" w:eastAsia="zh-CN"/>
                    </w:rPr>
                  </w:pPr>
                  <w:r>
                    <w:rPr>
                      <w:rFonts w:hint="eastAsia" w:cs="Times New Roman"/>
                      <w:color w:val="auto"/>
                      <w:highlight w:val="none"/>
                      <w:lang w:val="en-US" w:eastAsia="zh-CN"/>
                    </w:rPr>
                    <w:t>1.0</w:t>
                  </w:r>
                </w:p>
              </w:tc>
              <w:tc>
                <w:tcPr>
                  <w:tcW w:w="1323" w:type="dxa"/>
                  <w:tcBorders>
                    <w:tl2br w:val="nil"/>
                    <w:tr2bl w:val="nil"/>
                  </w:tcBorders>
                  <w:noWrap w:val="0"/>
                  <w:vAlign w:val="center"/>
                </w:tcPr>
                <w:p w14:paraId="63CA5A6F">
                  <w:pPr>
                    <w:pStyle w:val="131"/>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baseline"/>
                    <w:rPr>
                      <w:rFonts w:hint="default" w:cs="Times New Roman"/>
                      <w:color w:val="auto"/>
                      <w:highlight w:val="none"/>
                      <w:lang w:val="en-US" w:eastAsia="zh-CN"/>
                    </w:rPr>
                  </w:pPr>
                  <w:r>
                    <w:rPr>
                      <w:rFonts w:hint="eastAsia" w:cs="Times New Roman"/>
                      <w:color w:val="auto"/>
                      <w:highlight w:val="none"/>
                      <w:lang w:val="en-US" w:eastAsia="zh-CN"/>
                    </w:rPr>
                    <w:t>50</w:t>
                  </w:r>
                </w:p>
              </w:tc>
              <w:tc>
                <w:tcPr>
                  <w:tcW w:w="1150" w:type="dxa"/>
                  <w:tcBorders>
                    <w:tl2br w:val="nil"/>
                    <w:tr2bl w:val="nil"/>
                  </w:tcBorders>
                  <w:noWrap w:val="0"/>
                  <w:vAlign w:val="center"/>
                </w:tcPr>
                <w:p w14:paraId="01B4ECC0">
                  <w:pPr>
                    <w:pStyle w:val="131"/>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baseline"/>
                    <w:rPr>
                      <w:rFonts w:hint="default" w:cs="Times New Roman"/>
                      <w:color w:val="auto"/>
                      <w:highlight w:val="none"/>
                      <w:lang w:val="en-US" w:eastAsia="zh-CN"/>
                    </w:rPr>
                  </w:pPr>
                  <w:r>
                    <w:rPr>
                      <w:rFonts w:hint="eastAsia" w:cs="Times New Roman"/>
                      <w:color w:val="auto"/>
                      <w:highlight w:val="none"/>
                      <w:lang w:val="en-US" w:eastAsia="zh-CN"/>
                    </w:rPr>
                    <w:t>0.02</w:t>
                  </w:r>
                </w:p>
              </w:tc>
            </w:tr>
            <w:tr w14:paraId="4F4E4CC4">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136" w:hRule="atLeast"/>
                <w:jc w:val="center"/>
              </w:trPr>
              <w:tc>
                <w:tcPr>
                  <w:tcW w:w="643" w:type="dxa"/>
                  <w:tcBorders>
                    <w:tl2br w:val="nil"/>
                    <w:tr2bl w:val="nil"/>
                  </w:tcBorders>
                  <w:noWrap w:val="0"/>
                  <w:vAlign w:val="center"/>
                </w:tcPr>
                <w:p w14:paraId="3B925CD5">
                  <w:pPr>
                    <w:pStyle w:val="131"/>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baseline"/>
                    <w:rPr>
                      <w:rFonts w:hint="default" w:cs="Times New Roman"/>
                      <w:color w:val="auto"/>
                      <w:highlight w:val="none"/>
                      <w:lang w:val="en-US" w:eastAsia="zh-CN"/>
                    </w:rPr>
                  </w:pPr>
                  <w:r>
                    <w:rPr>
                      <w:rFonts w:hint="eastAsia" w:cs="Times New Roman"/>
                      <w:color w:val="auto"/>
                      <w:highlight w:val="none"/>
                      <w:lang w:val="en-US" w:eastAsia="zh-CN"/>
                    </w:rPr>
                    <w:t>5</w:t>
                  </w:r>
                </w:p>
              </w:tc>
              <w:tc>
                <w:tcPr>
                  <w:tcW w:w="1727" w:type="dxa"/>
                  <w:tcBorders>
                    <w:tl2br w:val="nil"/>
                    <w:tr2bl w:val="nil"/>
                  </w:tcBorders>
                  <w:noWrap w:val="0"/>
                  <w:vAlign w:val="center"/>
                </w:tcPr>
                <w:p w14:paraId="59BE3F8F">
                  <w:pPr>
                    <w:pStyle w:val="131"/>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baseline"/>
                    <w:rPr>
                      <w:rFonts w:hint="default" w:cs="Times New Roman"/>
                      <w:color w:val="auto"/>
                      <w:highlight w:val="none"/>
                      <w:lang w:val="en-US" w:eastAsia="zh-CN"/>
                    </w:rPr>
                  </w:pPr>
                  <w:r>
                    <w:rPr>
                      <w:rFonts w:hint="eastAsia" w:cs="Times New Roman"/>
                      <w:color w:val="auto"/>
                      <w:highlight w:val="none"/>
                      <w:lang w:val="en-US" w:eastAsia="zh-CN"/>
                    </w:rPr>
                    <w:t>废含油抹布手套</w:t>
                  </w:r>
                </w:p>
              </w:tc>
              <w:tc>
                <w:tcPr>
                  <w:tcW w:w="994" w:type="dxa"/>
                  <w:tcBorders>
                    <w:tl2br w:val="nil"/>
                    <w:tr2bl w:val="nil"/>
                  </w:tcBorders>
                  <w:noWrap w:val="0"/>
                  <w:vAlign w:val="center"/>
                </w:tcPr>
                <w:p w14:paraId="007899D7">
                  <w:pPr>
                    <w:pStyle w:val="131"/>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baseline"/>
                    <w:rPr>
                      <w:rFonts w:hint="eastAsia" w:cs="Times New Roman"/>
                      <w:color w:val="auto"/>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w:t>
                  </w:r>
                </w:p>
              </w:tc>
              <w:tc>
                <w:tcPr>
                  <w:tcW w:w="1694" w:type="dxa"/>
                  <w:tcBorders>
                    <w:tl2br w:val="nil"/>
                    <w:tr2bl w:val="nil"/>
                  </w:tcBorders>
                  <w:noWrap w:val="0"/>
                  <w:vAlign w:val="center"/>
                </w:tcPr>
                <w:p w14:paraId="0BBE0BCB">
                  <w:pPr>
                    <w:pStyle w:val="131"/>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baseline"/>
                    <w:rPr>
                      <w:rFonts w:hint="eastAsia" w:cs="Times New Roman"/>
                      <w:color w:val="auto"/>
                      <w:highlight w:val="none"/>
                      <w:lang w:val="en-US" w:eastAsia="zh-CN"/>
                    </w:rPr>
                  </w:pPr>
                  <w:r>
                    <w:rPr>
                      <w:rFonts w:hint="eastAsia" w:cs="Times New Roman"/>
                      <w:color w:val="auto"/>
                      <w:highlight w:val="none"/>
                      <w:lang w:val="en-US" w:eastAsia="zh-CN"/>
                    </w:rPr>
                    <w:t>危险废物暂存箱</w:t>
                  </w:r>
                </w:p>
              </w:tc>
              <w:tc>
                <w:tcPr>
                  <w:tcW w:w="1730" w:type="dxa"/>
                  <w:tcBorders>
                    <w:tl2br w:val="nil"/>
                    <w:tr2bl w:val="nil"/>
                  </w:tcBorders>
                  <w:noWrap w:val="0"/>
                  <w:vAlign w:val="center"/>
                </w:tcPr>
                <w:p w14:paraId="04E7D80D">
                  <w:pPr>
                    <w:pStyle w:val="131"/>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baseline"/>
                    <w:rPr>
                      <w:rFonts w:hint="default" w:cs="Times New Roman"/>
                      <w:color w:val="auto"/>
                      <w:highlight w:val="none"/>
                      <w:lang w:val="en-US" w:eastAsia="zh-CN"/>
                    </w:rPr>
                  </w:pPr>
                  <w:r>
                    <w:rPr>
                      <w:rFonts w:hint="eastAsia" w:cs="Times New Roman"/>
                      <w:color w:val="auto"/>
                      <w:highlight w:val="none"/>
                      <w:lang w:val="en-US" w:eastAsia="zh-CN"/>
                    </w:rPr>
                    <w:t>0.05</w:t>
                  </w:r>
                </w:p>
              </w:tc>
              <w:tc>
                <w:tcPr>
                  <w:tcW w:w="1323" w:type="dxa"/>
                  <w:tcBorders>
                    <w:tl2br w:val="nil"/>
                    <w:tr2bl w:val="nil"/>
                  </w:tcBorders>
                  <w:noWrap w:val="0"/>
                  <w:vAlign w:val="center"/>
                </w:tcPr>
                <w:p w14:paraId="5A1D8F4B">
                  <w:pPr>
                    <w:pStyle w:val="131"/>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baseline"/>
                    <w:rPr>
                      <w:rFonts w:hint="default" w:cs="Times New Roman"/>
                      <w:color w:val="auto"/>
                      <w:highlight w:val="none"/>
                      <w:lang w:val="en-US" w:eastAsia="zh-CN"/>
                    </w:rPr>
                  </w:pPr>
                  <w:r>
                    <w:rPr>
                      <w:rFonts w:hint="eastAsia" w:cs="Times New Roman"/>
                      <w:color w:val="auto"/>
                      <w:highlight w:val="none"/>
                      <w:lang w:val="en-US" w:eastAsia="zh-CN"/>
                    </w:rPr>
                    <w:t>50</w:t>
                  </w:r>
                </w:p>
              </w:tc>
              <w:tc>
                <w:tcPr>
                  <w:tcW w:w="1150" w:type="dxa"/>
                  <w:tcBorders>
                    <w:tl2br w:val="nil"/>
                    <w:tr2bl w:val="nil"/>
                  </w:tcBorders>
                  <w:noWrap w:val="0"/>
                  <w:vAlign w:val="center"/>
                </w:tcPr>
                <w:p w14:paraId="4D8B8FCA">
                  <w:pPr>
                    <w:pStyle w:val="131"/>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baseline"/>
                    <w:rPr>
                      <w:rFonts w:hint="default" w:cs="Times New Roman"/>
                      <w:color w:val="auto"/>
                      <w:highlight w:val="none"/>
                      <w:lang w:val="en-US" w:eastAsia="zh-CN"/>
                    </w:rPr>
                  </w:pPr>
                  <w:r>
                    <w:rPr>
                      <w:rFonts w:hint="eastAsia" w:cs="Times New Roman"/>
                      <w:color w:val="auto"/>
                      <w:highlight w:val="none"/>
                      <w:lang w:val="en-US" w:eastAsia="zh-CN"/>
                    </w:rPr>
                    <w:t>0.001</w:t>
                  </w:r>
                </w:p>
              </w:tc>
            </w:tr>
          </w:tbl>
          <w:p w14:paraId="7A996A7E">
            <w:pPr>
              <w:keepNext w:val="0"/>
              <w:keepLines w:val="0"/>
              <w:pageBreakBefore w:val="0"/>
              <w:widowControl w:val="0"/>
              <w:kinsoku/>
              <w:wordWrap w:val="0"/>
              <w:overflowPunct/>
              <w:topLinePunct w:val="0"/>
              <w:autoSpaceDE/>
              <w:autoSpaceDN/>
              <w:bidi w:val="0"/>
              <w:adjustRightInd/>
              <w:snapToGrid/>
              <w:spacing w:line="360" w:lineRule="auto"/>
              <w:ind w:left="0" w:leftChars="0" w:firstLine="480" w:firstLineChars="200"/>
              <w:textAlignment w:val="auto"/>
              <w:rPr>
                <w:rFonts w:hint="eastAsia"/>
                <w:b w:val="0"/>
                <w:bCs/>
                <w:lang w:val="en-US" w:eastAsia="zh-CN"/>
              </w:rPr>
            </w:pPr>
            <w:r>
              <w:rPr>
                <w:rFonts w:hint="eastAsia"/>
                <w:b w:val="0"/>
                <w:bCs/>
                <w:lang w:val="en-US" w:eastAsia="zh-CN"/>
              </w:rPr>
              <w:t>由上表可知，本项目Q值=0.014994+</w:t>
            </w:r>
            <w:r>
              <w:rPr>
                <w:rFonts w:hint="eastAsia" w:cs="Times New Roman"/>
                <w:color w:val="auto"/>
                <w:highlight w:val="none"/>
                <w:lang w:val="en-US" w:eastAsia="zh-CN"/>
              </w:rPr>
              <w:t>0.02856</w:t>
            </w:r>
            <w:r>
              <w:rPr>
                <w:rFonts w:hint="eastAsia"/>
                <w:b w:val="0"/>
                <w:bCs/>
                <w:lang w:val="en-US" w:eastAsia="zh-CN"/>
              </w:rPr>
              <w:t>+0.004+0.02+0.001=0.068554＜1，故项目环境风险潜势为</w:t>
            </w:r>
            <w:r>
              <w:rPr>
                <w:rFonts w:hint="default" w:ascii="Times New Roman" w:hAnsi="Times New Roman" w:cs="Times New Roman"/>
                <w:b w:val="0"/>
                <w:bCs/>
                <w:lang w:val="en-US" w:eastAsia="zh-CN"/>
              </w:rPr>
              <w:t>Ⅰ</w:t>
            </w:r>
            <w:r>
              <w:rPr>
                <w:rFonts w:hint="eastAsia"/>
                <w:b w:val="0"/>
                <w:bCs/>
                <w:lang w:val="en-US" w:eastAsia="zh-CN"/>
              </w:rPr>
              <w:t>，项目环境风险可进行简单分析。</w:t>
            </w:r>
          </w:p>
          <w:p w14:paraId="65447513">
            <w:pPr>
              <w:spacing w:line="360" w:lineRule="auto"/>
              <w:ind w:firstLine="482" w:firstLineChars="200"/>
              <w:rPr>
                <w:rFonts w:ascii="Times New Roman" w:hAnsi="Times New Roman" w:eastAsia="宋体"/>
                <w:b/>
                <w:color w:val="000000" w:themeColor="text1"/>
                <w:sz w:val="24"/>
                <w14:textFill>
                  <w14:solidFill>
                    <w14:schemeClr w14:val="tx1"/>
                  </w14:solidFill>
                </w14:textFill>
              </w:rPr>
            </w:pPr>
            <w:r>
              <w:rPr>
                <w:rFonts w:hint="eastAsia" w:ascii="Times New Roman" w:hAnsi="Times New Roman" w:eastAsia="宋体"/>
                <w:b/>
                <w:color w:val="000000" w:themeColor="text1"/>
                <w:sz w:val="24"/>
                <w14:textFill>
                  <w14:solidFill>
                    <w14:schemeClr w14:val="tx1"/>
                  </w14:solidFill>
                </w14:textFill>
              </w:rPr>
              <w:t>（2）环境风险</w:t>
            </w:r>
            <w:r>
              <w:rPr>
                <w:rFonts w:ascii="Times New Roman" w:hAnsi="Times New Roman" w:eastAsia="宋体"/>
                <w:b/>
                <w:color w:val="000000" w:themeColor="text1"/>
                <w:sz w:val="24"/>
                <w14:textFill>
                  <w14:solidFill>
                    <w14:schemeClr w14:val="tx1"/>
                  </w14:solidFill>
                </w14:textFill>
              </w:rPr>
              <w:t>识别</w:t>
            </w:r>
          </w:p>
          <w:p w14:paraId="0E4C4E0B">
            <w:pPr>
              <w:spacing w:line="360"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本项目</w:t>
            </w:r>
            <w:r>
              <w:rPr>
                <w:rFonts w:ascii="Times New Roman" w:hAnsi="Times New Roman" w:eastAsia="宋体"/>
                <w:color w:val="000000" w:themeColor="text1"/>
                <w:sz w:val="24"/>
                <w14:textFill>
                  <w14:solidFill>
                    <w14:schemeClr w14:val="tx1"/>
                  </w14:solidFill>
                </w14:textFill>
              </w:rPr>
              <w:t>主要进行汽油、柴油的销售</w:t>
            </w:r>
            <w:r>
              <w:rPr>
                <w:rFonts w:hint="eastAsia" w:ascii="Times New Roman" w:hAnsi="Times New Roman" w:eastAsia="宋体"/>
                <w:color w:val="000000" w:themeColor="text1"/>
                <w:sz w:val="24"/>
                <w:lang w:eastAsia="zh-CN"/>
                <w14:textFill>
                  <w14:solidFill>
                    <w14:schemeClr w14:val="tx1"/>
                  </w14:solidFill>
                </w14:textFill>
              </w:rPr>
              <w:t>，</w:t>
            </w:r>
            <w:r>
              <w:rPr>
                <w:rFonts w:hint="eastAsia" w:ascii="Times New Roman" w:hAnsi="Times New Roman" w:eastAsia="宋体"/>
                <w:color w:val="000000" w:themeColor="text1"/>
                <w:sz w:val="24"/>
                <w:lang w:val="en-US" w:eastAsia="zh-CN"/>
                <w14:textFill>
                  <w14:solidFill>
                    <w14:schemeClr w14:val="tx1"/>
                  </w14:solidFill>
                </w14:textFill>
              </w:rPr>
              <w:t>根</w:t>
            </w:r>
            <w:r>
              <w:rPr>
                <w:rFonts w:hint="eastAsia" w:ascii="Times New Roman" w:hAnsi="Times New Roman" w:eastAsia="宋体"/>
                <w:color w:val="000000" w:themeColor="text1"/>
                <w:sz w:val="24"/>
                <w14:textFill>
                  <w14:solidFill>
                    <w14:schemeClr w14:val="tx1"/>
                  </w14:solidFill>
                </w14:textFill>
              </w:rPr>
              <w:t>据《建设项目环境风险评价技术导则（</w:t>
            </w:r>
            <w:r>
              <w:rPr>
                <w:rFonts w:ascii="Times New Roman" w:hAnsi="Times New Roman" w:eastAsia="宋体"/>
                <w:color w:val="000000" w:themeColor="text1"/>
                <w:sz w:val="24"/>
                <w14:textFill>
                  <w14:solidFill>
                    <w14:schemeClr w14:val="tx1"/>
                  </w14:solidFill>
                </w14:textFill>
              </w:rPr>
              <w:t>HJ169-2018）》附录A.1表1对项目主要物料进行风险识别，项目销售的汽油、柴油属于</w:t>
            </w:r>
            <w:r>
              <w:rPr>
                <w:rFonts w:hint="eastAsia" w:ascii="宋体" w:hAnsi="宋体" w:eastAsia="宋体" w:cs="宋体"/>
                <w:color w:val="000000" w:themeColor="text1"/>
                <w:sz w:val="24"/>
                <w14:textFill>
                  <w14:solidFill>
                    <w14:schemeClr w14:val="tx1"/>
                  </w14:solidFill>
                </w14:textFill>
              </w:rPr>
              <w:t>“易燃物质”、“爆炸性物质”，具有火灾、爆炸危险性。</w:t>
            </w:r>
          </w:p>
          <w:p w14:paraId="205AC44E">
            <w:pPr>
              <w:spacing w:line="360" w:lineRule="auto"/>
              <w:ind w:firstLine="482" w:firstLineChars="200"/>
              <w:rPr>
                <w:rFonts w:ascii="Times New Roman" w:hAnsi="Times New Roman" w:eastAsia="宋体"/>
                <w:b/>
                <w:color w:val="000000" w:themeColor="text1"/>
                <w:sz w:val="24"/>
                <w14:textFill>
                  <w14:solidFill>
                    <w14:schemeClr w14:val="tx1"/>
                  </w14:solidFill>
                </w14:textFill>
              </w:rPr>
            </w:pPr>
            <w:r>
              <w:rPr>
                <w:rFonts w:hint="eastAsia" w:ascii="Times New Roman" w:hAnsi="Times New Roman" w:eastAsia="宋体"/>
                <w:b/>
                <w:color w:val="000000" w:themeColor="text1"/>
                <w:sz w:val="24"/>
                <w14:textFill>
                  <w14:solidFill>
                    <w14:schemeClr w14:val="tx1"/>
                  </w14:solidFill>
                </w14:textFill>
              </w:rPr>
              <w:t>（3）风险</w:t>
            </w:r>
            <w:r>
              <w:rPr>
                <w:rFonts w:ascii="Times New Roman" w:hAnsi="Times New Roman" w:eastAsia="宋体"/>
                <w:b/>
                <w:color w:val="000000" w:themeColor="text1"/>
                <w:sz w:val="24"/>
                <w14:textFill>
                  <w14:solidFill>
                    <w14:schemeClr w14:val="tx1"/>
                  </w14:solidFill>
                </w14:textFill>
              </w:rPr>
              <w:t>源识别</w:t>
            </w:r>
          </w:p>
          <w:p w14:paraId="5529A2A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Times New Roman" w:hAnsi="Times New Roman" w:eastAsia="宋体"/>
                <w:b/>
                <w:bCs w:val="0"/>
                <w:color w:val="000000" w:themeColor="text1"/>
                <w:sz w:val="24"/>
                <w14:textFill>
                  <w14:solidFill>
                    <w14:schemeClr w14:val="tx1"/>
                  </w14:solidFill>
                </w14:textFill>
              </w:rPr>
            </w:pPr>
            <w:r>
              <w:rPr>
                <w:rFonts w:hint="eastAsia" w:ascii="Times New Roman" w:hAnsi="Times New Roman" w:eastAsia="宋体"/>
                <w:b/>
                <w:bCs w:val="0"/>
                <w:color w:val="000000" w:themeColor="text1"/>
                <w:sz w:val="24"/>
                <w:lang w:val="en-US" w:eastAsia="zh-CN"/>
                <w14:textFill>
                  <w14:solidFill>
                    <w14:schemeClr w14:val="tx1"/>
                  </w14:solidFill>
                </w14:textFill>
              </w:rPr>
              <w:t>1）</w:t>
            </w:r>
            <w:r>
              <w:rPr>
                <w:rFonts w:hint="eastAsia" w:ascii="Times New Roman" w:hAnsi="Times New Roman" w:eastAsia="宋体"/>
                <w:b/>
                <w:bCs w:val="0"/>
                <w:color w:val="000000" w:themeColor="text1"/>
                <w:sz w:val="24"/>
                <w14:textFill>
                  <w14:solidFill>
                    <w14:schemeClr w14:val="tx1"/>
                  </w14:solidFill>
                </w14:textFill>
              </w:rPr>
              <w:t>物质危险性识别</w:t>
            </w:r>
          </w:p>
          <w:p w14:paraId="3952A57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◆原辅材料：根据《常用危险化学品的分类及标志》（</w:t>
            </w:r>
            <w:r>
              <w:rPr>
                <w:rFonts w:ascii="Times New Roman" w:hAnsi="Times New Roman" w:eastAsia="宋体"/>
                <w:color w:val="000000" w:themeColor="text1"/>
                <w:sz w:val="24"/>
                <w14:textFill>
                  <w14:solidFill>
                    <w14:schemeClr w14:val="tx1"/>
                  </w14:solidFill>
                </w14:textFill>
              </w:rPr>
              <w:t>GB13690-92），常用危险化学品按其主要危险特性分为8类。汽油属第3类</w:t>
            </w:r>
            <w:r>
              <w:rPr>
                <w:rFonts w:hint="eastAsia" w:ascii="宋体" w:hAnsi="宋体" w:eastAsia="宋体" w:cs="宋体"/>
                <w:color w:val="000000" w:themeColor="text1"/>
                <w:sz w:val="24"/>
                <w14:textFill>
                  <w14:solidFill>
                    <w14:schemeClr w14:val="tx1"/>
                  </w14:solidFill>
                </w14:textFill>
              </w:rPr>
              <w:t>“易燃液体”中的“低闪点液体”</w:t>
            </w:r>
            <w:r>
              <w:rPr>
                <w:rFonts w:ascii="Times New Roman" w:hAnsi="Times New Roman" w:eastAsia="宋体"/>
                <w:color w:val="000000" w:themeColor="text1"/>
                <w:sz w:val="24"/>
                <w14:textFill>
                  <w14:solidFill>
                    <w14:schemeClr w14:val="tx1"/>
                  </w14:solidFill>
                </w14:textFill>
              </w:rPr>
              <w:t>。建筑火险分级为汽油为甲级，柴油为乙级。由于汽油闪点很低，因此按照劳动部发</w:t>
            </w:r>
            <w:r>
              <w:rPr>
                <w:rFonts w:hint="default" w:ascii="Times New Roman" w:hAnsi="Times New Roman" w:eastAsia="宋体"/>
                <w:color w:val="000000" w:themeColor="text1"/>
                <w:sz w:val="24"/>
                <w:lang w:val="en-US" w:eastAsia="zh-CN"/>
                <w14:textFill>
                  <w14:solidFill>
                    <w14:schemeClr w14:val="tx1"/>
                  </w14:solidFill>
                </w14:textFill>
              </w:rPr>
              <w:t>〔</w:t>
            </w:r>
            <w:r>
              <w:rPr>
                <w:rFonts w:ascii="Times New Roman" w:hAnsi="Times New Roman" w:eastAsia="宋体"/>
                <w:color w:val="000000" w:themeColor="text1"/>
                <w:sz w:val="24"/>
                <w14:textFill>
                  <w14:solidFill>
                    <w14:schemeClr w14:val="tx1"/>
                  </w14:solidFill>
                </w14:textFill>
              </w:rPr>
              <w:t>1995</w:t>
            </w:r>
            <w:r>
              <w:rPr>
                <w:rFonts w:hint="default" w:ascii="Times New Roman" w:hAnsi="Times New Roman" w:eastAsia="宋体"/>
                <w:color w:val="000000" w:themeColor="text1"/>
                <w:sz w:val="24"/>
                <w:lang w:val="en-US" w:eastAsia="zh-CN"/>
                <w14:textFill>
                  <w14:solidFill>
                    <w14:schemeClr w14:val="tx1"/>
                  </w14:solidFill>
                </w14:textFill>
              </w:rPr>
              <w:t>〕</w:t>
            </w:r>
            <w:r>
              <w:rPr>
                <w:rFonts w:ascii="Times New Roman" w:hAnsi="Times New Roman" w:eastAsia="宋体"/>
                <w:color w:val="000000" w:themeColor="text1"/>
                <w:sz w:val="24"/>
                <w14:textFill>
                  <w14:solidFill>
                    <w14:schemeClr w14:val="tx1"/>
                  </w14:solidFill>
                </w14:textFill>
              </w:rPr>
              <w:t>56号《爆炸危险场所安全规定》，加油站属于特别危险场所，其危险特性为：</w:t>
            </w:r>
          </w:p>
          <w:p w14:paraId="32A3495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000000" w:themeColor="text1"/>
                <w:sz w:val="24"/>
                <w14:textFill>
                  <w14:solidFill>
                    <w14:schemeClr w14:val="tx1"/>
                  </w14:solidFill>
                </w14:textFill>
              </w:rPr>
            </w:pPr>
            <w:r>
              <w:rPr>
                <w:rFonts w:ascii="Times New Roman" w:hAnsi="Times New Roman" w:eastAsia="宋体"/>
                <w:color w:val="000000" w:themeColor="text1"/>
                <w:sz w:val="24"/>
                <w14:textFill>
                  <w14:solidFill>
                    <w14:schemeClr w14:val="tx1"/>
                  </w14:solidFill>
                </w14:textFill>
              </w:rPr>
              <w:t>a、汽油蒸汽与空气易形成爆炸性混合物；</w:t>
            </w:r>
          </w:p>
          <w:p w14:paraId="3D41201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000000" w:themeColor="text1"/>
                <w:sz w:val="24"/>
                <w14:textFill>
                  <w14:solidFill>
                    <w14:schemeClr w14:val="tx1"/>
                  </w14:solidFill>
                </w14:textFill>
              </w:rPr>
            </w:pPr>
            <w:r>
              <w:rPr>
                <w:rFonts w:ascii="Times New Roman" w:hAnsi="Times New Roman" w:eastAsia="宋体"/>
                <w:color w:val="000000" w:themeColor="text1"/>
                <w:sz w:val="24"/>
                <w14:textFill>
                  <w14:solidFill>
                    <w14:schemeClr w14:val="tx1"/>
                  </w14:solidFill>
                </w14:textFill>
              </w:rPr>
              <w:t>b、与氧化剂会发生强烈反应，遇明火、高热会引起燃烧爆炸。</w:t>
            </w:r>
          </w:p>
          <w:p w14:paraId="0677EC0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火灾爆炸伴生物：汽油、柴油均属易燃、易爆液体，如果在储存、输送过程发生跑、冒、滴、漏，卸油过程中如果静电接地不好或管线、接头等有渗漏，加油过程加油设备及管线出现故障或加油过程操作不当等会引起油料泄漏，油料蒸发出来的可燃气体在一定的浓度范围内，能够与空气形成爆炸性混合物，遇明火、静电及高温或与氧化剂接触等易引起燃烧或爆炸；同时其蒸汽比空气重，能在较低处扩散到相当远的地方，遇明火会引着回燃，也会造成火灾爆炸事故。</w:t>
            </w:r>
          </w:p>
          <w:p w14:paraId="41A62600">
            <w:pPr>
              <w:spacing w:line="360"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毒性危害：加油站主要的毒性物质为汽油和柴油，其毒性危害如下：汽油对中枢神经系统有麻醉作用。轻度中毒症状有头晕、头痛、恶心、呕吐、步态不稳、共济失调。高浓度吸入出现中毒性脑病。极高浓度吸入引起意识突然丧失、反射性呼吸停止。液体吸入呼吸道可引起吸入性皮炎。溅入眼内可致角膜溃疡、穿孔，甚至失明。皮肤接触致急性接触性皮炎，甚至灼伤。皮肤接触柴油可引起接触性皮炎、油性痤疮，吸入可引起吸入性肺炎，能经胎盘进入胎儿血中。柴油废气可引起眼、鼻刺激症状，头晕及头痛。</w:t>
            </w:r>
          </w:p>
          <w:p w14:paraId="1E0CB1F5">
            <w:pPr>
              <w:spacing w:line="360"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◆其它危险、危害性：加油站的电气设备较多，若绝缘、保护装置不良或损坏及人的误操作，易造成触电事故。</w:t>
            </w:r>
          </w:p>
          <w:p w14:paraId="6813C351">
            <w:pPr>
              <w:spacing w:line="360" w:lineRule="auto"/>
              <w:ind w:firstLine="482" w:firstLineChars="200"/>
              <w:rPr>
                <w:rFonts w:ascii="Times New Roman" w:hAnsi="Times New Roman" w:eastAsia="宋体"/>
                <w:b/>
                <w:color w:val="000000" w:themeColor="text1"/>
                <w:sz w:val="24"/>
                <w14:textFill>
                  <w14:solidFill>
                    <w14:schemeClr w14:val="tx1"/>
                  </w14:solidFill>
                </w14:textFill>
              </w:rPr>
            </w:pPr>
            <w:r>
              <w:rPr>
                <w:rFonts w:hint="eastAsia" w:ascii="Times New Roman" w:hAnsi="Times New Roman" w:eastAsia="宋体"/>
                <w:b/>
                <w:color w:val="000000" w:themeColor="text1"/>
                <w:sz w:val="24"/>
                <w:lang w:val="en-US" w:eastAsia="zh-CN"/>
                <w14:textFill>
                  <w14:solidFill>
                    <w14:schemeClr w14:val="tx1"/>
                  </w14:solidFill>
                </w14:textFill>
              </w:rPr>
              <w:t>2）</w:t>
            </w:r>
            <w:r>
              <w:rPr>
                <w:rFonts w:hint="eastAsia" w:ascii="Times New Roman" w:hAnsi="Times New Roman" w:eastAsia="宋体"/>
                <w:b/>
                <w:color w:val="000000" w:themeColor="text1"/>
                <w:sz w:val="24"/>
                <w14:textFill>
                  <w14:solidFill>
                    <w14:schemeClr w14:val="tx1"/>
                  </w14:solidFill>
                </w14:textFill>
              </w:rPr>
              <w:t>生产系统危险性识别</w:t>
            </w:r>
          </w:p>
          <w:p w14:paraId="5938E6EC">
            <w:pPr>
              <w:spacing w:line="360"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◆储罐：储罐是加油站最容易发生事故的场所，如油罐泄漏遇雷击或静电闪火引燃引起爆炸。</w:t>
            </w:r>
          </w:p>
          <w:p w14:paraId="76FFC62B">
            <w:pPr>
              <w:spacing w:line="360"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◆加油岛：加油岛为各种机动车辆加油的场所。由于汽车尾气带火星、加油过满溢出、加油机漏油、加油机防爆电气故障等原因，容易引发火灾爆炸事故。</w:t>
            </w:r>
          </w:p>
          <w:p w14:paraId="4D62690A">
            <w:pPr>
              <w:spacing w:line="360"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装卸油作业：加油车不熄火，送油车静电没有消散，油罐车卸油连通软管导静电性能差；雷雨天往油罐卸油或往汽车车箱加油速度过快，加油操作失误；密闭卸油接口处漏油；对明火源管理不严等，都有可能会导致火灾、爆炸或设备损坏或人身伤亡事故。</w:t>
            </w:r>
          </w:p>
          <w:p w14:paraId="53648391">
            <w:pPr>
              <w:spacing w:line="360"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综上</w:t>
            </w:r>
            <w:r>
              <w:rPr>
                <w:rFonts w:ascii="Times New Roman" w:hAnsi="Times New Roman" w:eastAsia="宋体"/>
                <w:color w:val="000000" w:themeColor="text1"/>
                <w:sz w:val="24"/>
                <w14:textFill>
                  <w14:solidFill>
                    <w14:schemeClr w14:val="tx1"/>
                  </w14:solidFill>
                </w14:textFill>
              </w:rPr>
              <w:t>所述，本项目环境风险识别结果详见表</w:t>
            </w:r>
            <w:r>
              <w:rPr>
                <w:rFonts w:hint="eastAsia" w:ascii="Times New Roman" w:hAnsi="Times New Roman" w:eastAsia="宋体"/>
                <w:color w:val="000000" w:themeColor="text1"/>
                <w:sz w:val="24"/>
                <w14:textFill>
                  <w14:solidFill>
                    <w14:schemeClr w14:val="tx1"/>
                  </w14:solidFill>
                </w14:textFill>
              </w:rPr>
              <w:t>4</w:t>
            </w:r>
            <w:r>
              <w:rPr>
                <w:rFonts w:hint="eastAsia" w:ascii="Times New Roman" w:hAnsi="Times New Roman" w:eastAsia="宋体"/>
                <w:color w:val="000000" w:themeColor="text1"/>
                <w:sz w:val="24"/>
                <w:lang w:val="en-US" w:eastAsia="zh-CN"/>
                <w14:textFill>
                  <w14:solidFill>
                    <w14:schemeClr w14:val="tx1"/>
                  </w14:solidFill>
                </w14:textFill>
              </w:rPr>
              <w:t>.8</w:t>
            </w:r>
            <w:r>
              <w:rPr>
                <w:rFonts w:ascii="Times New Roman" w:hAnsi="Times New Roman" w:eastAsia="宋体"/>
                <w:color w:val="000000" w:themeColor="text1"/>
                <w:sz w:val="24"/>
                <w14:textFill>
                  <w14:solidFill>
                    <w14:schemeClr w14:val="tx1"/>
                  </w14:solidFill>
                </w14:textFill>
              </w:rPr>
              <w:t>-2</w:t>
            </w:r>
            <w:r>
              <w:rPr>
                <w:rFonts w:hint="eastAsia" w:ascii="Times New Roman" w:hAnsi="Times New Roman" w:eastAsia="宋体"/>
                <w:color w:val="000000" w:themeColor="text1"/>
                <w:sz w:val="24"/>
                <w14:textFill>
                  <w14:solidFill>
                    <w14:schemeClr w14:val="tx1"/>
                  </w14:solidFill>
                </w14:textFill>
              </w:rPr>
              <w:t>。</w:t>
            </w:r>
          </w:p>
          <w:p w14:paraId="521830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b/>
                <w:color w:val="000000" w:themeColor="text1"/>
                <w:sz w:val="21"/>
                <w:szCs w:val="21"/>
                <w14:textFill>
                  <w14:solidFill>
                    <w14:schemeClr w14:val="tx1"/>
                  </w14:solidFill>
                </w14:textFill>
              </w:rPr>
            </w:pPr>
            <w:r>
              <w:rPr>
                <w:rFonts w:hint="eastAsia" w:ascii="Times New Roman" w:hAnsi="Times New Roman" w:eastAsia="宋体"/>
                <w:b/>
                <w:color w:val="000000" w:themeColor="text1"/>
                <w:sz w:val="21"/>
                <w:szCs w:val="21"/>
                <w14:textFill>
                  <w14:solidFill>
                    <w14:schemeClr w14:val="tx1"/>
                  </w14:solidFill>
                </w14:textFill>
              </w:rPr>
              <w:t>表4</w:t>
            </w:r>
            <w:r>
              <w:rPr>
                <w:rFonts w:hint="eastAsia" w:ascii="Times New Roman" w:hAnsi="Times New Roman" w:eastAsia="宋体"/>
                <w:b/>
                <w:color w:val="000000" w:themeColor="text1"/>
                <w:sz w:val="21"/>
                <w:szCs w:val="21"/>
                <w:lang w:val="en-US" w:eastAsia="zh-CN"/>
                <w14:textFill>
                  <w14:solidFill>
                    <w14:schemeClr w14:val="tx1"/>
                  </w14:solidFill>
                </w14:textFill>
              </w:rPr>
              <w:t>.8</w:t>
            </w:r>
            <w:r>
              <w:rPr>
                <w:rFonts w:ascii="Times New Roman" w:hAnsi="Times New Roman" w:eastAsia="宋体"/>
                <w:b/>
                <w:color w:val="000000" w:themeColor="text1"/>
                <w:sz w:val="21"/>
                <w:szCs w:val="21"/>
                <w14:textFill>
                  <w14:solidFill>
                    <w14:schemeClr w14:val="tx1"/>
                  </w14:solidFill>
                </w14:textFill>
              </w:rPr>
              <w:t>-2   项目环境</w:t>
            </w:r>
            <w:r>
              <w:rPr>
                <w:rFonts w:hint="eastAsia" w:ascii="Times New Roman" w:hAnsi="Times New Roman" w:eastAsia="宋体"/>
                <w:b/>
                <w:color w:val="000000" w:themeColor="text1"/>
                <w:sz w:val="21"/>
                <w:szCs w:val="21"/>
                <w14:textFill>
                  <w14:solidFill>
                    <w14:schemeClr w14:val="tx1"/>
                  </w14:solidFill>
                </w14:textFill>
              </w:rPr>
              <w:t>风险识别</w:t>
            </w:r>
            <w:r>
              <w:rPr>
                <w:rFonts w:ascii="Times New Roman" w:hAnsi="Times New Roman" w:eastAsia="宋体"/>
                <w:b/>
                <w:color w:val="000000" w:themeColor="text1"/>
                <w:sz w:val="21"/>
                <w:szCs w:val="21"/>
                <w14:textFill>
                  <w14:solidFill>
                    <w14:schemeClr w14:val="tx1"/>
                  </w14:solidFill>
                </w14:textFill>
              </w:rPr>
              <w:t>一览表</w:t>
            </w:r>
          </w:p>
          <w:tbl>
            <w:tblPr>
              <w:tblStyle w:val="3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5"/>
              <w:gridCol w:w="1633"/>
              <w:gridCol w:w="1043"/>
              <w:gridCol w:w="1658"/>
              <w:gridCol w:w="2719"/>
              <w:gridCol w:w="1553"/>
            </w:tblGrid>
            <w:tr w14:paraId="42B270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3" w:type="pct"/>
                  <w:vAlign w:val="center"/>
                </w:tcPr>
                <w:p w14:paraId="05164F7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b/>
                      <w:bCs/>
                      <w:color w:val="000000" w:themeColor="text1"/>
                      <w:sz w:val="21"/>
                      <w:szCs w:val="21"/>
                      <w14:textFill>
                        <w14:solidFill>
                          <w14:schemeClr w14:val="tx1"/>
                        </w14:solidFill>
                      </w14:textFill>
                    </w:rPr>
                  </w:pPr>
                  <w:r>
                    <w:rPr>
                      <w:rFonts w:hint="eastAsia" w:ascii="Times New Roman" w:hAnsi="Times New Roman" w:eastAsia="宋体"/>
                      <w:b/>
                      <w:bCs/>
                      <w:color w:val="000000" w:themeColor="text1"/>
                      <w:sz w:val="21"/>
                      <w:szCs w:val="21"/>
                      <w14:textFill>
                        <w14:solidFill>
                          <w14:schemeClr w14:val="tx1"/>
                        </w14:solidFill>
                      </w14:textFill>
                    </w:rPr>
                    <w:t>序号</w:t>
                  </w:r>
                </w:p>
              </w:tc>
              <w:tc>
                <w:tcPr>
                  <w:tcW w:w="881" w:type="pct"/>
                  <w:vAlign w:val="center"/>
                </w:tcPr>
                <w:p w14:paraId="43F289C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b/>
                      <w:bCs/>
                      <w:color w:val="000000" w:themeColor="text1"/>
                      <w:sz w:val="21"/>
                      <w:szCs w:val="21"/>
                      <w14:textFill>
                        <w14:solidFill>
                          <w14:schemeClr w14:val="tx1"/>
                        </w14:solidFill>
                      </w14:textFill>
                    </w:rPr>
                  </w:pPr>
                  <w:r>
                    <w:rPr>
                      <w:rFonts w:hint="eastAsia" w:ascii="Times New Roman" w:hAnsi="Times New Roman" w:eastAsia="宋体"/>
                      <w:b/>
                      <w:bCs/>
                      <w:color w:val="000000" w:themeColor="text1"/>
                      <w:sz w:val="21"/>
                      <w:szCs w:val="21"/>
                      <w14:textFill>
                        <w14:solidFill>
                          <w14:schemeClr w14:val="tx1"/>
                        </w14:solidFill>
                      </w14:textFill>
                    </w:rPr>
                    <w:t>危险</w:t>
                  </w:r>
                  <w:r>
                    <w:rPr>
                      <w:rFonts w:ascii="Times New Roman" w:hAnsi="Times New Roman" w:eastAsia="宋体"/>
                      <w:b/>
                      <w:bCs/>
                      <w:color w:val="000000" w:themeColor="text1"/>
                      <w:sz w:val="21"/>
                      <w:szCs w:val="21"/>
                      <w14:textFill>
                        <w14:solidFill>
                          <w14:schemeClr w14:val="tx1"/>
                        </w14:solidFill>
                      </w14:textFill>
                    </w:rPr>
                    <w:t>单元</w:t>
                  </w:r>
                </w:p>
              </w:tc>
              <w:tc>
                <w:tcPr>
                  <w:tcW w:w="563" w:type="pct"/>
                  <w:vAlign w:val="center"/>
                </w:tcPr>
                <w:p w14:paraId="4A9B739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b/>
                      <w:bCs/>
                      <w:color w:val="000000" w:themeColor="text1"/>
                      <w:sz w:val="21"/>
                      <w:szCs w:val="21"/>
                      <w14:textFill>
                        <w14:solidFill>
                          <w14:schemeClr w14:val="tx1"/>
                        </w14:solidFill>
                      </w14:textFill>
                    </w:rPr>
                  </w:pPr>
                  <w:r>
                    <w:rPr>
                      <w:rFonts w:hint="eastAsia" w:ascii="Times New Roman" w:hAnsi="Times New Roman" w:eastAsia="宋体"/>
                      <w:b/>
                      <w:bCs/>
                      <w:color w:val="000000" w:themeColor="text1"/>
                      <w:sz w:val="21"/>
                      <w:szCs w:val="21"/>
                      <w14:textFill>
                        <w14:solidFill>
                          <w14:schemeClr w14:val="tx1"/>
                        </w14:solidFill>
                      </w14:textFill>
                    </w:rPr>
                    <w:t>风险源</w:t>
                  </w:r>
                </w:p>
              </w:tc>
              <w:tc>
                <w:tcPr>
                  <w:tcW w:w="895" w:type="pct"/>
                  <w:vAlign w:val="center"/>
                </w:tcPr>
                <w:p w14:paraId="48ADACA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b/>
                      <w:bCs/>
                      <w:color w:val="000000" w:themeColor="text1"/>
                      <w:sz w:val="21"/>
                      <w:szCs w:val="21"/>
                      <w14:textFill>
                        <w14:solidFill>
                          <w14:schemeClr w14:val="tx1"/>
                        </w14:solidFill>
                      </w14:textFill>
                    </w:rPr>
                  </w:pPr>
                  <w:r>
                    <w:rPr>
                      <w:rFonts w:hint="eastAsia" w:ascii="Times New Roman" w:hAnsi="Times New Roman" w:eastAsia="宋体"/>
                      <w:b/>
                      <w:bCs/>
                      <w:color w:val="000000" w:themeColor="text1"/>
                      <w:sz w:val="21"/>
                      <w:szCs w:val="21"/>
                      <w14:textFill>
                        <w14:solidFill>
                          <w14:schemeClr w14:val="tx1"/>
                        </w14:solidFill>
                      </w14:textFill>
                    </w:rPr>
                    <w:t>主要</w:t>
                  </w:r>
                  <w:r>
                    <w:rPr>
                      <w:rFonts w:ascii="Times New Roman" w:hAnsi="Times New Roman" w:eastAsia="宋体"/>
                      <w:b/>
                      <w:bCs/>
                      <w:color w:val="000000" w:themeColor="text1"/>
                      <w:sz w:val="21"/>
                      <w:szCs w:val="21"/>
                      <w14:textFill>
                        <w14:solidFill>
                          <w14:schemeClr w14:val="tx1"/>
                        </w14:solidFill>
                      </w14:textFill>
                    </w:rPr>
                    <w:t>危险物质</w:t>
                  </w:r>
                </w:p>
              </w:tc>
              <w:tc>
                <w:tcPr>
                  <w:tcW w:w="1467" w:type="pct"/>
                  <w:vAlign w:val="center"/>
                </w:tcPr>
                <w:p w14:paraId="49C5BC9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b/>
                      <w:bCs/>
                      <w:color w:val="000000" w:themeColor="text1"/>
                      <w:sz w:val="21"/>
                      <w:szCs w:val="21"/>
                      <w14:textFill>
                        <w14:solidFill>
                          <w14:schemeClr w14:val="tx1"/>
                        </w14:solidFill>
                      </w14:textFill>
                    </w:rPr>
                  </w:pPr>
                  <w:r>
                    <w:rPr>
                      <w:rFonts w:hint="eastAsia" w:ascii="Times New Roman" w:hAnsi="Times New Roman" w:eastAsia="宋体"/>
                      <w:b/>
                      <w:bCs/>
                      <w:color w:val="000000" w:themeColor="text1"/>
                      <w:sz w:val="21"/>
                      <w:szCs w:val="21"/>
                      <w14:textFill>
                        <w14:solidFill>
                          <w14:schemeClr w14:val="tx1"/>
                        </w14:solidFill>
                      </w14:textFill>
                    </w:rPr>
                    <w:t>环境</w:t>
                  </w:r>
                  <w:r>
                    <w:rPr>
                      <w:rFonts w:ascii="Times New Roman" w:hAnsi="Times New Roman" w:eastAsia="宋体"/>
                      <w:b/>
                      <w:bCs/>
                      <w:color w:val="000000" w:themeColor="text1"/>
                      <w:sz w:val="21"/>
                      <w:szCs w:val="21"/>
                      <w14:textFill>
                        <w14:solidFill>
                          <w14:schemeClr w14:val="tx1"/>
                        </w14:solidFill>
                      </w14:textFill>
                    </w:rPr>
                    <w:t>风险类型</w:t>
                  </w:r>
                </w:p>
              </w:tc>
              <w:tc>
                <w:tcPr>
                  <w:tcW w:w="838" w:type="pct"/>
                  <w:vAlign w:val="center"/>
                </w:tcPr>
                <w:p w14:paraId="41DFD31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b/>
                      <w:bCs/>
                      <w:color w:val="000000" w:themeColor="text1"/>
                      <w:sz w:val="21"/>
                      <w:szCs w:val="21"/>
                      <w14:textFill>
                        <w14:solidFill>
                          <w14:schemeClr w14:val="tx1"/>
                        </w14:solidFill>
                      </w14:textFill>
                    </w:rPr>
                  </w:pPr>
                  <w:r>
                    <w:rPr>
                      <w:rFonts w:hint="eastAsia" w:ascii="Times New Roman" w:hAnsi="Times New Roman" w:eastAsia="宋体"/>
                      <w:b/>
                      <w:bCs/>
                      <w:color w:val="000000" w:themeColor="text1"/>
                      <w:sz w:val="21"/>
                      <w:szCs w:val="21"/>
                      <w14:textFill>
                        <w14:solidFill>
                          <w14:schemeClr w14:val="tx1"/>
                        </w14:solidFill>
                      </w14:textFill>
                    </w:rPr>
                    <w:t>环境</w:t>
                  </w:r>
                  <w:r>
                    <w:rPr>
                      <w:rFonts w:ascii="Times New Roman" w:hAnsi="Times New Roman" w:eastAsia="宋体"/>
                      <w:b/>
                      <w:bCs/>
                      <w:color w:val="000000" w:themeColor="text1"/>
                      <w:sz w:val="21"/>
                      <w:szCs w:val="21"/>
                      <w14:textFill>
                        <w14:solidFill>
                          <w14:schemeClr w14:val="tx1"/>
                        </w14:solidFill>
                      </w14:textFill>
                    </w:rPr>
                    <w:t>影响途径</w:t>
                  </w:r>
                </w:p>
              </w:tc>
            </w:tr>
            <w:tr w14:paraId="4235A9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3" w:type="pct"/>
                  <w:vAlign w:val="center"/>
                </w:tcPr>
                <w:p w14:paraId="529D3E1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1</w:t>
                  </w:r>
                </w:p>
              </w:tc>
              <w:tc>
                <w:tcPr>
                  <w:tcW w:w="881" w:type="pct"/>
                  <w:vAlign w:val="center"/>
                </w:tcPr>
                <w:p w14:paraId="7563A9E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储罐区、卸油区</w:t>
                  </w:r>
                </w:p>
              </w:tc>
              <w:tc>
                <w:tcPr>
                  <w:tcW w:w="563" w:type="pct"/>
                  <w:vAlign w:val="center"/>
                </w:tcPr>
                <w:p w14:paraId="0B791F6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储</w:t>
                  </w:r>
                  <w:r>
                    <w:rPr>
                      <w:rFonts w:hint="eastAsia" w:ascii="Times New Roman" w:hAnsi="Times New Roman" w:eastAsia="宋体"/>
                      <w:color w:val="000000" w:themeColor="text1"/>
                      <w:sz w:val="21"/>
                      <w:szCs w:val="21"/>
                      <w:lang w:val="en-US" w:eastAsia="zh-CN"/>
                      <w14:textFill>
                        <w14:solidFill>
                          <w14:schemeClr w14:val="tx1"/>
                        </w14:solidFill>
                      </w14:textFill>
                    </w:rPr>
                    <w:t>油</w:t>
                  </w:r>
                  <w:r>
                    <w:rPr>
                      <w:rFonts w:hint="eastAsia" w:ascii="Times New Roman" w:hAnsi="Times New Roman" w:eastAsia="宋体"/>
                      <w:color w:val="000000" w:themeColor="text1"/>
                      <w:sz w:val="21"/>
                      <w:szCs w:val="21"/>
                      <w14:textFill>
                        <w14:solidFill>
                          <w14:schemeClr w14:val="tx1"/>
                        </w14:solidFill>
                      </w14:textFill>
                    </w:rPr>
                    <w:t>罐</w:t>
                  </w:r>
                </w:p>
              </w:tc>
              <w:tc>
                <w:tcPr>
                  <w:tcW w:w="895" w:type="pct"/>
                  <w:vAlign w:val="center"/>
                </w:tcPr>
                <w:p w14:paraId="40B6F6F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汽</w:t>
                  </w:r>
                  <w:r>
                    <w:rPr>
                      <w:rFonts w:hint="eastAsia" w:ascii="Times New Roman" w:hAnsi="Times New Roman" w:eastAsia="宋体"/>
                      <w:color w:val="000000" w:themeColor="text1"/>
                      <w:sz w:val="21"/>
                      <w:szCs w:val="21"/>
                      <w14:textFill>
                        <w14:solidFill>
                          <w14:schemeClr w14:val="tx1"/>
                        </w14:solidFill>
                      </w14:textFill>
                    </w:rPr>
                    <w:t>油</w:t>
                  </w:r>
                  <w:r>
                    <w:rPr>
                      <w:rFonts w:hint="eastAsia" w:ascii="Times New Roman" w:hAnsi="Times New Roman" w:eastAsia="宋体"/>
                      <w:color w:val="000000" w:themeColor="text1"/>
                      <w:sz w:val="21"/>
                      <w:szCs w:val="21"/>
                      <w:lang w:eastAsia="zh-CN"/>
                      <w14:textFill>
                        <w14:solidFill>
                          <w14:schemeClr w14:val="tx1"/>
                        </w14:solidFill>
                      </w14:textFill>
                    </w:rPr>
                    <w:t>、</w:t>
                  </w:r>
                  <w:r>
                    <w:rPr>
                      <w:rFonts w:hint="eastAsia" w:ascii="Times New Roman" w:hAnsi="Times New Roman" w:eastAsia="宋体"/>
                      <w:color w:val="000000" w:themeColor="text1"/>
                      <w:sz w:val="21"/>
                      <w:szCs w:val="21"/>
                      <w14:textFill>
                        <w14:solidFill>
                          <w14:schemeClr w14:val="tx1"/>
                        </w14:solidFill>
                      </w14:textFill>
                    </w:rPr>
                    <w:t>柴油</w:t>
                  </w:r>
                </w:p>
              </w:tc>
              <w:tc>
                <w:tcPr>
                  <w:tcW w:w="1467" w:type="pct"/>
                  <w:vAlign w:val="center"/>
                </w:tcPr>
                <w:p w14:paraId="462CD97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大气、地表水</w:t>
                  </w:r>
                  <w:r>
                    <w:rPr>
                      <w:rFonts w:ascii="Times New Roman" w:hAnsi="Times New Roman" w:eastAsia="宋体"/>
                      <w:color w:val="000000" w:themeColor="text1"/>
                      <w:sz w:val="21"/>
                      <w:szCs w:val="21"/>
                      <w14:textFill>
                        <w14:solidFill>
                          <w14:schemeClr w14:val="tx1"/>
                        </w14:solidFill>
                      </w14:textFill>
                    </w:rPr>
                    <w:t>、地下水污染</w:t>
                  </w:r>
                </w:p>
              </w:tc>
              <w:tc>
                <w:tcPr>
                  <w:tcW w:w="838" w:type="pct"/>
                  <w:vAlign w:val="center"/>
                </w:tcPr>
                <w:p w14:paraId="41A06B0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火灾</w:t>
                  </w:r>
                  <w:r>
                    <w:rPr>
                      <w:rFonts w:ascii="Times New Roman" w:hAnsi="Times New Roman" w:eastAsia="宋体"/>
                      <w:color w:val="000000" w:themeColor="text1"/>
                      <w:sz w:val="21"/>
                      <w:szCs w:val="21"/>
                      <w14:textFill>
                        <w14:solidFill>
                          <w14:schemeClr w14:val="tx1"/>
                        </w14:solidFill>
                      </w14:textFill>
                    </w:rPr>
                    <w:t>、爆炸</w:t>
                  </w:r>
                </w:p>
              </w:tc>
            </w:tr>
            <w:tr w14:paraId="317490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3" w:type="pct"/>
                  <w:vAlign w:val="center"/>
                </w:tcPr>
                <w:p w14:paraId="1FB95C0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2</w:t>
                  </w:r>
                </w:p>
              </w:tc>
              <w:tc>
                <w:tcPr>
                  <w:tcW w:w="881" w:type="pct"/>
                  <w:vAlign w:val="center"/>
                </w:tcPr>
                <w:p w14:paraId="250C70E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加油</w:t>
                  </w:r>
                  <w:r>
                    <w:rPr>
                      <w:rFonts w:ascii="Times New Roman" w:hAnsi="Times New Roman" w:eastAsia="宋体"/>
                      <w:color w:val="000000" w:themeColor="text1"/>
                      <w:sz w:val="21"/>
                      <w:szCs w:val="21"/>
                      <w14:textFill>
                        <w14:solidFill>
                          <w14:schemeClr w14:val="tx1"/>
                        </w14:solidFill>
                      </w14:textFill>
                    </w:rPr>
                    <w:t>区</w:t>
                  </w:r>
                </w:p>
              </w:tc>
              <w:tc>
                <w:tcPr>
                  <w:tcW w:w="563" w:type="pct"/>
                  <w:vAlign w:val="center"/>
                </w:tcPr>
                <w:p w14:paraId="695336A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加油岛</w:t>
                  </w:r>
                </w:p>
              </w:tc>
              <w:tc>
                <w:tcPr>
                  <w:tcW w:w="895" w:type="pct"/>
                  <w:vAlign w:val="center"/>
                </w:tcPr>
                <w:p w14:paraId="3863EF5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汽</w:t>
                  </w:r>
                  <w:r>
                    <w:rPr>
                      <w:rFonts w:hint="eastAsia" w:ascii="Times New Roman" w:hAnsi="Times New Roman" w:eastAsia="宋体"/>
                      <w:color w:val="000000" w:themeColor="text1"/>
                      <w:sz w:val="21"/>
                      <w:szCs w:val="21"/>
                      <w14:textFill>
                        <w14:solidFill>
                          <w14:schemeClr w14:val="tx1"/>
                        </w14:solidFill>
                      </w14:textFill>
                    </w:rPr>
                    <w:t>油</w:t>
                  </w:r>
                  <w:r>
                    <w:rPr>
                      <w:rFonts w:hint="eastAsia" w:ascii="Times New Roman" w:hAnsi="Times New Roman" w:eastAsia="宋体"/>
                      <w:color w:val="000000" w:themeColor="text1"/>
                      <w:sz w:val="21"/>
                      <w:szCs w:val="21"/>
                      <w:lang w:eastAsia="zh-CN"/>
                      <w14:textFill>
                        <w14:solidFill>
                          <w14:schemeClr w14:val="tx1"/>
                        </w14:solidFill>
                      </w14:textFill>
                    </w:rPr>
                    <w:t>、</w:t>
                  </w:r>
                  <w:r>
                    <w:rPr>
                      <w:rFonts w:hint="eastAsia" w:ascii="Times New Roman" w:hAnsi="Times New Roman" w:eastAsia="宋体"/>
                      <w:color w:val="000000" w:themeColor="text1"/>
                      <w:sz w:val="21"/>
                      <w:szCs w:val="21"/>
                      <w14:textFill>
                        <w14:solidFill>
                          <w14:schemeClr w14:val="tx1"/>
                        </w14:solidFill>
                      </w14:textFill>
                    </w:rPr>
                    <w:t>柴油</w:t>
                  </w:r>
                </w:p>
              </w:tc>
              <w:tc>
                <w:tcPr>
                  <w:tcW w:w="1467" w:type="pct"/>
                  <w:vAlign w:val="center"/>
                </w:tcPr>
                <w:p w14:paraId="6CE0EA0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大气、地表水</w:t>
                  </w:r>
                  <w:r>
                    <w:rPr>
                      <w:rFonts w:ascii="Times New Roman" w:hAnsi="Times New Roman" w:eastAsia="宋体"/>
                      <w:color w:val="000000" w:themeColor="text1"/>
                      <w:sz w:val="21"/>
                      <w:szCs w:val="21"/>
                      <w14:textFill>
                        <w14:solidFill>
                          <w14:schemeClr w14:val="tx1"/>
                        </w14:solidFill>
                      </w14:textFill>
                    </w:rPr>
                    <w:t>、地下水污染</w:t>
                  </w:r>
                </w:p>
              </w:tc>
              <w:tc>
                <w:tcPr>
                  <w:tcW w:w="838" w:type="pct"/>
                  <w:vAlign w:val="center"/>
                </w:tcPr>
                <w:p w14:paraId="0B7F65E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管道泄漏</w:t>
                  </w:r>
                </w:p>
              </w:tc>
            </w:tr>
          </w:tbl>
          <w:p w14:paraId="5FE3F26B">
            <w:pPr>
              <w:spacing w:line="360" w:lineRule="auto"/>
              <w:ind w:firstLine="482" w:firstLineChars="200"/>
              <w:rPr>
                <w:rFonts w:ascii="Times New Roman" w:hAnsi="Times New Roman" w:eastAsia="宋体"/>
                <w:b/>
                <w:color w:val="000000" w:themeColor="text1"/>
                <w:sz w:val="24"/>
                <w14:textFill>
                  <w14:solidFill>
                    <w14:schemeClr w14:val="tx1"/>
                  </w14:solidFill>
                </w14:textFill>
              </w:rPr>
            </w:pPr>
            <w:r>
              <w:rPr>
                <w:rFonts w:hint="eastAsia" w:ascii="Times New Roman" w:hAnsi="Times New Roman" w:eastAsia="宋体"/>
                <w:b/>
                <w:color w:val="000000" w:themeColor="text1"/>
                <w:sz w:val="24"/>
                <w14:textFill>
                  <w14:solidFill>
                    <w14:schemeClr w14:val="tx1"/>
                  </w14:solidFill>
                </w14:textFill>
              </w:rPr>
              <w:t>（4）风险</w:t>
            </w:r>
            <w:r>
              <w:rPr>
                <w:rFonts w:ascii="Times New Roman" w:hAnsi="Times New Roman" w:eastAsia="宋体"/>
                <w:b/>
                <w:color w:val="000000" w:themeColor="text1"/>
                <w:sz w:val="24"/>
                <w14:textFill>
                  <w14:solidFill>
                    <w14:schemeClr w14:val="tx1"/>
                  </w14:solidFill>
                </w14:textFill>
              </w:rPr>
              <w:t>事故情形分析</w:t>
            </w:r>
          </w:p>
          <w:p w14:paraId="46D7ECE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本</w:t>
            </w:r>
            <w:r>
              <w:rPr>
                <w:rFonts w:hint="eastAsia" w:ascii="Times New Roman" w:hAnsi="Times New Roman" w:eastAsia="宋体"/>
                <w:color w:val="000000" w:themeColor="text1"/>
                <w:sz w:val="24"/>
                <w:lang w:val="en-US" w:eastAsia="zh-CN"/>
                <w14:textFill>
                  <w14:solidFill>
                    <w14:schemeClr w14:val="tx1"/>
                  </w14:solidFill>
                </w14:textFill>
              </w:rPr>
              <w:t>项目</w:t>
            </w:r>
            <w:r>
              <w:rPr>
                <w:rFonts w:hint="eastAsia" w:ascii="Times New Roman" w:hAnsi="Times New Roman" w:eastAsia="宋体"/>
                <w:color w:val="000000" w:themeColor="text1"/>
                <w:sz w:val="24"/>
                <w14:textFill>
                  <w14:solidFill>
                    <w14:schemeClr w14:val="tx1"/>
                  </w14:solidFill>
                </w14:textFill>
              </w:rPr>
              <w:t>主要是对各种油品进行</w:t>
            </w:r>
            <w:r>
              <w:rPr>
                <w:rFonts w:hint="eastAsia" w:ascii="Times New Roman" w:hAnsi="Times New Roman" w:eastAsia="宋体"/>
                <w:color w:val="000000" w:themeColor="text1"/>
                <w:sz w:val="24"/>
                <w:lang w:val="en-US" w:eastAsia="zh-CN"/>
                <w14:textFill>
                  <w14:solidFill>
                    <w14:schemeClr w14:val="tx1"/>
                  </w14:solidFill>
                </w14:textFill>
              </w:rPr>
              <w:t>贮</w:t>
            </w:r>
            <w:r>
              <w:rPr>
                <w:rFonts w:hint="eastAsia" w:ascii="Times New Roman" w:hAnsi="Times New Roman" w:eastAsia="宋体"/>
                <w:color w:val="000000" w:themeColor="text1"/>
                <w:sz w:val="24"/>
                <w14:textFill>
                  <w14:solidFill>
                    <w14:schemeClr w14:val="tx1"/>
                  </w14:solidFill>
                </w14:textFill>
              </w:rPr>
              <w:t>存及加油，工艺流程包括汽车卸油、储存、发油等。根据工程的特点并调研同类型工程，本</w:t>
            </w:r>
            <w:r>
              <w:rPr>
                <w:rFonts w:hint="eastAsia" w:ascii="Times New Roman" w:hAnsi="Times New Roman" w:eastAsia="宋体"/>
                <w:color w:val="000000" w:themeColor="text1"/>
                <w:sz w:val="24"/>
                <w:lang w:val="en-US" w:eastAsia="zh-CN"/>
                <w14:textFill>
                  <w14:solidFill>
                    <w14:schemeClr w14:val="tx1"/>
                  </w14:solidFill>
                </w14:textFill>
              </w:rPr>
              <w:t>项目</w:t>
            </w:r>
            <w:r>
              <w:rPr>
                <w:rFonts w:hint="eastAsia" w:ascii="Times New Roman" w:hAnsi="Times New Roman" w:eastAsia="宋体"/>
                <w:color w:val="000000" w:themeColor="text1"/>
                <w:sz w:val="24"/>
                <w14:textFill>
                  <w14:solidFill>
                    <w14:schemeClr w14:val="tx1"/>
                  </w14:solidFill>
                </w14:textFill>
              </w:rPr>
              <w:t>主要事故类型可以分为火灾与爆炸、溢出与泄漏两大类。</w:t>
            </w:r>
          </w:p>
          <w:p w14:paraId="64A93C2D">
            <w:pPr>
              <w:spacing w:line="360" w:lineRule="auto"/>
              <w:ind w:firstLine="482" w:firstLineChars="200"/>
              <w:rPr>
                <w:rFonts w:ascii="Times New Roman" w:hAnsi="Times New Roman" w:eastAsia="宋体"/>
                <w:b/>
                <w:color w:val="000000" w:themeColor="text1"/>
                <w:sz w:val="24"/>
                <w14:textFill>
                  <w14:solidFill>
                    <w14:schemeClr w14:val="tx1"/>
                  </w14:solidFill>
                </w14:textFill>
              </w:rPr>
            </w:pPr>
            <w:r>
              <w:rPr>
                <w:rFonts w:hint="eastAsia" w:ascii="Times New Roman" w:hAnsi="Times New Roman" w:eastAsia="宋体"/>
                <w:b/>
                <w:color w:val="000000" w:themeColor="text1"/>
                <w:sz w:val="24"/>
                <w:lang w:val="en-US" w:eastAsia="zh-CN"/>
                <w14:textFill>
                  <w14:solidFill>
                    <w14:schemeClr w14:val="tx1"/>
                  </w14:solidFill>
                </w14:textFill>
              </w:rPr>
              <w:t>1）</w:t>
            </w:r>
            <w:r>
              <w:rPr>
                <w:rFonts w:hint="eastAsia" w:ascii="Times New Roman" w:hAnsi="Times New Roman" w:eastAsia="宋体"/>
                <w:b/>
                <w:color w:val="000000" w:themeColor="text1"/>
                <w:sz w:val="24"/>
                <w14:textFill>
                  <w14:solidFill>
                    <w14:schemeClr w14:val="tx1"/>
                  </w14:solidFill>
                </w14:textFill>
              </w:rPr>
              <w:t>火灾与爆炸</w:t>
            </w:r>
          </w:p>
          <w:p w14:paraId="4B7682C2">
            <w:pPr>
              <w:spacing w:line="360"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有资料表明，在发油时，因为液位下降，罐内气体压力小于大气压力，大量空气补充进入罐内，当达到爆炸极限时，遇火就会发生爆炸。同时，油品输出使罐内形成负压，在罐外燃烧的火焰还会被吸储油罐内，使罐内油蒸气爆炸。</w:t>
            </w:r>
          </w:p>
          <w:p w14:paraId="1C832259">
            <w:pPr>
              <w:spacing w:line="360"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加油站若要发生火灾及爆炸，必须具备下列条件：油类泄漏或油气蒸发；有中够的空气助燃；油气必须与空气混和，并达到一定的浓度；现场有明火。</w:t>
            </w:r>
          </w:p>
          <w:p w14:paraId="6DC969F3">
            <w:pPr>
              <w:spacing w:line="360"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只有以上四个条件同时具备时，才可能发生火灾和爆炸。</w:t>
            </w:r>
            <w:r>
              <w:rPr>
                <w:rFonts w:ascii="Times New Roman" w:hAnsi="Times New Roman" w:eastAsia="宋体"/>
                <w:color w:val="000000" w:themeColor="text1"/>
                <w:sz w:val="24"/>
                <w14:textFill>
                  <w14:solidFill>
                    <w14:schemeClr w14:val="tx1"/>
                  </w14:solidFill>
                </w14:textFill>
              </w:rPr>
              <w:t>根据全国统计，储油罐火灾及爆炸事故发生的概率运运低于3.1×10</w:t>
            </w:r>
            <w:r>
              <w:rPr>
                <w:rFonts w:ascii="Times New Roman" w:hAnsi="Times New Roman" w:eastAsia="宋体"/>
                <w:color w:val="000000" w:themeColor="text1"/>
                <w:sz w:val="24"/>
                <w:vertAlign w:val="superscript"/>
                <w14:textFill>
                  <w14:solidFill>
                    <w14:schemeClr w14:val="tx1"/>
                  </w14:solidFill>
                </w14:textFill>
              </w:rPr>
              <w:t>-5</w:t>
            </w:r>
            <w:r>
              <w:rPr>
                <w:rFonts w:ascii="Times New Roman" w:hAnsi="Times New Roman" w:eastAsia="宋体"/>
                <w:color w:val="000000" w:themeColor="text1"/>
                <w:sz w:val="24"/>
                <w14:textFill>
                  <w14:solidFill>
                    <w14:schemeClr w14:val="tx1"/>
                  </w14:solidFill>
                </w14:textFill>
              </w:rPr>
              <w:t>次/年。</w:t>
            </w:r>
          </w:p>
          <w:p w14:paraId="62F28344">
            <w:pPr>
              <w:spacing w:line="360" w:lineRule="auto"/>
              <w:ind w:firstLine="482" w:firstLineChars="200"/>
              <w:rPr>
                <w:rFonts w:ascii="Times New Roman" w:hAnsi="Times New Roman" w:eastAsia="宋体"/>
                <w:b/>
                <w:color w:val="000000" w:themeColor="text1"/>
                <w:sz w:val="24"/>
                <w14:textFill>
                  <w14:solidFill>
                    <w14:schemeClr w14:val="tx1"/>
                  </w14:solidFill>
                </w14:textFill>
              </w:rPr>
            </w:pPr>
            <w:r>
              <w:rPr>
                <w:rFonts w:hint="eastAsia" w:ascii="Times New Roman" w:hAnsi="Times New Roman" w:eastAsia="宋体"/>
                <w:b/>
                <w:color w:val="000000" w:themeColor="text1"/>
                <w:sz w:val="24"/>
                <w:lang w:val="en-US" w:eastAsia="zh-CN"/>
                <w14:textFill>
                  <w14:solidFill>
                    <w14:schemeClr w14:val="tx1"/>
                  </w14:solidFill>
                </w14:textFill>
              </w:rPr>
              <w:t>2）</w:t>
            </w:r>
            <w:r>
              <w:rPr>
                <w:rFonts w:hint="eastAsia" w:ascii="Times New Roman" w:hAnsi="Times New Roman" w:eastAsia="宋体"/>
                <w:b/>
                <w:color w:val="000000" w:themeColor="text1"/>
                <w:sz w:val="24"/>
                <w14:textFill>
                  <w14:solidFill>
                    <w14:schemeClr w14:val="tx1"/>
                  </w14:solidFill>
                </w14:textFill>
              </w:rPr>
              <w:t>油罐溢出、泄漏</w:t>
            </w:r>
          </w:p>
          <w:p w14:paraId="0CA2A870">
            <w:pPr>
              <w:spacing w:line="360"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油罐的泄漏的溢出较易发生。</w:t>
            </w:r>
            <w:r>
              <w:rPr>
                <w:rFonts w:ascii="Times New Roman" w:hAnsi="Times New Roman" w:eastAsia="宋体"/>
                <w:color w:val="000000" w:themeColor="text1"/>
                <w:sz w:val="24"/>
                <w14:textFill>
                  <w14:solidFill>
                    <w14:schemeClr w14:val="tx1"/>
                  </w14:solidFill>
                </w14:textFill>
              </w:rPr>
              <w:t>因此，储油罐及输油管线的泄漏、溢出问题不能轻视。</w:t>
            </w:r>
          </w:p>
          <w:p w14:paraId="57249745">
            <w:pPr>
              <w:spacing w:line="360" w:lineRule="auto"/>
              <w:ind w:firstLine="480" w:firstLineChars="200"/>
              <w:rPr>
                <w:rFonts w:ascii="Times New Roman" w:hAnsi="Times New Roman" w:eastAsia="宋体"/>
                <w:color w:val="000000" w:themeColor="text1"/>
                <w:sz w:val="24"/>
                <w14:textFill>
                  <w14:solidFill>
                    <w14:schemeClr w14:val="tx1"/>
                  </w14:solidFill>
                </w14:textFill>
              </w:rPr>
            </w:pPr>
            <w:r>
              <w:rPr>
                <w:rFonts w:ascii="Times New Roman" w:hAnsi="Times New Roman" w:eastAsia="宋体"/>
                <w:color w:val="000000" w:themeColor="text1"/>
                <w:sz w:val="24"/>
                <w14:textFill>
                  <w14:solidFill>
                    <w14:schemeClr w14:val="tx1"/>
                  </w14:solidFill>
                </w14:textFill>
              </w:rPr>
              <w:t>根据统计，储油罐可能发生溢出的原因如下：油罐计量仪表失灵，致使油罐加油过程中灌满溢出；在为储油罐加油过程中，由于存在气障气阻，致使油类溢出；在加油过程中，由于接口不同，衔接不严密，致使油类溢出。</w:t>
            </w:r>
          </w:p>
          <w:p w14:paraId="31CC0FF4">
            <w:pPr>
              <w:spacing w:line="360"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可能发生油罐泄漏的原因如下：输油管道腐蚀致使油类泄漏；由于施工而破坏输油管道；在收发油过程中，由于操作失误，致使油类泄漏；各个管道接口不严，致使跑、冒、滴、漏现象的发生。</w:t>
            </w:r>
          </w:p>
          <w:p w14:paraId="7C8CCDF7">
            <w:pPr>
              <w:spacing w:line="360"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溢出和泄漏的油类不仅污染地表水环境，污染地下水，而且对地区水源可能带来不良影响。一旦污染，将难以消除，而且还是引起火灾和爆炸的隐患。</w:t>
            </w:r>
          </w:p>
          <w:p w14:paraId="40C68420">
            <w:pPr>
              <w:spacing w:line="360" w:lineRule="auto"/>
              <w:ind w:firstLine="482" w:firstLineChars="200"/>
              <w:rPr>
                <w:rFonts w:ascii="Times New Roman" w:hAnsi="Times New Roman" w:eastAsia="宋体"/>
                <w:b/>
                <w:color w:val="000000" w:themeColor="text1"/>
                <w:sz w:val="24"/>
                <w14:textFill>
                  <w14:solidFill>
                    <w14:schemeClr w14:val="tx1"/>
                  </w14:solidFill>
                </w14:textFill>
              </w:rPr>
            </w:pPr>
            <w:r>
              <w:rPr>
                <w:rFonts w:hint="eastAsia" w:ascii="Times New Roman" w:hAnsi="Times New Roman" w:eastAsia="宋体"/>
                <w:b/>
                <w:color w:val="000000" w:themeColor="text1"/>
                <w:sz w:val="24"/>
                <w:lang w:val="en-US" w:eastAsia="zh-CN"/>
                <w14:textFill>
                  <w14:solidFill>
                    <w14:schemeClr w14:val="tx1"/>
                  </w14:solidFill>
                </w14:textFill>
              </w:rPr>
              <w:t>3）</w:t>
            </w:r>
            <w:r>
              <w:rPr>
                <w:rFonts w:hint="eastAsia" w:ascii="Times New Roman" w:hAnsi="Times New Roman" w:eastAsia="宋体"/>
                <w:b/>
                <w:color w:val="000000" w:themeColor="text1"/>
                <w:sz w:val="24"/>
                <w14:textFill>
                  <w14:solidFill>
                    <w14:schemeClr w14:val="tx1"/>
                  </w14:solidFill>
                </w14:textFill>
              </w:rPr>
              <w:t>事故风险识别</w:t>
            </w:r>
          </w:p>
          <w:p w14:paraId="1AC7A229">
            <w:pPr>
              <w:spacing w:line="360"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从前面两种事故分析来看，火灾与爆炸出现的频率较低，但其危害性较大，一旦出现瞬间即可完成，并且很难进行补救的应急，其后果十分严重。本加油站采用卧式油罐埋地设置，根据《汽车加油加气加氢站技术标准》（</w:t>
            </w:r>
            <w:r>
              <w:rPr>
                <w:rFonts w:ascii="Times New Roman" w:hAnsi="Times New Roman" w:eastAsia="宋体"/>
                <w:color w:val="000000" w:themeColor="text1"/>
                <w:sz w:val="24"/>
                <w14:textFill>
                  <w14:solidFill>
                    <w14:schemeClr w14:val="tx1"/>
                  </w14:solidFill>
                </w14:textFill>
              </w:rPr>
              <w:t>GB50156-2021），采用卧式油罐埋地设置比较安全。</w:t>
            </w:r>
          </w:p>
          <w:p w14:paraId="77A4ACE6">
            <w:pPr>
              <w:spacing w:line="360"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油罐溢出、泄漏的发生频率相对火灾与爆炸要高一些，其发生带有明显的随机性和偶然性。这类事故的出现对环境的影响将会持续一定的时间，带来的后果也较为严重。本项目各输油管道与油罐都按照有关规范进行了设计与施工，并取了有效的检测渗漏的设施，只要加强管理，按照操作规范作业，产生该类事故的几率也很小。</w:t>
            </w:r>
          </w:p>
          <w:p w14:paraId="0389E1A1">
            <w:pPr>
              <w:spacing w:line="360" w:lineRule="auto"/>
              <w:ind w:firstLine="482" w:firstLineChars="200"/>
              <w:rPr>
                <w:rFonts w:ascii="Times New Roman" w:hAnsi="Times New Roman" w:eastAsia="宋体"/>
                <w:b/>
                <w:color w:val="000000" w:themeColor="text1"/>
                <w:sz w:val="24"/>
                <w14:textFill>
                  <w14:solidFill>
                    <w14:schemeClr w14:val="tx1"/>
                  </w14:solidFill>
                </w14:textFill>
              </w:rPr>
            </w:pPr>
            <w:r>
              <w:rPr>
                <w:rFonts w:hint="eastAsia" w:ascii="Times New Roman" w:hAnsi="Times New Roman" w:eastAsia="宋体"/>
                <w:b/>
                <w:color w:val="000000" w:themeColor="text1"/>
                <w:sz w:val="24"/>
                <w14:textFill>
                  <w14:solidFill>
                    <w14:schemeClr w14:val="tx1"/>
                  </w14:solidFill>
                </w14:textFill>
              </w:rPr>
              <w:t>（5）环境</w:t>
            </w:r>
            <w:r>
              <w:rPr>
                <w:rFonts w:ascii="Times New Roman" w:hAnsi="Times New Roman" w:eastAsia="宋体"/>
                <w:b/>
                <w:color w:val="000000" w:themeColor="text1"/>
                <w:sz w:val="24"/>
                <w14:textFill>
                  <w14:solidFill>
                    <w14:schemeClr w14:val="tx1"/>
                  </w14:solidFill>
                </w14:textFill>
              </w:rPr>
              <w:t>风险分析</w:t>
            </w:r>
          </w:p>
          <w:p w14:paraId="5BA18A85">
            <w:pPr>
              <w:spacing w:line="360" w:lineRule="auto"/>
              <w:ind w:firstLine="482" w:firstLineChars="200"/>
              <w:rPr>
                <w:rFonts w:ascii="Times New Roman" w:hAnsi="Times New Roman" w:eastAsia="宋体"/>
                <w:b/>
                <w:color w:val="000000" w:themeColor="text1"/>
                <w:sz w:val="24"/>
                <w14:textFill>
                  <w14:solidFill>
                    <w14:schemeClr w14:val="tx1"/>
                  </w14:solidFill>
                </w14:textFill>
              </w:rPr>
            </w:pPr>
            <w:r>
              <w:rPr>
                <w:rFonts w:hint="eastAsia" w:ascii="Times New Roman" w:hAnsi="Times New Roman" w:eastAsia="宋体"/>
                <w:b/>
                <w:color w:val="000000" w:themeColor="text1"/>
                <w:sz w:val="24"/>
                <w:lang w:val="en-US" w:eastAsia="zh-CN"/>
                <w14:textFill>
                  <w14:solidFill>
                    <w14:schemeClr w14:val="tx1"/>
                  </w14:solidFill>
                </w14:textFill>
              </w:rPr>
              <w:t>1）</w:t>
            </w:r>
            <w:r>
              <w:rPr>
                <w:rFonts w:hint="eastAsia" w:ascii="Times New Roman" w:hAnsi="Times New Roman" w:eastAsia="宋体"/>
                <w:b/>
                <w:color w:val="000000" w:themeColor="text1"/>
                <w:sz w:val="24"/>
                <w14:textFill>
                  <w14:solidFill>
                    <w14:schemeClr w14:val="tx1"/>
                  </w14:solidFill>
                </w14:textFill>
              </w:rPr>
              <w:t>大气环境风险后果分析</w:t>
            </w:r>
          </w:p>
          <w:p w14:paraId="5F4BF086">
            <w:pPr>
              <w:spacing w:line="360"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◆泄漏影响分析</w:t>
            </w:r>
          </w:p>
          <w:p w14:paraId="7F572735">
            <w:pPr>
              <w:spacing w:line="360"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根据国内外的研究，对于突发性的事故溢油，油品溢出后在地面呈不规则的面源分布，油品的挥发速度重要影响因素为油品蒸汽压、现场风速、油品溢出面积、油品蒸汽分子平均重度。</w:t>
            </w:r>
          </w:p>
          <w:p w14:paraId="4D8816FC">
            <w:pPr>
              <w:spacing w:line="360"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本项目储油罐采用地埋</w:t>
            </w:r>
            <w:r>
              <w:rPr>
                <w:rFonts w:hint="eastAsia" w:ascii="Times New Roman" w:hAnsi="Times New Roman" w:eastAsia="宋体"/>
                <w:color w:val="000000" w:themeColor="text1"/>
                <w:sz w:val="24"/>
                <w:lang w:val="en-US" w:eastAsia="zh-CN"/>
                <w14:textFill>
                  <w14:solidFill>
                    <w14:schemeClr w14:val="tx1"/>
                  </w14:solidFill>
                </w14:textFill>
              </w:rPr>
              <w:t>卧</w:t>
            </w:r>
            <w:r>
              <w:rPr>
                <w:rFonts w:hint="eastAsia" w:ascii="Times New Roman" w:hAnsi="Times New Roman" w:eastAsia="宋体"/>
                <w:color w:val="000000" w:themeColor="text1"/>
                <w:sz w:val="24"/>
                <w14:textFill>
                  <w14:solidFill>
                    <w14:schemeClr w14:val="tx1"/>
                  </w14:solidFill>
                </w14:textFill>
              </w:rPr>
              <w:t>式储油罐工艺，加油站一旦发生渗漏与溢出事故，由于项目采取了渗漏溢出检测设施，因此可及时发现储油罐渗漏，油品渗漏量较小，此外，油罐区内的油罐为双层油罐，故在油罐发生泄漏时，经通过罐体之间的空隙进行收集，不会造成大面积的扩散，对大气环境影响小。</w:t>
            </w:r>
          </w:p>
          <w:p w14:paraId="78E6AFC3">
            <w:pPr>
              <w:spacing w:line="360"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◆火灾、爆炸影响分析</w:t>
            </w:r>
          </w:p>
          <w:p w14:paraId="44F1D376">
            <w:pPr>
              <w:spacing w:line="360"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汽油、柴油为碳氢化合物，分解产物为一氧化碳</w:t>
            </w:r>
            <w:r>
              <w:rPr>
                <w:rFonts w:ascii="Times New Roman" w:hAnsi="Times New Roman" w:eastAsia="宋体"/>
                <w:color w:val="000000" w:themeColor="text1"/>
                <w:sz w:val="24"/>
                <w14:textFill>
                  <w14:solidFill>
                    <w14:schemeClr w14:val="tx1"/>
                  </w14:solidFill>
                </w14:textFill>
              </w:rPr>
              <w:t>CO、CO</w:t>
            </w:r>
            <w:r>
              <w:rPr>
                <w:rFonts w:ascii="Times New Roman" w:hAnsi="Times New Roman" w:eastAsia="宋体"/>
                <w:color w:val="000000" w:themeColor="text1"/>
                <w:sz w:val="24"/>
                <w:vertAlign w:val="subscript"/>
                <w14:textFill>
                  <w14:solidFill>
                    <w14:schemeClr w14:val="tx1"/>
                  </w14:solidFill>
                </w14:textFill>
              </w:rPr>
              <w:t>2</w:t>
            </w:r>
            <w:r>
              <w:rPr>
                <w:rFonts w:ascii="Times New Roman" w:hAnsi="Times New Roman" w:eastAsia="宋体"/>
                <w:color w:val="000000" w:themeColor="text1"/>
                <w:sz w:val="24"/>
                <w14:textFill>
                  <w14:solidFill>
                    <w14:schemeClr w14:val="tx1"/>
                  </w14:solidFill>
                </w14:textFill>
              </w:rPr>
              <w:t>及水，其中完全燃烧时产生CO</w:t>
            </w:r>
            <w:r>
              <w:rPr>
                <w:rFonts w:ascii="Times New Roman" w:hAnsi="Times New Roman" w:eastAsia="宋体"/>
                <w:color w:val="000000" w:themeColor="text1"/>
                <w:sz w:val="24"/>
                <w:vertAlign w:val="subscript"/>
                <w14:textFill>
                  <w14:solidFill>
                    <w14:schemeClr w14:val="tx1"/>
                  </w14:solidFill>
                </w14:textFill>
              </w:rPr>
              <w:t>2</w:t>
            </w:r>
            <w:r>
              <w:rPr>
                <w:rFonts w:ascii="Times New Roman" w:hAnsi="Times New Roman" w:eastAsia="宋体"/>
                <w:color w:val="000000" w:themeColor="text1"/>
                <w:sz w:val="24"/>
                <w14:textFill>
                  <w14:solidFill>
                    <w14:schemeClr w14:val="tx1"/>
                  </w14:solidFill>
                </w14:textFill>
              </w:rPr>
              <w:t>，不完全燃烧时产生CO。CO在大气中比较稳定，不易与其他物质产生化学反应，但当CO浓度过高时，人在这种环境下待的时间较长，就会出现晕眩、头痛、怠倦的现象，CO对人的主要危害就是引起组织缺氧，导致急性或者慢性中毒甚至有死亡的威胁。此外，CO还可能造成听力与视力的损害，比如视野的减小或者听力的丧失。二氧化碳对环境影响主要为温室效应。根据前面分析，加油站出现火灾、爆炸事故概率较小，排放CO、CO</w:t>
            </w:r>
            <w:r>
              <w:rPr>
                <w:rFonts w:ascii="Times New Roman" w:hAnsi="Times New Roman" w:eastAsia="宋体"/>
                <w:color w:val="000000" w:themeColor="text1"/>
                <w:sz w:val="24"/>
                <w:vertAlign w:val="subscript"/>
                <w14:textFill>
                  <w14:solidFill>
                    <w14:schemeClr w14:val="tx1"/>
                  </w14:solidFill>
                </w14:textFill>
              </w:rPr>
              <w:t>2</w:t>
            </w:r>
            <w:r>
              <w:rPr>
                <w:rFonts w:ascii="Times New Roman" w:hAnsi="Times New Roman" w:eastAsia="宋体"/>
                <w:color w:val="000000" w:themeColor="text1"/>
                <w:sz w:val="24"/>
                <w14:textFill>
                  <w14:solidFill>
                    <w14:schemeClr w14:val="tx1"/>
                  </w14:solidFill>
                </w14:textFill>
              </w:rPr>
              <w:t>经大气稀释、扩散后对周边大气环境影</w:t>
            </w:r>
            <w:r>
              <w:rPr>
                <w:rFonts w:hint="eastAsia" w:ascii="Times New Roman" w:hAnsi="Times New Roman" w:eastAsia="宋体"/>
                <w:color w:val="000000" w:themeColor="text1"/>
                <w:sz w:val="24"/>
                <w14:textFill>
                  <w14:solidFill>
                    <w14:schemeClr w14:val="tx1"/>
                  </w14:solidFill>
                </w14:textFill>
              </w:rPr>
              <w:t>响较小。</w:t>
            </w:r>
          </w:p>
          <w:p w14:paraId="0C4A2705">
            <w:pPr>
              <w:spacing w:line="360" w:lineRule="auto"/>
              <w:ind w:firstLine="482" w:firstLineChars="200"/>
              <w:rPr>
                <w:rFonts w:ascii="Times New Roman" w:hAnsi="Times New Roman" w:eastAsia="宋体"/>
                <w:b/>
                <w:color w:val="000000" w:themeColor="text1"/>
                <w:sz w:val="24"/>
                <w14:textFill>
                  <w14:solidFill>
                    <w14:schemeClr w14:val="tx1"/>
                  </w14:solidFill>
                </w14:textFill>
              </w:rPr>
            </w:pPr>
            <w:r>
              <w:rPr>
                <w:rFonts w:hint="eastAsia" w:ascii="Times New Roman" w:hAnsi="Times New Roman" w:eastAsia="宋体"/>
                <w:b/>
                <w:color w:val="000000" w:themeColor="text1"/>
                <w:sz w:val="24"/>
                <w:lang w:val="en-US" w:eastAsia="zh-CN"/>
                <w14:textFill>
                  <w14:solidFill>
                    <w14:schemeClr w14:val="tx1"/>
                  </w14:solidFill>
                </w14:textFill>
              </w:rPr>
              <w:t>2）</w:t>
            </w:r>
            <w:r>
              <w:rPr>
                <w:rFonts w:hint="eastAsia" w:ascii="Times New Roman" w:hAnsi="Times New Roman" w:eastAsia="宋体"/>
                <w:b/>
                <w:color w:val="000000" w:themeColor="text1"/>
                <w:sz w:val="24"/>
                <w14:textFill>
                  <w14:solidFill>
                    <w14:schemeClr w14:val="tx1"/>
                  </w14:solidFill>
                </w14:textFill>
              </w:rPr>
              <w:t>地表水环境风险后果分析</w:t>
            </w:r>
          </w:p>
          <w:p w14:paraId="13C7936E">
            <w:pPr>
              <w:spacing w:line="360"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泄漏或渗漏的成品油一旦进入地表河流，将造成地表河流的污染，影响范围小到几公里大到几十公里。污染首先将造成地表河流的破坏，产生严重的刺鼻气味；其次，由于有机烃类物质难溶于水，大部分上浮在水层表面，形成一层油膜使空气与水隔离，造成水中溶解氧浓度降低，逐渐形成死水，致使水中生物死亡；再次，成品油的主要成分是</w:t>
            </w:r>
            <w:r>
              <w:rPr>
                <w:rFonts w:ascii="Times New Roman" w:hAnsi="Times New Roman" w:eastAsia="宋体"/>
                <w:color w:val="000000" w:themeColor="text1"/>
                <w:sz w:val="24"/>
                <w14:textFill>
                  <w14:solidFill>
                    <w14:schemeClr w14:val="tx1"/>
                  </w14:solidFill>
                </w14:textFill>
              </w:rPr>
              <w:t>C</w:t>
            </w:r>
            <w:r>
              <w:rPr>
                <w:rFonts w:ascii="Times New Roman" w:hAnsi="Times New Roman" w:eastAsia="宋体"/>
                <w:color w:val="000000" w:themeColor="text1"/>
                <w:sz w:val="24"/>
                <w:vertAlign w:val="subscript"/>
                <w14:textFill>
                  <w14:solidFill>
                    <w14:schemeClr w14:val="tx1"/>
                  </w14:solidFill>
                </w14:textFill>
              </w:rPr>
              <w:t>4</w:t>
            </w:r>
            <w:r>
              <w:rPr>
                <w:rFonts w:hint="eastAsia" w:ascii="Times New Roman" w:hAnsi="Times New Roman" w:eastAsia="宋体"/>
                <w:color w:val="000000" w:themeColor="text1"/>
                <w:sz w:val="24"/>
                <w:lang w:val="en-US" w:eastAsia="zh-CN"/>
                <w14:textFill>
                  <w14:solidFill>
                    <w14:schemeClr w14:val="tx1"/>
                  </w14:solidFill>
                </w14:textFill>
              </w:rPr>
              <w:t>~</w:t>
            </w:r>
            <w:r>
              <w:rPr>
                <w:rFonts w:ascii="Times New Roman" w:hAnsi="Times New Roman" w:eastAsia="宋体"/>
                <w:color w:val="000000" w:themeColor="text1"/>
                <w:sz w:val="24"/>
                <w14:textFill>
                  <w14:solidFill>
                    <w14:schemeClr w14:val="tx1"/>
                  </w14:solidFill>
                </w14:textFill>
              </w:rPr>
              <w:t>C</w:t>
            </w:r>
            <w:r>
              <w:rPr>
                <w:rFonts w:ascii="Times New Roman" w:hAnsi="Times New Roman" w:eastAsia="宋体"/>
                <w:color w:val="000000" w:themeColor="text1"/>
                <w:sz w:val="24"/>
                <w:vertAlign w:val="subscript"/>
                <w14:textFill>
                  <w14:solidFill>
                    <w14:schemeClr w14:val="tx1"/>
                  </w14:solidFill>
                </w14:textFill>
              </w:rPr>
              <w:t>9</w:t>
            </w:r>
            <w:r>
              <w:rPr>
                <w:rFonts w:ascii="Times New Roman" w:hAnsi="Times New Roman" w:eastAsia="宋体"/>
                <w:color w:val="000000" w:themeColor="text1"/>
                <w:sz w:val="24"/>
                <w14:textFill>
                  <w14:solidFill>
                    <w14:schemeClr w14:val="tx1"/>
                  </w14:solidFill>
                </w14:textFill>
              </w:rPr>
              <w:t>烃类、芳烃类、醇酮类以卤代烃类有机物，一旦破坏水环境，由于可生化性较差，造成被污染水体长时间得不到净化，完全恢复则需要十几年，甚至几十年的时间。</w:t>
            </w:r>
          </w:p>
          <w:p w14:paraId="6A6FA7AB">
            <w:pPr>
              <w:spacing w:line="360"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lang w:val="en-US" w:eastAsia="zh-CN"/>
                <w14:textFill>
                  <w14:solidFill>
                    <w14:schemeClr w14:val="tx1"/>
                  </w14:solidFill>
                </w14:textFill>
              </w:rPr>
              <w:t>本</w:t>
            </w:r>
            <w:r>
              <w:rPr>
                <w:rFonts w:hint="eastAsia" w:ascii="Times New Roman" w:hAnsi="Times New Roman" w:eastAsia="宋体"/>
                <w:color w:val="000000" w:themeColor="text1"/>
                <w:sz w:val="24"/>
                <w14:textFill>
                  <w14:solidFill>
                    <w14:schemeClr w14:val="tx1"/>
                  </w14:solidFill>
                </w14:textFill>
              </w:rPr>
              <w:t>项目</w:t>
            </w:r>
            <w:r>
              <w:rPr>
                <w:rFonts w:hint="eastAsia" w:ascii="Times New Roman" w:hAnsi="Times New Roman" w:eastAsia="宋体"/>
                <w:color w:val="000000" w:themeColor="text1"/>
                <w:sz w:val="24"/>
                <w:lang w:val="en-US" w:eastAsia="zh-CN"/>
                <w14:textFill>
                  <w14:solidFill>
                    <w14:schemeClr w14:val="tx1"/>
                  </w14:solidFill>
                </w14:textFill>
              </w:rPr>
              <w:t>储</w:t>
            </w:r>
            <w:r>
              <w:rPr>
                <w:rFonts w:hint="eastAsia" w:ascii="Times New Roman" w:hAnsi="Times New Roman" w:eastAsia="宋体"/>
                <w:color w:val="000000" w:themeColor="text1"/>
                <w:sz w:val="24"/>
                <w14:textFill>
                  <w14:solidFill>
                    <w14:schemeClr w14:val="tx1"/>
                  </w14:solidFill>
                </w14:textFill>
              </w:rPr>
              <w:t>罐区内油</w:t>
            </w:r>
            <w:r>
              <w:rPr>
                <w:rFonts w:hint="eastAsia" w:ascii="Times New Roman" w:hAnsi="Times New Roman" w:eastAsia="宋体"/>
                <w:color w:val="000000" w:themeColor="text1"/>
                <w:sz w:val="24"/>
                <w:lang w:val="en-US" w:eastAsia="zh-CN"/>
                <w14:textFill>
                  <w14:solidFill>
                    <w14:schemeClr w14:val="tx1"/>
                  </w14:solidFill>
                </w14:textFill>
              </w:rPr>
              <w:t>罐</w:t>
            </w:r>
            <w:r>
              <w:rPr>
                <w:rFonts w:hint="eastAsia" w:ascii="Times New Roman" w:hAnsi="Times New Roman" w:eastAsia="宋体"/>
                <w:color w:val="000000" w:themeColor="text1"/>
                <w:sz w:val="24"/>
                <w14:textFill>
                  <w14:solidFill>
                    <w14:schemeClr w14:val="tx1"/>
                  </w14:solidFill>
                </w14:textFill>
              </w:rPr>
              <w:t>采用双层油罐，并安装双层罐泄漏检测仪，对各</w:t>
            </w:r>
            <w:r>
              <w:rPr>
                <w:rFonts w:hint="eastAsia"/>
                <w:color w:val="000000" w:themeColor="text1"/>
                <w:sz w:val="24"/>
                <w:lang w:val="en-US" w:eastAsia="zh-CN"/>
                <w14:textFill>
                  <w14:solidFill>
                    <w14:schemeClr w14:val="tx1"/>
                  </w14:solidFill>
                </w14:textFill>
              </w:rPr>
              <w:t>座</w:t>
            </w:r>
            <w:r>
              <w:rPr>
                <w:rFonts w:hint="eastAsia" w:ascii="Times New Roman" w:hAnsi="Times New Roman" w:eastAsia="宋体"/>
                <w:color w:val="000000" w:themeColor="text1"/>
                <w:sz w:val="24"/>
                <w14:textFill>
                  <w14:solidFill>
                    <w14:schemeClr w14:val="tx1"/>
                  </w14:solidFill>
                </w14:textFill>
              </w:rPr>
              <w:t>油罐进行</w:t>
            </w:r>
            <w:r>
              <w:rPr>
                <w:rFonts w:ascii="Times New Roman" w:hAnsi="Times New Roman" w:eastAsia="宋体"/>
                <w:color w:val="000000" w:themeColor="text1"/>
                <w:sz w:val="24"/>
                <w14:textFill>
                  <w14:solidFill>
                    <w14:schemeClr w14:val="tx1"/>
                  </w14:solidFill>
                </w14:textFill>
              </w:rPr>
              <w:t>24小时连续监控，一旦发生泄漏，就会发现，并及时采取措施，不会进入地表水体，对地表水环境产生影响小。</w:t>
            </w:r>
          </w:p>
          <w:p w14:paraId="58803A9D">
            <w:pPr>
              <w:spacing w:line="360"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汽油和柴油燃烧、爆炸产生污染物主要为</w:t>
            </w:r>
            <w:r>
              <w:rPr>
                <w:rFonts w:ascii="Times New Roman" w:hAnsi="Times New Roman" w:eastAsia="宋体"/>
                <w:color w:val="000000" w:themeColor="text1"/>
                <w:sz w:val="24"/>
                <w14:textFill>
                  <w14:solidFill>
                    <w14:schemeClr w14:val="tx1"/>
                  </w14:solidFill>
                </w14:textFill>
              </w:rPr>
              <w:t>CO和CO</w:t>
            </w:r>
            <w:r>
              <w:rPr>
                <w:rFonts w:ascii="Times New Roman" w:hAnsi="Times New Roman" w:eastAsia="宋体"/>
                <w:color w:val="000000" w:themeColor="text1"/>
                <w:sz w:val="24"/>
                <w:vertAlign w:val="subscript"/>
                <w14:textFill>
                  <w14:solidFill>
                    <w14:schemeClr w14:val="tx1"/>
                  </w14:solidFill>
                </w14:textFill>
              </w:rPr>
              <w:t>2</w:t>
            </w:r>
            <w:r>
              <w:rPr>
                <w:rFonts w:ascii="Times New Roman" w:hAnsi="Times New Roman" w:eastAsia="宋体"/>
                <w:color w:val="000000" w:themeColor="text1"/>
                <w:sz w:val="24"/>
                <w14:textFill>
                  <w14:solidFill>
                    <w14:schemeClr w14:val="tx1"/>
                  </w14:solidFill>
                </w14:textFill>
              </w:rPr>
              <w:t>，两种物质均不溶于水。项目站内布设灭火器均为干粉灭火器及消防沙箱，发生火灾及灭火过程中项目内不会产生废水。</w:t>
            </w:r>
          </w:p>
          <w:p w14:paraId="4A557DA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Times New Roman" w:hAnsi="Times New Roman" w:eastAsia="宋体"/>
                <w:b/>
                <w:color w:val="000000" w:themeColor="text1"/>
                <w:sz w:val="24"/>
                <w14:textFill>
                  <w14:solidFill>
                    <w14:schemeClr w14:val="tx1"/>
                  </w14:solidFill>
                </w14:textFill>
              </w:rPr>
            </w:pPr>
            <w:r>
              <w:rPr>
                <w:rFonts w:hint="eastAsia" w:ascii="Times New Roman" w:hAnsi="Times New Roman" w:eastAsia="宋体"/>
                <w:b/>
                <w:color w:val="000000" w:themeColor="text1"/>
                <w:sz w:val="24"/>
                <w:lang w:val="en-US" w:eastAsia="zh-CN"/>
                <w14:textFill>
                  <w14:solidFill>
                    <w14:schemeClr w14:val="tx1"/>
                  </w14:solidFill>
                </w14:textFill>
              </w:rPr>
              <w:t>3）</w:t>
            </w:r>
            <w:r>
              <w:rPr>
                <w:rFonts w:hint="eastAsia" w:ascii="Times New Roman" w:hAnsi="Times New Roman" w:eastAsia="宋体"/>
                <w:b/>
                <w:color w:val="000000" w:themeColor="text1"/>
                <w:sz w:val="24"/>
                <w14:textFill>
                  <w14:solidFill>
                    <w14:schemeClr w14:val="tx1"/>
                  </w14:solidFill>
                </w14:textFill>
              </w:rPr>
              <w:t>地下水环境风险后果分析</w:t>
            </w:r>
          </w:p>
          <w:p w14:paraId="4CC2BA6C">
            <w:pPr>
              <w:spacing w:line="360"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油罐或管线的泄漏或渗漏对地下水的污染较为严重，地下水一旦被成品油污染，将会使地下水产生严重异味，并具有较强的致畸致癌性，根本无法饮用。又由于这种渗漏必然穿过较厚的土壤层，使土壤层中吸附大量的油品，而且土壤吸附的燃料油还会随着地表水的下渗对土壤层的冲刷作用补充到地下水，这样即便是得到及时控制，地下水要完全恢复也需要很久的时间。</w:t>
            </w:r>
          </w:p>
          <w:p w14:paraId="6576AF01">
            <w:pPr>
              <w:spacing w:line="360"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建设单位采用</w:t>
            </w:r>
            <w:r>
              <w:rPr>
                <w:rFonts w:ascii="Times New Roman" w:hAnsi="Times New Roman" w:eastAsia="宋体"/>
                <w:color w:val="000000" w:themeColor="text1"/>
                <w:sz w:val="24"/>
                <w14:textFill>
                  <w14:solidFill>
                    <w14:schemeClr w14:val="tx1"/>
                  </w14:solidFill>
                </w14:textFill>
              </w:rPr>
              <w:t>双层油罐，且安装双层罐泄漏检测仪，对各</w:t>
            </w:r>
            <w:r>
              <w:rPr>
                <w:rFonts w:hint="eastAsia"/>
                <w:color w:val="000000" w:themeColor="text1"/>
                <w:sz w:val="24"/>
                <w:lang w:val="en-US" w:eastAsia="zh-CN"/>
                <w14:textFill>
                  <w14:solidFill>
                    <w14:schemeClr w14:val="tx1"/>
                  </w14:solidFill>
                </w14:textFill>
              </w:rPr>
              <w:t>座</w:t>
            </w:r>
            <w:r>
              <w:rPr>
                <w:rFonts w:ascii="Times New Roman" w:hAnsi="Times New Roman" w:eastAsia="宋体"/>
                <w:color w:val="000000" w:themeColor="text1"/>
                <w:sz w:val="24"/>
                <w14:textFill>
                  <w14:solidFill>
                    <w14:schemeClr w14:val="tx1"/>
                  </w14:solidFill>
                </w14:textFill>
              </w:rPr>
              <w:t>油罐进行24小时连续监控；同时采用新型的</w:t>
            </w:r>
            <w:r>
              <w:rPr>
                <w:rFonts w:hint="eastAsia" w:ascii="宋体" w:hAnsi="宋体" w:eastAsia="宋体" w:cs="宋体"/>
                <w:color w:val="000000" w:themeColor="text1"/>
                <w:sz w:val="24"/>
                <w14:textFill>
                  <w14:solidFill>
                    <w14:schemeClr w14:val="tx1"/>
                  </w14:solidFill>
                </w14:textFill>
              </w:rPr>
              <w:t>“双层复合输油管道”。</w:t>
            </w:r>
            <w:r>
              <w:rPr>
                <w:rFonts w:ascii="Times New Roman" w:hAnsi="Times New Roman" w:eastAsia="宋体"/>
                <w:color w:val="000000" w:themeColor="text1"/>
                <w:sz w:val="24"/>
                <w14:textFill>
                  <w14:solidFill>
                    <w14:schemeClr w14:val="tx1"/>
                  </w14:solidFill>
                </w14:textFill>
              </w:rPr>
              <w:t>采取以上措施后，运营过程油品渗入地下水的可能性很小。此外，设计在项目</w:t>
            </w:r>
            <w:r>
              <w:rPr>
                <w:rFonts w:hint="eastAsia"/>
                <w:color w:val="000000" w:themeColor="text1"/>
                <w:sz w:val="24"/>
                <w:lang w:val="en-US" w:eastAsia="zh-CN"/>
                <w14:textFill>
                  <w14:solidFill>
                    <w14:schemeClr w14:val="tx1"/>
                  </w14:solidFill>
                </w14:textFill>
              </w:rPr>
              <w:t>储</w:t>
            </w:r>
            <w:r>
              <w:rPr>
                <w:rFonts w:ascii="Times New Roman" w:hAnsi="Times New Roman" w:eastAsia="宋体"/>
                <w:color w:val="000000" w:themeColor="text1"/>
                <w:sz w:val="24"/>
                <w14:textFill>
                  <w14:solidFill>
                    <w14:schemeClr w14:val="tx1"/>
                  </w14:solidFill>
                </w14:textFill>
              </w:rPr>
              <w:t>罐区</w:t>
            </w:r>
            <w:r>
              <w:rPr>
                <w:rFonts w:hint="eastAsia"/>
                <w:color w:val="000000" w:themeColor="text1"/>
                <w:sz w:val="24"/>
                <w:lang w:val="en-US" w:eastAsia="zh-CN"/>
                <w14:textFill>
                  <w14:solidFill>
                    <w14:schemeClr w14:val="tx1"/>
                  </w14:solidFill>
                </w14:textFill>
              </w:rPr>
              <w:t>东面</w:t>
            </w:r>
            <w:r>
              <w:rPr>
                <w:rFonts w:ascii="Times New Roman" w:hAnsi="Times New Roman" w:eastAsia="宋体"/>
                <w:color w:val="000000" w:themeColor="text1"/>
                <w:sz w:val="24"/>
                <w14:textFill>
                  <w14:solidFill>
                    <w14:schemeClr w14:val="tx1"/>
                  </w14:solidFill>
                </w14:textFill>
              </w:rPr>
              <w:t>设置了1个地下水监测井，定时进行监测，一旦水质发生变化，立即检查防渗系统，进行及时补修，确保地下水污染降低到最小，因此项目防渗层破裂，影响下游区域的可能性较小，如破裂通过及时监测、补救，可防止扩散，对周边区域的地下水环境影响较小。</w:t>
            </w:r>
          </w:p>
          <w:p w14:paraId="1524972D">
            <w:pPr>
              <w:spacing w:line="360" w:lineRule="auto"/>
              <w:ind w:firstLine="482" w:firstLineChars="200"/>
              <w:rPr>
                <w:rFonts w:ascii="Times New Roman" w:hAnsi="Times New Roman" w:eastAsia="宋体"/>
                <w:b/>
                <w:color w:val="000000" w:themeColor="text1"/>
                <w:sz w:val="24"/>
                <w14:textFill>
                  <w14:solidFill>
                    <w14:schemeClr w14:val="tx1"/>
                  </w14:solidFill>
                </w14:textFill>
              </w:rPr>
            </w:pPr>
            <w:r>
              <w:rPr>
                <w:rFonts w:hint="eastAsia" w:ascii="Times New Roman" w:hAnsi="Times New Roman" w:eastAsia="宋体"/>
                <w:b/>
                <w:color w:val="000000" w:themeColor="text1"/>
                <w:sz w:val="24"/>
                <w14:textFill>
                  <w14:solidFill>
                    <w14:schemeClr w14:val="tx1"/>
                  </w14:solidFill>
                </w14:textFill>
              </w:rPr>
              <w:t>（</w:t>
            </w:r>
            <w:r>
              <w:rPr>
                <w:rFonts w:hint="eastAsia" w:ascii="Times New Roman" w:hAnsi="Times New Roman" w:eastAsia="宋体"/>
                <w:b/>
                <w:color w:val="000000" w:themeColor="text1"/>
                <w:sz w:val="24"/>
                <w:lang w:val="en-US" w:eastAsia="zh-CN"/>
                <w14:textFill>
                  <w14:solidFill>
                    <w14:schemeClr w14:val="tx1"/>
                  </w14:solidFill>
                </w14:textFill>
              </w:rPr>
              <w:t>6</w:t>
            </w:r>
            <w:r>
              <w:rPr>
                <w:rFonts w:ascii="Times New Roman" w:hAnsi="Times New Roman" w:eastAsia="宋体"/>
                <w:b/>
                <w:color w:val="000000" w:themeColor="text1"/>
                <w:sz w:val="24"/>
                <w14:textFill>
                  <w14:solidFill>
                    <w14:schemeClr w14:val="tx1"/>
                  </w14:solidFill>
                </w14:textFill>
              </w:rPr>
              <w:t>）风险防范措施要求</w:t>
            </w:r>
          </w:p>
          <w:p w14:paraId="37C85CB6">
            <w:pPr>
              <w:spacing w:line="360" w:lineRule="auto"/>
              <w:ind w:firstLine="482" w:firstLineChars="200"/>
              <w:rPr>
                <w:rFonts w:ascii="Times New Roman" w:hAnsi="Times New Roman" w:eastAsia="宋体"/>
                <w:b/>
                <w:color w:val="000000" w:themeColor="text1"/>
                <w:sz w:val="24"/>
                <w14:textFill>
                  <w14:solidFill>
                    <w14:schemeClr w14:val="tx1"/>
                  </w14:solidFill>
                </w14:textFill>
              </w:rPr>
            </w:pPr>
            <w:r>
              <w:rPr>
                <w:rFonts w:hint="eastAsia" w:ascii="Times New Roman" w:hAnsi="Times New Roman" w:eastAsia="宋体"/>
                <w:b/>
                <w:color w:val="000000" w:themeColor="text1"/>
                <w:sz w:val="24"/>
                <w:lang w:val="en-US" w:eastAsia="zh-CN"/>
                <w14:textFill>
                  <w14:solidFill>
                    <w14:schemeClr w14:val="tx1"/>
                  </w14:solidFill>
                </w14:textFill>
              </w:rPr>
              <w:t>1）</w:t>
            </w:r>
            <w:r>
              <w:rPr>
                <w:rFonts w:hint="eastAsia" w:ascii="Times New Roman" w:hAnsi="Times New Roman" w:eastAsia="宋体"/>
                <w:b/>
                <w:color w:val="000000" w:themeColor="text1"/>
                <w:sz w:val="24"/>
                <w14:textFill>
                  <w14:solidFill>
                    <w14:schemeClr w14:val="tx1"/>
                  </w14:solidFill>
                </w14:textFill>
              </w:rPr>
              <w:t>站区总体风险防范措施</w:t>
            </w:r>
          </w:p>
          <w:p w14:paraId="1C9970E9">
            <w:pPr>
              <w:spacing w:line="360"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◆建立事故管理和应急计划，设立站内急救指挥小组，并和当地有关事故急救部门建立正常的定期联系。</w:t>
            </w:r>
          </w:p>
          <w:p w14:paraId="458D565D">
            <w:pPr>
              <w:spacing w:line="360"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◆应建立各类事故的处理预案，一旦事故发生可迅速进行处理。当事故发生后，疏散人员至安全区，禁止无关人员进入污染区，应急处理人员穿化学防护服，确保安全条件下处理。</w:t>
            </w:r>
          </w:p>
          <w:p w14:paraId="5A36FEB5">
            <w:pPr>
              <w:spacing w:line="360"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◆罐区严禁存放火种和油脂、易燃易爆物，远离热源，设置“危险、禁止烟火”等标志。</w:t>
            </w:r>
          </w:p>
          <w:p w14:paraId="0AD64631">
            <w:pPr>
              <w:spacing w:line="360"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◆备有一定数量灭火器材并保持有效状态以及防毒面具等气防设备。</w:t>
            </w:r>
          </w:p>
          <w:p w14:paraId="594F7082">
            <w:pPr>
              <w:spacing w:line="360"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◆严格按照我国有关劳动安全、环保与卫生的规范和标准，在设计、施工和运行过程中必须针对可能存在的不安全、不卫生而采取相应的安全防卫措施，消除事故隐患。</w:t>
            </w:r>
          </w:p>
          <w:p w14:paraId="579C1998">
            <w:pPr>
              <w:spacing w:line="360"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◆加强设备（包括各种安全仪表）的维修、保养，杜绝由于设备劳损、折旧带来的事故隐患。</w:t>
            </w:r>
          </w:p>
          <w:p w14:paraId="1A8ECB6A">
            <w:pPr>
              <w:spacing w:line="360"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◆加强对职工的教育培训，实行上岗证制度，增强职工风险意识，提高事故自救能力，制定和强化各种安全管理、安全生产的规程，减少人为风险事故（如误操作）的发生。</w:t>
            </w:r>
          </w:p>
          <w:p w14:paraId="731E6A43">
            <w:pPr>
              <w:spacing w:line="360" w:lineRule="auto"/>
              <w:ind w:firstLine="482" w:firstLineChars="200"/>
              <w:rPr>
                <w:rFonts w:ascii="Times New Roman" w:hAnsi="Times New Roman" w:eastAsia="宋体"/>
                <w:b/>
                <w:color w:val="000000" w:themeColor="text1"/>
                <w:sz w:val="24"/>
                <w14:textFill>
                  <w14:solidFill>
                    <w14:schemeClr w14:val="tx1"/>
                  </w14:solidFill>
                </w14:textFill>
              </w:rPr>
            </w:pPr>
            <w:r>
              <w:rPr>
                <w:rFonts w:hint="eastAsia" w:ascii="Times New Roman" w:hAnsi="Times New Roman" w:eastAsia="宋体"/>
                <w:b/>
                <w:color w:val="000000" w:themeColor="text1"/>
                <w:sz w:val="24"/>
                <w:lang w:val="en-US" w:eastAsia="zh-CN"/>
                <w14:textFill>
                  <w14:solidFill>
                    <w14:schemeClr w14:val="tx1"/>
                  </w14:solidFill>
                </w14:textFill>
              </w:rPr>
              <w:t>2）</w:t>
            </w:r>
            <w:r>
              <w:rPr>
                <w:rFonts w:hint="eastAsia" w:ascii="Times New Roman" w:hAnsi="Times New Roman" w:eastAsia="宋体"/>
                <w:b/>
                <w:color w:val="000000" w:themeColor="text1"/>
                <w:sz w:val="24"/>
                <w14:textFill>
                  <w14:solidFill>
                    <w14:schemeClr w14:val="tx1"/>
                  </w14:solidFill>
                </w14:textFill>
              </w:rPr>
              <w:t>油料储存及使用过程中事故防范措施</w:t>
            </w:r>
          </w:p>
          <w:p w14:paraId="70DF747D">
            <w:pPr>
              <w:spacing w:line="360"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◆建立健全并严格执行防火防爆的规章制度，严格遵守各项操作规程。</w:t>
            </w:r>
          </w:p>
          <w:p w14:paraId="4784CBD5">
            <w:pPr>
              <w:spacing w:line="360"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◆消防系统安全防范措施。</w:t>
            </w:r>
          </w:p>
          <w:p w14:paraId="4C8C7DEC">
            <w:pPr>
              <w:spacing w:line="360"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◆加油站的灭火器材配置：干粉灭火器、手提式泡沫灭火器、推车式干粉灭火器、沙池和灭火毯均严格执行《汽车加油加气加氢站技术标准》（</w:t>
            </w:r>
            <w:r>
              <w:rPr>
                <w:rFonts w:ascii="Times New Roman" w:hAnsi="Times New Roman" w:eastAsia="宋体"/>
                <w:color w:val="000000" w:themeColor="text1"/>
                <w:sz w:val="24"/>
                <w14:textFill>
                  <w14:solidFill>
                    <w14:schemeClr w14:val="tx1"/>
                  </w14:solidFill>
                </w14:textFill>
              </w:rPr>
              <w:t>GB50156-2021）和《建筑灭火器配置设计规范》（GB50140-2005）的规定。</w:t>
            </w:r>
          </w:p>
          <w:p w14:paraId="44C7B4E1">
            <w:pPr>
              <w:spacing w:line="360"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工艺技术、电气安全防范措施：油品管道的法兰、阀门密封处、油泵轴封处，汽车装车栈台和装卸臂等处应采取措施防止发生油品跑冒滴漏，易燃品禁止带入库区。电气设备均有保护接零和接地所有设备和管道均作可靠静电接地。考虑直接雷击和感应雷击，设置必要的避雷装置并可靠接地。为防止静电积聚和放电，除设备管道有良好的静电接地外，操作人员必要时穿防静电工作服和鞋，罐区入口处设置消除人体静电装置。</w:t>
            </w:r>
          </w:p>
          <w:p w14:paraId="3C72F607">
            <w:pPr>
              <w:spacing w:line="360" w:lineRule="auto"/>
              <w:ind w:firstLine="480" w:firstLineChars="200"/>
              <w:rPr>
                <w:rFonts w:ascii="Times New Roman" w:hAnsi="Times New Roman" w:eastAsia="宋体"/>
                <w:b/>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w:t>
            </w:r>
            <w:r>
              <w:rPr>
                <w:rFonts w:ascii="Times New Roman" w:hAnsi="Times New Roman" w:eastAsia="宋体"/>
                <w:color w:val="000000" w:themeColor="text1"/>
                <w:sz w:val="24"/>
                <w14:textFill>
                  <w14:solidFill>
                    <w14:schemeClr w14:val="tx1"/>
                  </w14:solidFill>
                </w14:textFill>
              </w:rPr>
              <w:t>汽车必须熄火后、加油加气。加油完毕后才能启动。</w:t>
            </w:r>
          </w:p>
          <w:p w14:paraId="21553FAA">
            <w:pPr>
              <w:spacing w:line="360" w:lineRule="auto"/>
              <w:ind w:firstLine="480" w:firstLineChars="200"/>
              <w:rPr>
                <w:rFonts w:ascii="Times New Roman" w:hAnsi="Times New Roman" w:eastAsia="宋体"/>
                <w:b/>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w:t>
            </w:r>
            <w:r>
              <w:rPr>
                <w:rFonts w:ascii="Times New Roman" w:hAnsi="Times New Roman" w:eastAsia="宋体"/>
                <w:color w:val="000000" w:themeColor="text1"/>
                <w:sz w:val="24"/>
                <w14:textFill>
                  <w14:solidFill>
                    <w14:schemeClr w14:val="tx1"/>
                  </w14:solidFill>
                </w14:textFill>
              </w:rPr>
              <w:t>站内禁止使用手机、塑料桶等易产生静电的物品。</w:t>
            </w:r>
          </w:p>
          <w:p w14:paraId="5E781D6B">
            <w:pPr>
              <w:spacing w:line="360" w:lineRule="auto"/>
              <w:ind w:firstLine="482" w:firstLineChars="200"/>
              <w:rPr>
                <w:rFonts w:ascii="Times New Roman" w:hAnsi="Times New Roman" w:eastAsia="宋体"/>
                <w:b/>
                <w:color w:val="000000" w:themeColor="text1"/>
                <w:sz w:val="24"/>
                <w14:textFill>
                  <w14:solidFill>
                    <w14:schemeClr w14:val="tx1"/>
                  </w14:solidFill>
                </w14:textFill>
              </w:rPr>
            </w:pPr>
            <w:r>
              <w:rPr>
                <w:rFonts w:hint="eastAsia" w:ascii="Times New Roman" w:hAnsi="Times New Roman" w:eastAsia="宋体"/>
                <w:b/>
                <w:color w:val="000000" w:themeColor="text1"/>
                <w:sz w:val="24"/>
                <w:lang w:val="en-US" w:eastAsia="zh-CN"/>
                <w14:textFill>
                  <w14:solidFill>
                    <w14:schemeClr w14:val="tx1"/>
                  </w14:solidFill>
                </w14:textFill>
              </w:rPr>
              <w:t>3）</w:t>
            </w:r>
            <w:r>
              <w:rPr>
                <w:rFonts w:ascii="Times New Roman" w:hAnsi="Times New Roman" w:eastAsia="宋体"/>
                <w:b/>
                <w:color w:val="000000" w:themeColor="text1"/>
                <w:sz w:val="24"/>
                <w14:textFill>
                  <w14:solidFill>
                    <w14:schemeClr w14:val="tx1"/>
                  </w14:solidFill>
                </w14:textFill>
              </w:rPr>
              <w:t>运输过程中的事故防范措施</w:t>
            </w:r>
          </w:p>
          <w:p w14:paraId="410D88B5">
            <w:pPr>
              <w:spacing w:line="360"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由于危险品的运输较其它货物的运输有更大的危险性，因此在运输过程中应小心谨慎，确保安全。为此注意以下几个问题：</w:t>
            </w:r>
          </w:p>
          <w:p w14:paraId="3F4264BE">
            <w:pPr>
              <w:spacing w:line="360"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◆合理规划运输路线及运输时间。</w:t>
            </w:r>
          </w:p>
          <w:p w14:paraId="711F9075">
            <w:pPr>
              <w:spacing w:line="360"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危险品的装运应做到定车、定人。定车就是要把装运危险品的车辆，相对固定，专车专用。定人就是把管理、驾驶、押运及装卸等工作的人员加以固定，这就保证了危险品的运输任务始终是由专业人员来担负，从人员上保障危险品运输过程中的安全。</w:t>
            </w:r>
          </w:p>
          <w:p w14:paraId="62F5C4A0">
            <w:pPr>
              <w:spacing w:line="360"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◆被装运的危险物品必须在其外包装的明显部位按《危险货物包装标志》（</w:t>
            </w:r>
            <w:r>
              <w:rPr>
                <w:rFonts w:ascii="Times New Roman" w:hAnsi="Times New Roman" w:eastAsia="宋体"/>
                <w:color w:val="000000" w:themeColor="text1"/>
                <w:sz w:val="24"/>
                <w14:textFill>
                  <w14:solidFill>
                    <w14:schemeClr w14:val="tx1"/>
                  </w14:solidFill>
                </w14:textFill>
              </w:rPr>
              <w:t>GBl90—90）规定的危险物品标志，包装标志要粘牢固、正确。具有易燃、有毒等多种危险特性的化学品，则应该根据其不同危险特性而同时粘贴相应的几个包装标志，以便一旦发生问题，可以进行多种防护。</w:t>
            </w:r>
          </w:p>
          <w:p w14:paraId="09850C2A">
            <w:pPr>
              <w:spacing w:line="360"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在危险品运输过程中，一日发生意外，在采取应急处理的同时，迅速报告公安机关和生态环境等有关部门，疏散群众，防止事态进一步扩大，并积极协助前来救助的公安、交通和消防人员抢救伤者和物资，使损失降低到最小范围。</w:t>
            </w:r>
          </w:p>
          <w:p w14:paraId="50305929">
            <w:pPr>
              <w:spacing w:line="360" w:lineRule="auto"/>
              <w:ind w:firstLine="482" w:firstLineChars="200"/>
              <w:rPr>
                <w:rFonts w:ascii="Times New Roman" w:hAnsi="Times New Roman" w:eastAsia="宋体"/>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lang w:val="en-US" w:eastAsia="zh-CN"/>
                <w14:textFill>
                  <w14:solidFill>
                    <w14:schemeClr w14:val="tx1"/>
                  </w14:solidFill>
                </w14:textFill>
              </w:rPr>
              <w:t>4</w:t>
            </w:r>
            <w:r>
              <w:rPr>
                <w:rFonts w:hint="eastAsia" w:ascii="宋体" w:hAnsi="宋体" w:eastAsia="宋体"/>
                <w:b/>
                <w:color w:val="000000" w:themeColor="text1"/>
                <w:sz w:val="24"/>
                <w:lang w:val="en-US" w:eastAsia="zh-CN"/>
                <w14:textFill>
                  <w14:solidFill>
                    <w14:schemeClr w14:val="tx1"/>
                  </w14:solidFill>
                </w14:textFill>
              </w:rPr>
              <w:t>）</w:t>
            </w:r>
            <w:r>
              <w:rPr>
                <w:rFonts w:ascii="Times New Roman" w:hAnsi="Times New Roman" w:eastAsia="宋体"/>
                <w:b/>
                <w:color w:val="000000" w:themeColor="text1"/>
                <w:sz w:val="24"/>
                <w14:textFill>
                  <w14:solidFill>
                    <w14:schemeClr w14:val="tx1"/>
                  </w14:solidFill>
                </w14:textFill>
              </w:rPr>
              <w:t>环境影响途径防范措施</w:t>
            </w:r>
          </w:p>
          <w:p w14:paraId="69D952AF">
            <w:pPr>
              <w:spacing w:line="360"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◆储罐及加油区域全部电器要防爆，同时禁止使用明火，需采取防止静电累积、静电接地措施，并安装可燃气体探测仪；加油站设置符合标准的灭火设施，防腐设计及建设符合《汽车加油加气加氢站技术标准》（</w:t>
            </w:r>
            <w:r>
              <w:rPr>
                <w:rFonts w:ascii="Times New Roman" w:hAnsi="Times New Roman" w:eastAsia="宋体"/>
                <w:color w:val="000000" w:themeColor="text1"/>
                <w:sz w:val="24"/>
                <w14:textFill>
                  <w14:solidFill>
                    <w14:schemeClr w14:val="tx1"/>
                  </w14:solidFill>
                </w14:textFill>
              </w:rPr>
              <w:t>GB50156-2021）中的相关要求；生产中应使用满足工艺要求的设备、管道，并定期检修、防腐，员工规范操作，杜绝物料的“跑、冒、滴、漏”；生产中使用的设备、管道应配置准确的监控仪表和完善的安全附件、防雷、防静电设施。</w:t>
            </w:r>
          </w:p>
          <w:p w14:paraId="5145E6C7">
            <w:pPr>
              <w:spacing w:line="360"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◆埋地油罐采用</w:t>
            </w:r>
            <w:r>
              <w:rPr>
                <w:rFonts w:ascii="Times New Roman" w:hAnsi="Times New Roman" w:eastAsia="宋体"/>
                <w:color w:val="000000" w:themeColor="text1"/>
                <w:sz w:val="24"/>
                <w14:textFill>
                  <w14:solidFill>
                    <w14:schemeClr w14:val="tx1"/>
                  </w14:solidFill>
                </w14:textFill>
              </w:rPr>
              <w:t>SF双层卧式油罐，储油罐采用双层结构，内层为玻璃钢，外层为钢结构，中间夹层5厘米，夹层中设有漏油探测器。当发生漏油时，探测器报警，并切断油路；储油油罐均设通气管，其通气口配阻火帽。</w:t>
            </w:r>
          </w:p>
          <w:p w14:paraId="01B34D05">
            <w:pPr>
              <w:spacing w:line="360"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◆装设高液位自动监测系统，具有油罐渗漏的监测功能和高液位的警报功能，及时掌握油罐情况，如果发生泄漏能够及时发现，及时采取措施。</w:t>
            </w:r>
          </w:p>
          <w:p w14:paraId="569E5B6F">
            <w:pPr>
              <w:spacing w:line="360"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◆加强对项目周围大气和地表水、地下水环境的监测，对油品的泄露要及时掌握，防止油品的泄露对周围大气、土壤、水环境造成危害。</w:t>
            </w:r>
          </w:p>
          <w:p w14:paraId="14268806">
            <w:pPr>
              <w:spacing w:line="360"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◆建立一套完善的安全管理制度，执行工业安全卫生、劳动保护、环保、消防等相关规定。</w:t>
            </w:r>
          </w:p>
          <w:p w14:paraId="253CF85E">
            <w:pPr>
              <w:spacing w:line="360"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对储罐渗漏事故的防护，对储罐、阀门等进行定期检测。对泄漏到液池内的物料应使用临时抽吸系统尽快收集，减少蒸发量或引起爆炸和着火的机会。一旦发生火灾爆炸，要尽快使用已有的消防设施扑救，疏散周围非急救人员，远离事故区。</w:t>
            </w:r>
            <w:r>
              <w:rPr>
                <w:rFonts w:ascii="Times New Roman" w:hAnsi="Times New Roman" w:eastAsia="宋体"/>
                <w:color w:val="000000" w:themeColor="text1"/>
                <w:sz w:val="24"/>
                <w14:textFill>
                  <w14:solidFill>
                    <w14:schemeClr w14:val="tx1"/>
                  </w14:solidFill>
                </w14:textFill>
              </w:rPr>
              <w:t xml:space="preserve"> </w:t>
            </w:r>
          </w:p>
          <w:p w14:paraId="2F10EBBE">
            <w:pPr>
              <w:spacing w:line="360"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◆做到灭火装置完整有效，严格按照《汽车加油加气加氢站技术标准》（</w:t>
            </w:r>
            <w:r>
              <w:rPr>
                <w:rFonts w:ascii="Times New Roman" w:hAnsi="Times New Roman" w:eastAsia="宋体"/>
                <w:color w:val="000000" w:themeColor="text1"/>
                <w:sz w:val="24"/>
                <w14:textFill>
                  <w14:solidFill>
                    <w14:schemeClr w14:val="tx1"/>
                  </w14:solidFill>
                </w14:textFill>
              </w:rPr>
              <w:t>GB50156-2021）有关规定配置灭火器材。</w:t>
            </w:r>
          </w:p>
          <w:p w14:paraId="37309757">
            <w:pPr>
              <w:spacing w:line="360"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◆加油站应设置醒目的防火、禁止吸烟及明火标志。</w:t>
            </w:r>
          </w:p>
          <w:p w14:paraId="5E2AAABD">
            <w:pPr>
              <w:spacing w:line="360"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◆从业人员应委托专业部门或本部门内培训，经考核合格后上岗，在今后经营过程中根据</w:t>
            </w:r>
            <w:r>
              <w:rPr>
                <w:rFonts w:ascii="Times New Roman" w:hAnsi="Times New Roman" w:eastAsia="宋体"/>
                <w:color w:val="000000" w:themeColor="text1"/>
                <w:sz w:val="24"/>
                <w14:textFill>
                  <w14:solidFill>
                    <w14:schemeClr w14:val="tx1"/>
                  </w14:solidFill>
                </w14:textFill>
              </w:rPr>
              <w:t xml:space="preserve">AQ3010-2007《加油站作业安全规范》对本站安全管理要求进行完善。 </w:t>
            </w:r>
          </w:p>
          <w:p w14:paraId="25E4EF1A">
            <w:pPr>
              <w:spacing w:line="360"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◆储油罐池采取防渗措施；埋地管道外表面除锈等级</w:t>
            </w:r>
            <w:r>
              <w:rPr>
                <w:rFonts w:ascii="Times New Roman" w:hAnsi="Times New Roman" w:eastAsia="宋体"/>
                <w:color w:val="000000" w:themeColor="text1"/>
                <w:sz w:val="24"/>
                <w14:textFill>
                  <w14:solidFill>
                    <w14:schemeClr w14:val="tx1"/>
                  </w14:solidFill>
                </w14:textFill>
              </w:rPr>
              <w:t>Sa2级，采用环氧煤沥青防腐涂层，防腐等级为加强级别防腐绝缘保护层；埋地油罐外壁采用石油沥青加强级防腐涂层。</w:t>
            </w:r>
          </w:p>
          <w:p w14:paraId="5AB57523">
            <w:pPr>
              <w:spacing w:line="360" w:lineRule="auto"/>
              <w:ind w:firstLine="482" w:firstLineChars="200"/>
              <w:rPr>
                <w:rFonts w:ascii="Times New Roman" w:hAnsi="Times New Roman" w:eastAsia="宋体"/>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lang w:val="en-US" w:eastAsia="zh-CN"/>
                <w14:textFill>
                  <w14:solidFill>
                    <w14:schemeClr w14:val="tx1"/>
                  </w14:solidFill>
                </w14:textFill>
              </w:rPr>
              <w:t>5</w:t>
            </w:r>
            <w:r>
              <w:rPr>
                <w:rFonts w:hint="eastAsia" w:ascii="宋体" w:hAnsi="宋体" w:eastAsia="宋体"/>
                <w:b/>
                <w:color w:val="000000" w:themeColor="text1"/>
                <w:sz w:val="24"/>
                <w:lang w:val="en-US" w:eastAsia="zh-CN"/>
                <w14:textFill>
                  <w14:solidFill>
                    <w14:schemeClr w14:val="tx1"/>
                  </w14:solidFill>
                </w14:textFill>
              </w:rPr>
              <w:t>）</w:t>
            </w:r>
            <w:r>
              <w:rPr>
                <w:rFonts w:ascii="Times New Roman" w:hAnsi="Times New Roman" w:eastAsia="宋体"/>
                <w:b/>
                <w:color w:val="000000" w:themeColor="text1"/>
                <w:sz w:val="24"/>
                <w14:textFill>
                  <w14:solidFill>
                    <w14:schemeClr w14:val="tx1"/>
                  </w14:solidFill>
                </w14:textFill>
              </w:rPr>
              <w:t>环境保护防范措施</w:t>
            </w:r>
          </w:p>
          <w:p w14:paraId="7E5B9E7F">
            <w:pPr>
              <w:spacing w:line="360"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◆相关部门在规划加油站周边有关项目时，应严格遵守《汽车加油加气加氢站技术标准》（</w:t>
            </w:r>
            <w:r>
              <w:rPr>
                <w:rFonts w:ascii="Times New Roman" w:hAnsi="Times New Roman" w:eastAsia="宋体"/>
                <w:color w:val="000000" w:themeColor="text1"/>
                <w:sz w:val="24"/>
                <w14:textFill>
                  <w14:solidFill>
                    <w14:schemeClr w14:val="tx1"/>
                  </w14:solidFill>
                </w14:textFill>
              </w:rPr>
              <w:t>GB50156-2021）有关规定，新建项目与加油站有关单元的距离不得小于最小安全防护距离。</w:t>
            </w:r>
          </w:p>
          <w:p w14:paraId="1BDC65BA">
            <w:pPr>
              <w:spacing w:line="360"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◆在设计时应考虑抗震和振动、脆性破裂、温度应力、腐蚀破裂及密封泄漏等因素，并采取相应的安全措施加以控制；</w:t>
            </w:r>
          </w:p>
          <w:p w14:paraId="71374026">
            <w:pPr>
              <w:spacing w:line="360"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在项目区设置地下水常规监控井，本项目处于地下水饮用水水源保护区和补给径流区外，根据《加油站地下水污染防治技术指南》，可设置一个地下水监测井，拟设置于埋地油罐区地下水下游处（加油站厂区内）。地下水的常规监测点设置以便于了解项目所在厂区的地下水环境质量的变化情况，根据变化情况采取相应的保护措施。</w:t>
            </w:r>
          </w:p>
          <w:p w14:paraId="6FA4D8C1">
            <w:pPr>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w:t>
            </w:r>
            <w:r>
              <w:rPr>
                <w:rFonts w:ascii="宋体" w:hAnsi="宋体" w:eastAsia="宋体" w:cs="宋体"/>
                <w:color w:val="000000" w:themeColor="text1"/>
                <w:sz w:val="24"/>
                <w:szCs w:val="24"/>
                <w14:textFill>
                  <w14:solidFill>
                    <w14:schemeClr w14:val="tx1"/>
                  </w14:solidFill>
                </w14:textFill>
              </w:rPr>
              <w:t>本项目不设置事故应急池。由于加油站内不使用水灭火，消防主要采用干粉灭火器、灭火毯、消防沙等灭火方式，加油站内不设消防给水系统</w:t>
            </w:r>
            <w:r>
              <w:rPr>
                <w:rFonts w:hint="eastAsia" w:ascii="宋体" w:hAnsi="宋体" w:eastAsia="宋体" w:cs="宋体"/>
                <w:color w:val="000000" w:themeColor="text1"/>
                <w:sz w:val="24"/>
                <w:szCs w:val="24"/>
                <w14:textFill>
                  <w14:solidFill>
                    <w14:schemeClr w14:val="tx1"/>
                  </w14:solidFill>
                </w14:textFill>
              </w:rPr>
              <w:t>，故无消防废水产生</w:t>
            </w:r>
            <w:r>
              <w:rPr>
                <w:rFonts w:ascii="宋体" w:hAnsi="宋体" w:eastAsia="宋体" w:cs="宋体"/>
                <w:color w:val="000000" w:themeColor="text1"/>
                <w:sz w:val="24"/>
                <w:szCs w:val="24"/>
                <w14:textFill>
                  <w14:solidFill>
                    <w14:schemeClr w14:val="tx1"/>
                  </w14:solidFill>
                </w14:textFill>
              </w:rPr>
              <w:t>。本项目采用双层输油管线均为埋地式，且设置在线监测系统，能有效监控并防止油品泄漏，发生火灾几率很小。发生火灾后，采用消防沙、干粉灭火器等进行灭火，灭火后的含油废物妥善收集后委托有资质的单位进行处理</w:t>
            </w:r>
            <w:r>
              <w:rPr>
                <w:rFonts w:hint="eastAsia" w:ascii="宋体" w:hAnsi="宋体" w:eastAsia="宋体" w:cs="宋体"/>
                <w:color w:val="000000" w:themeColor="text1"/>
                <w:sz w:val="24"/>
                <w:szCs w:val="24"/>
                <w14:textFill>
                  <w14:solidFill>
                    <w14:schemeClr w14:val="tx1"/>
                  </w14:solidFill>
                </w14:textFill>
              </w:rPr>
              <w:t>。</w:t>
            </w:r>
          </w:p>
          <w:p w14:paraId="221C5422">
            <w:pPr>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w:t>
            </w:r>
            <w:r>
              <w:rPr>
                <w:rFonts w:ascii="宋体" w:hAnsi="宋体" w:eastAsia="宋体" w:cs="宋体"/>
                <w:color w:val="000000" w:themeColor="text1"/>
                <w:sz w:val="24"/>
                <w:szCs w:val="24"/>
                <w14:textFill>
                  <w14:solidFill>
                    <w14:schemeClr w14:val="tx1"/>
                  </w14:solidFill>
                </w14:textFill>
              </w:rPr>
              <w:t>本项目设有消防沙以及吸油毡等应急物资，发生泄漏时，可用消防沙和吸油毡吸收，吸收后的含油废物妥善收集后委托有资质的单位进行处理。</w:t>
            </w:r>
          </w:p>
          <w:p w14:paraId="670586D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Times New Roman" w:hAnsi="Times New Roman" w:eastAsia="宋体"/>
                <w:b/>
                <w:color w:val="000000" w:themeColor="text1"/>
                <w:sz w:val="24"/>
                <w14:textFill>
                  <w14:solidFill>
                    <w14:schemeClr w14:val="tx1"/>
                  </w14:solidFill>
                </w14:textFill>
              </w:rPr>
            </w:pPr>
            <w:r>
              <w:rPr>
                <w:rFonts w:hint="eastAsia" w:ascii="Times New Roman" w:hAnsi="Times New Roman" w:eastAsia="宋体"/>
                <w:b/>
                <w:color w:val="000000" w:themeColor="text1"/>
                <w:sz w:val="24"/>
                <w14:textFill>
                  <w14:solidFill>
                    <w14:schemeClr w14:val="tx1"/>
                  </w14:solidFill>
                </w14:textFill>
              </w:rPr>
              <w:t>（</w:t>
            </w:r>
            <w:r>
              <w:rPr>
                <w:rFonts w:hint="eastAsia" w:ascii="Times New Roman" w:hAnsi="Times New Roman" w:eastAsia="宋体"/>
                <w:b/>
                <w:color w:val="000000" w:themeColor="text1"/>
                <w:sz w:val="24"/>
                <w:lang w:val="en-US" w:eastAsia="zh-CN"/>
                <w14:textFill>
                  <w14:solidFill>
                    <w14:schemeClr w14:val="tx1"/>
                  </w14:solidFill>
                </w14:textFill>
              </w:rPr>
              <w:t>7</w:t>
            </w:r>
            <w:r>
              <w:rPr>
                <w:rFonts w:hint="eastAsia" w:ascii="Times New Roman" w:hAnsi="Times New Roman" w:eastAsia="宋体"/>
                <w:b/>
                <w:color w:val="000000" w:themeColor="text1"/>
                <w:sz w:val="24"/>
                <w14:textFill>
                  <w14:solidFill>
                    <w14:schemeClr w14:val="tx1"/>
                  </w14:solidFill>
                </w14:textFill>
              </w:rPr>
              <w:t>）</w:t>
            </w:r>
            <w:r>
              <w:rPr>
                <w:rFonts w:ascii="Times New Roman" w:hAnsi="Times New Roman" w:eastAsia="宋体"/>
                <w:b/>
                <w:color w:val="000000" w:themeColor="text1"/>
                <w:sz w:val="24"/>
                <w14:textFill>
                  <w14:solidFill>
                    <w14:schemeClr w14:val="tx1"/>
                  </w14:solidFill>
                </w14:textFill>
              </w:rPr>
              <w:t>应急预案</w:t>
            </w:r>
          </w:p>
          <w:p w14:paraId="5A1237CC">
            <w:pPr>
              <w:spacing w:line="360"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无论预防工作如何周密，风险事故总是难以根本杜绝，本项目必须制定风险事故应急预案。制定预案的目的是要迅速而有效地将事故损失减至最小，应急预案原则如下：</w:t>
            </w:r>
          </w:p>
          <w:p w14:paraId="07F38393">
            <w:pPr>
              <w:spacing w:line="360"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①按照国家和行业的“安全生产”要求进行建设和生产，按相关要求制定本项目《应急救援预案》。项目必须进行“安全评价”，必须落实其提出的各项措施。</w:t>
            </w:r>
          </w:p>
          <w:p w14:paraId="240B588C">
            <w:pPr>
              <w:spacing w:line="360"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②与当地消防部门保持畅通的联络渠道，随时可获得消防部门的指导、监督，出现险情时可随时取得支持。</w:t>
            </w:r>
          </w:p>
          <w:p w14:paraId="6250CAE6">
            <w:pPr>
              <w:spacing w:line="360"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③确定救援组织、队伍和联络方式。</w:t>
            </w:r>
          </w:p>
          <w:p w14:paraId="5084C3CD">
            <w:pPr>
              <w:spacing w:line="360"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④制定事故类型、等级和相应的应急响应程序。</w:t>
            </w:r>
          </w:p>
          <w:p w14:paraId="10587F0B">
            <w:pPr>
              <w:spacing w:line="360"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⑤配备必要的救灾防毒器具及防护用品。</w:t>
            </w:r>
          </w:p>
          <w:p w14:paraId="2E0E8E3B">
            <w:pPr>
              <w:spacing w:line="360"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⑥对生产系统制定应急状态切断终止或剂量控制以及自动报警连锁保护程序。</w:t>
            </w:r>
          </w:p>
          <w:p w14:paraId="7F7340FA">
            <w:pPr>
              <w:spacing w:line="360"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⑦岗位培训和演戏，设置事故应急学习手册及报告、记录和评估。</w:t>
            </w:r>
          </w:p>
          <w:p w14:paraId="0390A4F8">
            <w:pPr>
              <w:spacing w:line="360"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⑧制定区域防灾救援方案，油库外受影响人群的疏散、撤离方案，明确逃生路线，与当地政府、消防、生态环境和医疗救助等部门加强联系，以便风险事故发生时得到及时救援。</w:t>
            </w:r>
          </w:p>
          <w:p w14:paraId="5F15722B">
            <w:pPr>
              <w:spacing w:line="360"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根据调查，本项目需要建立的应急预案主要包括以下几种：重大火灾爆炸事故应急处理预案重大泄漏、跑冒事故应急处理预案、抗震减灾应急预案。</w:t>
            </w:r>
          </w:p>
          <w:p w14:paraId="501DB8DE">
            <w:pPr>
              <w:pStyle w:val="54"/>
              <w:keepNext w:val="0"/>
              <w:keepLines w:val="0"/>
              <w:pageBreakBefore w:val="0"/>
              <w:widowControl w:val="0"/>
              <w:numPr>
                <w:ilvl w:val="0"/>
                <w:numId w:val="0"/>
              </w:numPr>
              <w:kinsoku/>
              <w:wordWrap/>
              <w:overflowPunct/>
              <w:topLinePunct w:val="0"/>
              <w:autoSpaceDE/>
              <w:autoSpaceDN/>
              <w:bidi w:val="0"/>
              <w:adjustRightInd/>
              <w:snapToGrid/>
              <w:ind w:left="0" w:leftChars="0" w:firstLine="496" w:firstLineChars="200"/>
              <w:textAlignment w:val="auto"/>
              <w:rPr>
                <w:rFonts w:hint="eastAsia"/>
                <w:b/>
                <w:lang w:val="en-US" w:eastAsia="zh-CN"/>
              </w:rPr>
            </w:pPr>
            <w:r>
              <w:rPr>
                <w:rFonts w:hint="eastAsia" w:ascii="Times New Roman" w:hAnsi="Times New Roman" w:eastAsia="宋体" w:cs="Times New Roman"/>
                <w:color w:val="000000" w:themeColor="text1"/>
                <w:spacing w:val="4"/>
                <w:kern w:val="0"/>
                <w:sz w:val="24"/>
                <w14:textFill>
                  <w14:solidFill>
                    <w14:schemeClr w14:val="tx1"/>
                  </w14:solidFill>
                </w14:textFill>
              </w:rPr>
              <w:t>本项目做好上述风险防范措施后，项目环境风险处于可接受水平。</w:t>
            </w:r>
          </w:p>
          <w:p w14:paraId="56A454C4">
            <w:pPr>
              <w:pStyle w:val="54"/>
              <w:keepNext w:val="0"/>
              <w:keepLines w:val="0"/>
              <w:pageBreakBefore w:val="0"/>
              <w:widowControl w:val="0"/>
              <w:numPr>
                <w:ilvl w:val="0"/>
                <w:numId w:val="0"/>
              </w:numPr>
              <w:kinsoku/>
              <w:wordWrap/>
              <w:overflowPunct/>
              <w:topLinePunct w:val="0"/>
              <w:autoSpaceDE/>
              <w:autoSpaceDN/>
              <w:bidi w:val="0"/>
              <w:adjustRightInd/>
              <w:snapToGrid/>
              <w:ind w:leftChars="0" w:firstLine="482" w:firstLineChars="200"/>
              <w:textAlignment w:val="auto"/>
              <w:rPr>
                <w:b/>
              </w:rPr>
            </w:pPr>
            <w:r>
              <w:rPr>
                <w:rFonts w:hint="eastAsia"/>
                <w:b/>
                <w:lang w:val="en-US" w:eastAsia="zh-CN"/>
              </w:rPr>
              <w:t>9、</w:t>
            </w:r>
            <w:r>
              <w:rPr>
                <w:b/>
              </w:rPr>
              <w:t>环境管理</w:t>
            </w:r>
          </w:p>
          <w:p w14:paraId="5D21C62D">
            <w:pPr>
              <w:pStyle w:val="54"/>
              <w:numPr>
                <w:ilvl w:val="0"/>
                <w:numId w:val="0"/>
              </w:numPr>
              <w:ind w:left="420" w:leftChars="0"/>
              <w:rPr>
                <w:b/>
              </w:rPr>
            </w:pPr>
            <w:r>
              <w:rPr>
                <w:rFonts w:hint="eastAsia"/>
                <w:b/>
                <w:lang w:eastAsia="zh-CN"/>
              </w:rPr>
              <w:t>（</w:t>
            </w:r>
            <w:r>
              <w:rPr>
                <w:rFonts w:hint="eastAsia"/>
                <w:b/>
                <w:lang w:val="en-US" w:eastAsia="zh-CN"/>
              </w:rPr>
              <w:t>1</w:t>
            </w:r>
            <w:r>
              <w:rPr>
                <w:rFonts w:hint="eastAsia"/>
                <w:b/>
                <w:lang w:eastAsia="zh-CN"/>
              </w:rPr>
              <w:t>）</w:t>
            </w:r>
            <w:r>
              <w:rPr>
                <w:b/>
              </w:rPr>
              <w:t>环境管理</w:t>
            </w:r>
          </w:p>
          <w:p w14:paraId="2607AF00">
            <w:pPr>
              <w:pStyle w:val="54"/>
              <w:keepNext w:val="0"/>
              <w:keepLines w:val="0"/>
              <w:pageBreakBefore w:val="0"/>
              <w:widowControl w:val="0"/>
              <w:numPr>
                <w:ilvl w:val="0"/>
                <w:numId w:val="0"/>
              </w:numPr>
              <w:tabs>
                <w:tab w:val="left" w:pos="7821"/>
              </w:tabs>
              <w:kinsoku/>
              <w:wordWrap/>
              <w:overflowPunct/>
              <w:topLinePunct w:val="0"/>
              <w:autoSpaceDE/>
              <w:autoSpaceDN/>
              <w:bidi w:val="0"/>
              <w:adjustRightInd/>
              <w:snapToGrid/>
              <w:ind w:leftChars="0" w:firstLine="496" w:firstLineChars="200"/>
              <w:textAlignment w:val="auto"/>
              <w:rPr>
                <w:spacing w:val="4"/>
                <w:kern w:val="0"/>
              </w:rPr>
            </w:pPr>
            <w:r>
              <w:rPr>
                <w:rFonts w:hint="eastAsia"/>
                <w:spacing w:val="4"/>
                <w:kern w:val="0"/>
                <w:lang w:val="en-US" w:eastAsia="zh-CN"/>
              </w:rPr>
              <w:t>1）</w:t>
            </w:r>
            <w:r>
              <w:rPr>
                <w:rFonts w:hint="eastAsia"/>
                <w:spacing w:val="4"/>
                <w:kern w:val="0"/>
              </w:rPr>
              <w:t>管理机构和人员</w:t>
            </w:r>
          </w:p>
          <w:p w14:paraId="4E32AF75">
            <w:pPr>
              <w:keepNext w:val="0"/>
              <w:keepLines w:val="0"/>
              <w:pageBreakBefore w:val="0"/>
              <w:widowControl w:val="0"/>
              <w:kinsoku/>
              <w:wordWrap/>
              <w:overflowPunct/>
              <w:topLinePunct w:val="0"/>
              <w:autoSpaceDE/>
              <w:autoSpaceDN/>
              <w:bidi w:val="0"/>
              <w:adjustRightInd/>
              <w:snapToGrid/>
              <w:ind w:leftChars="0" w:firstLine="496" w:firstLineChars="200"/>
              <w:textAlignment w:val="auto"/>
              <w:rPr>
                <w:bCs/>
                <w:color w:val="000000"/>
                <w:spacing w:val="4"/>
                <w:kern w:val="0"/>
              </w:rPr>
            </w:pPr>
            <w:r>
              <w:rPr>
                <w:bCs/>
                <w:color w:val="000000"/>
                <w:spacing w:val="4"/>
                <w:kern w:val="0"/>
              </w:rPr>
              <w:t>根据本项目的生产特点，对环境管理机构的设置建议如下：</w:t>
            </w:r>
          </w:p>
          <w:p w14:paraId="3017BC0B">
            <w:pPr>
              <w:keepNext w:val="0"/>
              <w:keepLines w:val="0"/>
              <w:pageBreakBefore w:val="0"/>
              <w:widowControl w:val="0"/>
              <w:kinsoku/>
              <w:wordWrap/>
              <w:overflowPunct/>
              <w:topLinePunct w:val="0"/>
              <w:autoSpaceDE/>
              <w:autoSpaceDN/>
              <w:bidi w:val="0"/>
              <w:adjustRightInd/>
              <w:snapToGrid/>
              <w:ind w:leftChars="0" w:firstLine="496" w:firstLineChars="200"/>
              <w:textAlignment w:val="auto"/>
              <w:rPr>
                <w:bCs/>
                <w:color w:val="000000"/>
                <w:spacing w:val="4"/>
                <w:kern w:val="0"/>
              </w:rPr>
            </w:pPr>
            <w:r>
              <w:rPr>
                <w:bCs/>
                <w:color w:val="000000"/>
                <w:spacing w:val="4"/>
                <w:kern w:val="0"/>
              </w:rPr>
              <w:t>环境管理应由总经理主管负责，下设环境保护专职机构，并与各职能部门保持密切的联系，由专职环境保护</w:t>
            </w:r>
            <w:r>
              <w:rPr>
                <w:rFonts w:hint="eastAsia"/>
                <w:bCs/>
                <w:color w:val="000000"/>
                <w:spacing w:val="4"/>
                <w:kern w:val="0"/>
                <w:lang w:eastAsia="zh-CN"/>
              </w:rPr>
              <w:t>管理</w:t>
            </w:r>
            <w:r>
              <w:rPr>
                <w:bCs/>
                <w:color w:val="000000"/>
                <w:spacing w:val="4"/>
                <w:kern w:val="0"/>
              </w:rPr>
              <w:t>工作人员实施全公司的环境管理工作，其主要职责是：</w:t>
            </w:r>
          </w:p>
          <w:p w14:paraId="0517EBED">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Chars="0" w:firstLine="480" w:firstLineChars="200"/>
              <w:jc w:val="both"/>
              <w:textAlignment w:val="auto"/>
              <w:rPr>
                <w:rFonts w:ascii="Times New Roman" w:hAnsi="Times New Roman" w:cs="Times New Roman"/>
              </w:rPr>
            </w:pPr>
            <w:r>
              <w:rPr>
                <w:rFonts w:ascii="Times New Roman" w:hAnsi="Times New Roman" w:eastAsia="宋体" w:cs="Times New Roman"/>
              </w:rPr>
              <w:fldChar w:fldCharType="begin"/>
            </w:r>
            <w:r>
              <w:rPr>
                <w:rFonts w:ascii="Times New Roman" w:hAnsi="Times New Roman" w:eastAsia="宋体" w:cs="Times New Roman"/>
              </w:rPr>
              <w:instrText xml:space="preserve"> = 1 \* GB3 \* MERGEFORMAT </w:instrText>
            </w:r>
            <w:r>
              <w:rPr>
                <w:rFonts w:ascii="Times New Roman" w:hAnsi="Times New Roman" w:eastAsia="宋体" w:cs="Times New Roman"/>
              </w:rPr>
              <w:fldChar w:fldCharType="separate"/>
            </w:r>
            <w:r>
              <w:rPr>
                <w:rFonts w:ascii="Times New Roman" w:hAnsi="Times New Roman" w:eastAsia="宋体" w:cs="Times New Roman"/>
              </w:rPr>
              <w:t>①</w:t>
            </w:r>
            <w:r>
              <w:rPr>
                <w:rFonts w:ascii="Times New Roman" w:hAnsi="Times New Roman" w:eastAsia="宋体" w:cs="Times New Roman"/>
              </w:rPr>
              <w:fldChar w:fldCharType="end"/>
            </w:r>
            <w:r>
              <w:rPr>
                <w:rFonts w:ascii="Times New Roman" w:hAnsi="Times New Roman" w:cs="Times New Roman"/>
              </w:rPr>
              <w:t>贯彻执行国家和地方的环境保护法规和标准</w:t>
            </w:r>
            <w:r>
              <w:rPr>
                <w:rFonts w:hint="eastAsia" w:ascii="Times New Roman" w:hAnsi="Times New Roman" w:cs="Times New Roman"/>
              </w:rPr>
              <w:t>。</w:t>
            </w:r>
          </w:p>
          <w:p w14:paraId="26FB3D74">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Chars="0" w:firstLine="480" w:firstLineChars="200"/>
              <w:jc w:val="both"/>
              <w:textAlignment w:val="auto"/>
              <w:rPr>
                <w:rFonts w:ascii="Times New Roman" w:hAnsi="Times New Roman" w:cs="Times New Roman"/>
              </w:rPr>
            </w:pPr>
            <w:r>
              <w:rPr>
                <w:rFonts w:ascii="Times New Roman" w:hAnsi="Times New Roman" w:eastAsia="宋体" w:cs="Times New Roman"/>
              </w:rPr>
              <w:fldChar w:fldCharType="begin"/>
            </w:r>
            <w:r>
              <w:rPr>
                <w:rFonts w:ascii="Times New Roman" w:hAnsi="Times New Roman" w:eastAsia="宋体" w:cs="Times New Roman"/>
              </w:rPr>
              <w:instrText xml:space="preserve"> = 2 \* GB3 \* MERGEFORMAT </w:instrText>
            </w:r>
            <w:r>
              <w:rPr>
                <w:rFonts w:ascii="Times New Roman" w:hAnsi="Times New Roman" w:eastAsia="宋体" w:cs="Times New Roman"/>
              </w:rPr>
              <w:fldChar w:fldCharType="separate"/>
            </w:r>
            <w:r>
              <w:rPr>
                <w:rFonts w:ascii="Times New Roman" w:hAnsi="Times New Roman" w:eastAsia="宋体" w:cs="Times New Roman"/>
              </w:rPr>
              <w:t>②</w:t>
            </w:r>
            <w:r>
              <w:rPr>
                <w:rFonts w:ascii="Times New Roman" w:hAnsi="Times New Roman" w:eastAsia="宋体" w:cs="Times New Roman"/>
              </w:rPr>
              <w:fldChar w:fldCharType="end"/>
            </w:r>
            <w:r>
              <w:rPr>
                <w:rFonts w:ascii="Times New Roman" w:hAnsi="Times New Roman" w:cs="Times New Roman"/>
              </w:rPr>
              <w:t>接受环保主管部门的检查监督，定期上报各项环境管理工作的执行情况</w:t>
            </w:r>
            <w:r>
              <w:rPr>
                <w:rFonts w:hint="eastAsia" w:ascii="Times New Roman" w:hAnsi="Times New Roman" w:cs="Times New Roman"/>
              </w:rPr>
              <w:t>。</w:t>
            </w:r>
          </w:p>
          <w:p w14:paraId="57F70F6C">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Chars="0" w:firstLine="480" w:firstLineChars="200"/>
              <w:jc w:val="both"/>
              <w:textAlignment w:val="auto"/>
              <w:rPr>
                <w:rFonts w:ascii="Times New Roman" w:hAnsi="Times New Roman" w:cs="Times New Roman"/>
              </w:rPr>
            </w:pPr>
            <w:r>
              <w:rPr>
                <w:rFonts w:ascii="Times New Roman" w:hAnsi="Times New Roman" w:eastAsia="宋体" w:cs="Times New Roman"/>
              </w:rPr>
              <w:fldChar w:fldCharType="begin"/>
            </w:r>
            <w:r>
              <w:rPr>
                <w:rFonts w:ascii="Times New Roman" w:hAnsi="Times New Roman" w:eastAsia="宋体" w:cs="Times New Roman"/>
              </w:rPr>
              <w:instrText xml:space="preserve"> = 3 \* GB3 \* MERGEFORMAT </w:instrText>
            </w:r>
            <w:r>
              <w:rPr>
                <w:rFonts w:ascii="Times New Roman" w:hAnsi="Times New Roman" w:eastAsia="宋体" w:cs="Times New Roman"/>
              </w:rPr>
              <w:fldChar w:fldCharType="separate"/>
            </w:r>
            <w:r>
              <w:rPr>
                <w:rFonts w:ascii="Times New Roman" w:hAnsi="Times New Roman" w:eastAsia="宋体" w:cs="Times New Roman"/>
              </w:rPr>
              <w:t>③</w:t>
            </w:r>
            <w:r>
              <w:rPr>
                <w:rFonts w:ascii="Times New Roman" w:hAnsi="Times New Roman" w:eastAsia="宋体" w:cs="Times New Roman"/>
              </w:rPr>
              <w:fldChar w:fldCharType="end"/>
            </w:r>
            <w:r>
              <w:rPr>
                <w:rFonts w:ascii="Times New Roman" w:hAnsi="Times New Roman" w:cs="Times New Roman"/>
              </w:rPr>
              <w:t>组织制定公司各部门的环境管理规章制度</w:t>
            </w:r>
            <w:r>
              <w:rPr>
                <w:rFonts w:hint="eastAsia" w:ascii="Times New Roman" w:hAnsi="Times New Roman" w:cs="Times New Roman"/>
              </w:rPr>
              <w:t>。</w:t>
            </w:r>
          </w:p>
          <w:p w14:paraId="198F6ABE">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Chars="0" w:firstLine="480" w:firstLineChars="200"/>
              <w:jc w:val="both"/>
              <w:textAlignment w:val="auto"/>
              <w:rPr>
                <w:rFonts w:ascii="Times New Roman" w:hAnsi="Times New Roman" w:cs="Times New Roman"/>
              </w:rPr>
            </w:pPr>
            <w:r>
              <w:rPr>
                <w:rFonts w:ascii="Times New Roman" w:hAnsi="Times New Roman" w:eastAsia="宋体" w:cs="Times New Roman"/>
              </w:rPr>
              <w:fldChar w:fldCharType="begin"/>
            </w:r>
            <w:r>
              <w:rPr>
                <w:rFonts w:ascii="Times New Roman" w:hAnsi="Times New Roman" w:eastAsia="宋体" w:cs="Times New Roman"/>
              </w:rPr>
              <w:instrText xml:space="preserve"> = 4 \* GB3 \* MERGEFORMAT </w:instrText>
            </w:r>
            <w:r>
              <w:rPr>
                <w:rFonts w:ascii="Times New Roman" w:hAnsi="Times New Roman" w:eastAsia="宋体" w:cs="Times New Roman"/>
              </w:rPr>
              <w:fldChar w:fldCharType="separate"/>
            </w:r>
            <w:r>
              <w:rPr>
                <w:rFonts w:ascii="Times New Roman" w:hAnsi="Times New Roman" w:eastAsia="宋体" w:cs="Times New Roman"/>
              </w:rPr>
              <w:t>④</w:t>
            </w:r>
            <w:r>
              <w:rPr>
                <w:rFonts w:ascii="Times New Roman" w:hAnsi="Times New Roman" w:eastAsia="宋体" w:cs="Times New Roman"/>
              </w:rPr>
              <w:fldChar w:fldCharType="end"/>
            </w:r>
            <w:r>
              <w:rPr>
                <w:rFonts w:ascii="Times New Roman" w:hAnsi="Times New Roman" w:cs="Times New Roman"/>
              </w:rPr>
              <w:t>负责环保设施的正常运转，以及环境监测计划的实施。</w:t>
            </w:r>
          </w:p>
          <w:p w14:paraId="28078CE1">
            <w:pPr>
              <w:pStyle w:val="54"/>
              <w:keepNext w:val="0"/>
              <w:keepLines w:val="0"/>
              <w:pageBreakBefore w:val="0"/>
              <w:widowControl w:val="0"/>
              <w:numPr>
                <w:ilvl w:val="0"/>
                <w:numId w:val="0"/>
              </w:numPr>
              <w:tabs>
                <w:tab w:val="left" w:pos="7821"/>
              </w:tabs>
              <w:kinsoku/>
              <w:wordWrap/>
              <w:overflowPunct/>
              <w:topLinePunct w:val="0"/>
              <w:autoSpaceDE/>
              <w:autoSpaceDN/>
              <w:bidi w:val="0"/>
              <w:adjustRightInd/>
              <w:snapToGrid/>
              <w:ind w:leftChars="0" w:firstLine="496" w:firstLineChars="200"/>
              <w:textAlignment w:val="auto"/>
              <w:rPr>
                <w:spacing w:val="4"/>
                <w:kern w:val="0"/>
              </w:rPr>
            </w:pPr>
            <w:r>
              <w:rPr>
                <w:rFonts w:hint="eastAsia"/>
                <w:spacing w:val="4"/>
                <w:kern w:val="0"/>
                <w:lang w:val="en-US" w:eastAsia="zh-CN"/>
              </w:rPr>
              <w:t>2）</w:t>
            </w:r>
            <w:r>
              <w:rPr>
                <w:rFonts w:hint="eastAsia"/>
                <w:spacing w:val="4"/>
                <w:kern w:val="0"/>
              </w:rPr>
              <w:t>规章制度</w:t>
            </w:r>
          </w:p>
          <w:p w14:paraId="7AD85C4A">
            <w:pPr>
              <w:keepNext w:val="0"/>
              <w:keepLines w:val="0"/>
              <w:pageBreakBefore w:val="0"/>
              <w:widowControl w:val="0"/>
              <w:kinsoku/>
              <w:wordWrap/>
              <w:overflowPunct/>
              <w:topLinePunct w:val="0"/>
              <w:bidi w:val="0"/>
              <w:adjustRightInd/>
              <w:snapToGrid/>
              <w:ind w:leftChars="0" w:firstLine="480"/>
              <w:textAlignment w:val="auto"/>
            </w:pPr>
            <w:r>
              <w:rPr>
                <w:rFonts w:hint="eastAsia"/>
              </w:rPr>
              <w:t>企业应建立健全环境管理制度体系，确保在日常运行中将环保目标</w:t>
            </w:r>
            <w:r>
              <w:rPr>
                <w:rFonts w:hint="eastAsia"/>
                <w:lang w:eastAsia="zh-CN"/>
              </w:rPr>
              <w:t>落到实处</w:t>
            </w:r>
            <w:r>
              <w:rPr>
                <w:rFonts w:hint="eastAsia"/>
              </w:rPr>
              <w:t>。</w:t>
            </w:r>
          </w:p>
          <w:p w14:paraId="78D333A4">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Chars="0" w:firstLine="480" w:firstLineChars="200"/>
              <w:jc w:val="both"/>
              <w:textAlignment w:val="auto"/>
              <w:rPr>
                <w:rFonts w:ascii="Times New Roman" w:hAnsi="Times New Roman" w:cs="Times New Roman"/>
              </w:rPr>
            </w:pPr>
            <w:r>
              <w:rPr>
                <w:rFonts w:ascii="Times New Roman" w:hAnsi="Times New Roman" w:eastAsia="宋体" w:cs="Times New Roman"/>
              </w:rPr>
              <w:fldChar w:fldCharType="begin"/>
            </w:r>
            <w:r>
              <w:rPr>
                <w:rFonts w:ascii="Times New Roman" w:hAnsi="Times New Roman" w:eastAsia="宋体" w:cs="Times New Roman"/>
              </w:rPr>
              <w:instrText xml:space="preserve"> = 1 \* GB3 \* MERGEFORMAT </w:instrText>
            </w:r>
            <w:r>
              <w:rPr>
                <w:rFonts w:ascii="Times New Roman" w:hAnsi="Times New Roman" w:eastAsia="宋体" w:cs="Times New Roman"/>
              </w:rPr>
              <w:fldChar w:fldCharType="separate"/>
            </w:r>
            <w:r>
              <w:rPr>
                <w:rFonts w:ascii="Times New Roman" w:hAnsi="Times New Roman" w:eastAsia="宋体" w:cs="Times New Roman"/>
              </w:rPr>
              <w:t>①</w:t>
            </w:r>
            <w:r>
              <w:rPr>
                <w:rFonts w:ascii="Times New Roman" w:hAnsi="Times New Roman" w:eastAsia="宋体" w:cs="Times New Roman"/>
              </w:rPr>
              <w:fldChar w:fldCharType="end"/>
            </w:r>
            <w:r>
              <w:rPr>
                <w:rFonts w:hint="eastAsia" w:ascii="Times New Roman" w:hAnsi="Times New Roman" w:cs="Times New Roman"/>
              </w:rPr>
              <w:t>应按照《环境管理体系要求及使用指南》</w:t>
            </w:r>
            <w:r>
              <w:rPr>
                <w:rFonts w:hint="eastAsia" w:ascii="Times New Roman" w:hAnsi="Times New Roman" w:cs="Times New Roman"/>
                <w:lang w:eastAsia="zh-CN"/>
              </w:rPr>
              <w:t>（</w:t>
            </w:r>
            <w:r>
              <w:rPr>
                <w:rFonts w:hint="eastAsia" w:ascii="Times New Roman" w:hAnsi="Times New Roman" w:cs="Times New Roman"/>
              </w:rPr>
              <w:t>GB/T24001</w:t>
            </w:r>
            <w:r>
              <w:rPr>
                <w:rFonts w:hint="eastAsia" w:ascii="Times New Roman" w:hAnsi="Times New Roman" w:cs="Times New Roman"/>
                <w:lang w:eastAsia="zh-CN"/>
              </w:rPr>
              <w:t>）</w:t>
            </w:r>
            <w:r>
              <w:rPr>
                <w:rFonts w:hint="eastAsia" w:ascii="Times New Roman" w:hAnsi="Times New Roman" w:cs="Times New Roman"/>
              </w:rPr>
              <w:t>要求建立并有效运行环境管理体系。</w:t>
            </w:r>
          </w:p>
          <w:p w14:paraId="1EA0C1AB">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Chars="0" w:firstLine="480" w:firstLineChars="200"/>
              <w:jc w:val="both"/>
              <w:textAlignment w:val="auto"/>
              <w:rPr>
                <w:rFonts w:ascii="Times New Roman" w:hAnsi="Times New Roman" w:cs="Times New Roman"/>
              </w:rPr>
            </w:pPr>
            <w:r>
              <w:rPr>
                <w:rFonts w:ascii="Times New Roman" w:hAnsi="Times New Roman" w:eastAsia="宋体" w:cs="Times New Roman"/>
              </w:rPr>
              <w:fldChar w:fldCharType="begin"/>
            </w:r>
            <w:r>
              <w:rPr>
                <w:rFonts w:ascii="Times New Roman" w:hAnsi="Times New Roman" w:eastAsia="宋体" w:cs="Times New Roman"/>
              </w:rPr>
              <w:instrText xml:space="preserve"> = 2 \* GB3 \* MERGEFORMAT </w:instrText>
            </w:r>
            <w:r>
              <w:rPr>
                <w:rFonts w:ascii="Times New Roman" w:hAnsi="Times New Roman" w:eastAsia="宋体" w:cs="Times New Roman"/>
              </w:rPr>
              <w:fldChar w:fldCharType="separate"/>
            </w:r>
            <w:r>
              <w:rPr>
                <w:rFonts w:ascii="Times New Roman" w:hAnsi="Times New Roman" w:eastAsia="宋体" w:cs="Times New Roman"/>
              </w:rPr>
              <w:t>②</w:t>
            </w:r>
            <w:r>
              <w:rPr>
                <w:rFonts w:ascii="Times New Roman" w:hAnsi="Times New Roman" w:eastAsia="宋体" w:cs="Times New Roman"/>
              </w:rPr>
              <w:fldChar w:fldCharType="end"/>
            </w:r>
            <w:r>
              <w:rPr>
                <w:rFonts w:hint="eastAsia" w:ascii="Times New Roman" w:hAnsi="Times New Roman" w:cs="Times New Roman"/>
              </w:rPr>
              <w:t>项目建成后，必须确保污染处理设施长期、稳定、有效地运行，不得擅自拆除或者闲置污染处理设施，不得故意不正常使用污染处理设施。污染处理设施的管理必须与生产经营活动一起纳入单位日常管理工作的范畴，落实责任人、操作人员、维修人员、运行经费、设备的备品备件和其他原辅材料。同时要建立岗位责任制、制定操作规程、建立管理台帐。</w:t>
            </w:r>
          </w:p>
          <w:p w14:paraId="2638B513">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Chars="0" w:firstLine="480" w:firstLineChars="200"/>
              <w:jc w:val="both"/>
              <w:textAlignment w:val="auto"/>
              <w:rPr>
                <w:rFonts w:ascii="Times New Roman" w:hAnsi="Times New Roman" w:cs="Times New Roman"/>
              </w:rPr>
            </w:pPr>
            <w:r>
              <w:rPr>
                <w:rFonts w:ascii="Times New Roman" w:hAnsi="Times New Roman" w:eastAsia="宋体" w:cs="Times New Roman"/>
              </w:rPr>
              <w:fldChar w:fldCharType="begin"/>
            </w:r>
            <w:r>
              <w:rPr>
                <w:rFonts w:ascii="Times New Roman" w:hAnsi="Times New Roman" w:eastAsia="宋体" w:cs="Times New Roman"/>
              </w:rPr>
              <w:instrText xml:space="preserve"> = 3 \* GB3 \* MERGEFORMAT </w:instrText>
            </w:r>
            <w:r>
              <w:rPr>
                <w:rFonts w:ascii="Times New Roman" w:hAnsi="Times New Roman" w:eastAsia="宋体" w:cs="Times New Roman"/>
              </w:rPr>
              <w:fldChar w:fldCharType="separate"/>
            </w:r>
            <w:r>
              <w:rPr>
                <w:rFonts w:ascii="Times New Roman" w:hAnsi="Times New Roman" w:eastAsia="宋体" w:cs="Times New Roman"/>
              </w:rPr>
              <w:t>③</w:t>
            </w:r>
            <w:r>
              <w:rPr>
                <w:rFonts w:ascii="Times New Roman" w:hAnsi="Times New Roman" w:eastAsia="宋体" w:cs="Times New Roman"/>
              </w:rPr>
              <w:fldChar w:fldCharType="end"/>
            </w:r>
            <w:r>
              <w:rPr>
                <w:rFonts w:hint="eastAsia" w:ascii="Times New Roman" w:hAnsi="Times New Roman" w:cs="Times New Roman"/>
              </w:rPr>
              <w:t>依法按照排污许可证申请与核发技术规范提交排污许可申请，申报排放污染物种类、排放浓度等，建设单位应当严格执行排污许可证的规定，禁止无证排污或不按证排污。</w:t>
            </w:r>
          </w:p>
          <w:p w14:paraId="01C923AD">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Chars="0" w:firstLine="480" w:firstLineChars="200"/>
              <w:jc w:val="both"/>
              <w:textAlignment w:val="auto"/>
              <w:rPr>
                <w:rFonts w:ascii="Times New Roman" w:hAnsi="Times New Roman" w:cs="Times New Roman"/>
              </w:rPr>
            </w:pPr>
            <w:r>
              <w:rPr>
                <w:rFonts w:ascii="Times New Roman" w:hAnsi="Times New Roman" w:eastAsia="宋体" w:cs="Times New Roman"/>
              </w:rPr>
              <w:fldChar w:fldCharType="begin"/>
            </w:r>
            <w:r>
              <w:rPr>
                <w:rFonts w:ascii="Times New Roman" w:hAnsi="Times New Roman" w:eastAsia="宋体" w:cs="Times New Roman"/>
              </w:rPr>
              <w:instrText xml:space="preserve"> = 4 \* GB3 \* MERGEFORMAT </w:instrText>
            </w:r>
            <w:r>
              <w:rPr>
                <w:rFonts w:ascii="Times New Roman" w:hAnsi="Times New Roman" w:eastAsia="宋体" w:cs="Times New Roman"/>
              </w:rPr>
              <w:fldChar w:fldCharType="separate"/>
            </w:r>
            <w:r>
              <w:rPr>
                <w:rFonts w:ascii="Times New Roman" w:hAnsi="Times New Roman" w:eastAsia="宋体" w:cs="Times New Roman"/>
              </w:rPr>
              <w:t>④</w:t>
            </w:r>
            <w:r>
              <w:rPr>
                <w:rFonts w:ascii="Times New Roman" w:hAnsi="Times New Roman" w:eastAsia="宋体" w:cs="Times New Roman"/>
              </w:rPr>
              <w:fldChar w:fldCharType="end"/>
            </w:r>
            <w:r>
              <w:rPr>
                <w:rFonts w:hint="eastAsia" w:ascii="Times New Roman" w:hAnsi="Times New Roman" w:cs="Times New Roman"/>
              </w:rPr>
              <w:t>严格按照本次评价要求，杜绝超标超总量排放。</w:t>
            </w:r>
          </w:p>
          <w:p w14:paraId="1365AB79">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Chars="0" w:firstLine="480" w:firstLineChars="200"/>
              <w:jc w:val="both"/>
              <w:textAlignment w:val="auto"/>
              <w:rPr>
                <w:rFonts w:ascii="Times New Roman" w:hAnsi="Times New Roman" w:cs="Times New Roman"/>
              </w:rPr>
            </w:pPr>
            <w:r>
              <w:rPr>
                <w:rFonts w:hint="eastAsia" w:ascii="Times New Roman" w:hAnsi="Times New Roman" w:eastAsia="宋体" w:cs="Times New Roman"/>
              </w:rPr>
              <w:fldChar w:fldCharType="begin"/>
            </w:r>
            <w:r>
              <w:rPr>
                <w:rFonts w:hint="eastAsia" w:ascii="Times New Roman" w:hAnsi="Times New Roman" w:eastAsia="宋体" w:cs="Times New Roman"/>
              </w:rPr>
              <w:instrText xml:space="preserve"> = 5 \* GB3 \* MERGEFORMAT </w:instrText>
            </w:r>
            <w:r>
              <w:rPr>
                <w:rFonts w:hint="eastAsia" w:ascii="Times New Roman" w:hAnsi="Times New Roman" w:eastAsia="宋体" w:cs="Times New Roman"/>
              </w:rPr>
              <w:fldChar w:fldCharType="separate"/>
            </w:r>
            <w:r>
              <w:rPr>
                <w:rFonts w:ascii="Times New Roman" w:hAnsi="Times New Roman" w:eastAsia="宋体" w:cs="Times New Roman"/>
              </w:rPr>
              <w:t>⑤</w:t>
            </w:r>
            <w:r>
              <w:rPr>
                <w:rFonts w:hint="eastAsia" w:ascii="Times New Roman" w:hAnsi="Times New Roman" w:eastAsia="宋体" w:cs="Times New Roman"/>
              </w:rPr>
              <w:fldChar w:fldCharType="end"/>
            </w:r>
            <w:r>
              <w:rPr>
                <w:rFonts w:hint="eastAsia" w:ascii="Times New Roman" w:hAnsi="Times New Roman" w:cs="Times New Roman"/>
              </w:rPr>
              <w:t>严格按照本次评价及排污许可证要求对项目废气、废水、噪声进行例行监测。</w:t>
            </w:r>
          </w:p>
          <w:p w14:paraId="1F21D939">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Chars="0" w:firstLine="480" w:firstLineChars="200"/>
              <w:jc w:val="both"/>
              <w:textAlignment w:val="auto"/>
              <w:rPr>
                <w:rFonts w:ascii="Times New Roman" w:hAnsi="Times New Roman" w:cs="Times New Roman"/>
              </w:rPr>
            </w:pPr>
            <w:r>
              <w:rPr>
                <w:rFonts w:hint="eastAsia" w:ascii="Times New Roman" w:hAnsi="Times New Roman" w:eastAsia="宋体" w:cs="Times New Roman"/>
              </w:rPr>
              <w:fldChar w:fldCharType="begin"/>
            </w:r>
            <w:r>
              <w:rPr>
                <w:rFonts w:hint="eastAsia" w:ascii="Times New Roman" w:hAnsi="Times New Roman" w:eastAsia="宋体" w:cs="Times New Roman"/>
              </w:rPr>
              <w:instrText xml:space="preserve"> = 6 \* GB3 \* MERGEFORMAT </w:instrText>
            </w:r>
            <w:r>
              <w:rPr>
                <w:rFonts w:hint="eastAsia" w:ascii="Times New Roman" w:hAnsi="Times New Roman" w:eastAsia="宋体" w:cs="Times New Roman"/>
              </w:rPr>
              <w:fldChar w:fldCharType="separate"/>
            </w:r>
            <w:r>
              <w:rPr>
                <w:rFonts w:hint="eastAsia" w:ascii="Times New Roman" w:hAnsi="Times New Roman" w:eastAsia="宋体" w:cs="Times New Roman"/>
              </w:rPr>
              <w:t>⑥</w:t>
            </w:r>
            <w:r>
              <w:rPr>
                <w:rFonts w:hint="eastAsia" w:ascii="Times New Roman" w:hAnsi="Times New Roman" w:eastAsia="宋体" w:cs="Times New Roman"/>
              </w:rPr>
              <w:fldChar w:fldCharType="end"/>
            </w:r>
            <w:r>
              <w:rPr>
                <w:rFonts w:hint="eastAsia" w:ascii="Times New Roman" w:hAnsi="Times New Roman" w:cs="Times New Roman"/>
              </w:rPr>
              <w:t>建设单位在环评编制、审批、排污许可证申请、竣工环保验收、正常运行等各阶段均应按照有关要求，通过网站或者其他便于公众知悉的方式，依法向社会公开本项目污染物排放清单，明确污染物排放的管理要求。包括工程组成及原辅材料组分要求，建设项目拟采取的环境保护措施及主要运行参数，排放的污染物种类、排放浓度和总量指标，排污口信息，执行的环境标准，环境风险防范措施以及环境监测等相关内容。</w:t>
            </w:r>
          </w:p>
          <w:p w14:paraId="48851582">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Chars="0" w:firstLine="480" w:firstLineChars="200"/>
              <w:jc w:val="both"/>
              <w:textAlignment w:val="auto"/>
              <w:rPr>
                <w:rFonts w:ascii="Times New Roman" w:hAnsi="Times New Roman" w:cs="Times New Roman"/>
              </w:rPr>
            </w:pPr>
            <w:r>
              <w:rPr>
                <w:rFonts w:hint="eastAsia" w:ascii="Times New Roman" w:hAnsi="Times New Roman" w:eastAsia="宋体" w:cs="Times New Roman"/>
              </w:rPr>
              <w:fldChar w:fldCharType="begin"/>
            </w:r>
            <w:r>
              <w:rPr>
                <w:rFonts w:hint="eastAsia" w:ascii="Times New Roman" w:hAnsi="Times New Roman" w:eastAsia="宋体" w:cs="Times New Roman"/>
              </w:rPr>
              <w:instrText xml:space="preserve"> = 7 \* GB3 \* MERGEFORMAT </w:instrText>
            </w:r>
            <w:r>
              <w:rPr>
                <w:rFonts w:hint="eastAsia" w:ascii="Times New Roman" w:hAnsi="Times New Roman" w:eastAsia="宋体" w:cs="Times New Roman"/>
              </w:rPr>
              <w:fldChar w:fldCharType="separate"/>
            </w:r>
            <w:r>
              <w:rPr>
                <w:rFonts w:hint="eastAsia" w:ascii="Times New Roman" w:hAnsi="Times New Roman" w:eastAsia="宋体" w:cs="Times New Roman"/>
              </w:rPr>
              <w:t>⑦</w:t>
            </w:r>
            <w:r>
              <w:rPr>
                <w:rFonts w:hint="eastAsia" w:ascii="Times New Roman" w:hAnsi="Times New Roman" w:eastAsia="宋体" w:cs="Times New Roman"/>
              </w:rPr>
              <w:fldChar w:fldCharType="end"/>
            </w:r>
            <w:r>
              <w:rPr>
                <w:rFonts w:hint="eastAsia" w:ascii="Times New Roman" w:hAnsi="Times New Roman" w:cs="Times New Roman"/>
              </w:rPr>
              <w:t>企业应建立绿色物流供应链制度，对主要零部件供应商提出环保要求，符合相关法律法规标准要求</w:t>
            </w:r>
          </w:p>
          <w:p w14:paraId="76192941">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Chars="0" w:firstLine="480" w:firstLineChars="200"/>
              <w:jc w:val="both"/>
              <w:textAlignment w:val="auto"/>
              <w:rPr>
                <w:rFonts w:ascii="Times New Roman" w:hAnsi="Times New Roman" w:cs="Times New Roman"/>
              </w:rPr>
            </w:pPr>
            <w:r>
              <w:rPr>
                <w:rFonts w:hint="eastAsia" w:ascii="Times New Roman" w:hAnsi="Times New Roman" w:eastAsia="宋体" w:cs="Times New Roman"/>
              </w:rPr>
              <w:fldChar w:fldCharType="begin"/>
            </w:r>
            <w:r>
              <w:rPr>
                <w:rFonts w:hint="eastAsia" w:ascii="Times New Roman" w:hAnsi="Times New Roman" w:eastAsia="宋体" w:cs="Times New Roman"/>
              </w:rPr>
              <w:instrText xml:space="preserve"> = 8 \* GB3 \* MERGEFORMAT </w:instrText>
            </w:r>
            <w:r>
              <w:rPr>
                <w:rFonts w:hint="eastAsia" w:ascii="Times New Roman" w:hAnsi="Times New Roman" w:eastAsia="宋体" w:cs="Times New Roman"/>
              </w:rPr>
              <w:fldChar w:fldCharType="separate"/>
            </w:r>
            <w:r>
              <w:rPr>
                <w:rFonts w:hint="eastAsia" w:ascii="Times New Roman" w:hAnsi="Times New Roman" w:eastAsia="宋体" w:cs="Times New Roman"/>
              </w:rPr>
              <w:t>⑧</w:t>
            </w:r>
            <w:r>
              <w:rPr>
                <w:rFonts w:hint="eastAsia" w:ascii="Times New Roman" w:hAnsi="Times New Roman" w:eastAsia="宋体" w:cs="Times New Roman"/>
              </w:rPr>
              <w:fldChar w:fldCharType="end"/>
            </w:r>
            <w:r>
              <w:rPr>
                <w:rFonts w:hint="eastAsia" w:ascii="Times New Roman" w:hAnsi="Times New Roman" w:cs="Times New Roman"/>
              </w:rPr>
              <w:t>企业需按要求设置清洁生产管理岗位，清洁生产水平应达到国内清洁生产先进水平，实行环境、能源管理岗位责任制，环境管理应由总经理主管负责，下设环境保护专职机构，并与各职能部门保持密切的联系，由专职环境保护管理和工作人员实施全公司的环境管理工作。</w:t>
            </w:r>
          </w:p>
          <w:p w14:paraId="789275B9">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Chars="0" w:firstLine="480" w:firstLineChars="200"/>
              <w:jc w:val="both"/>
              <w:textAlignment w:val="auto"/>
              <w:rPr>
                <w:rFonts w:ascii="Times New Roman" w:hAnsi="Times New Roman" w:cs="Times New Roman"/>
              </w:rPr>
            </w:pPr>
            <w:r>
              <w:rPr>
                <w:rFonts w:hint="eastAsia" w:ascii="Times New Roman" w:hAnsi="Times New Roman" w:eastAsia="宋体" w:cs="Times New Roman"/>
              </w:rPr>
              <w:fldChar w:fldCharType="begin"/>
            </w:r>
            <w:r>
              <w:rPr>
                <w:rFonts w:hint="eastAsia" w:ascii="Times New Roman" w:hAnsi="Times New Roman" w:eastAsia="宋体" w:cs="Times New Roman"/>
              </w:rPr>
              <w:instrText xml:space="preserve"> = 9 \* GB3 \* MERGEFORMAT </w:instrText>
            </w:r>
            <w:r>
              <w:rPr>
                <w:rFonts w:hint="eastAsia" w:ascii="Times New Roman" w:hAnsi="Times New Roman" w:eastAsia="宋体" w:cs="Times New Roman"/>
              </w:rPr>
              <w:fldChar w:fldCharType="separate"/>
            </w:r>
            <w:r>
              <w:rPr>
                <w:rFonts w:hint="eastAsia" w:ascii="Times New Roman" w:hAnsi="Times New Roman" w:eastAsia="宋体" w:cs="Times New Roman"/>
              </w:rPr>
              <w:t>⑨</w:t>
            </w:r>
            <w:r>
              <w:rPr>
                <w:rFonts w:hint="eastAsia" w:ascii="Times New Roman" w:hAnsi="Times New Roman" w:eastAsia="宋体" w:cs="Times New Roman"/>
              </w:rPr>
              <w:fldChar w:fldCharType="end"/>
            </w:r>
            <w:r>
              <w:rPr>
                <w:rFonts w:hint="eastAsia" w:ascii="Times New Roman" w:hAnsi="Times New Roman" w:cs="Times New Roman"/>
              </w:rPr>
              <w:t>应按要求制定企业环境风险专项应急预案、应急设施、物资齐备，并定期培训和演练。</w:t>
            </w:r>
          </w:p>
          <w:p w14:paraId="7F310D18">
            <w:pPr>
              <w:pStyle w:val="54"/>
              <w:keepNext w:val="0"/>
              <w:keepLines w:val="0"/>
              <w:pageBreakBefore w:val="0"/>
              <w:widowControl w:val="0"/>
              <w:numPr>
                <w:ilvl w:val="0"/>
                <w:numId w:val="0"/>
              </w:numPr>
              <w:tabs>
                <w:tab w:val="left" w:pos="7821"/>
              </w:tabs>
              <w:kinsoku/>
              <w:wordWrap/>
              <w:overflowPunct/>
              <w:topLinePunct w:val="0"/>
              <w:autoSpaceDE/>
              <w:autoSpaceDN/>
              <w:bidi w:val="0"/>
              <w:adjustRightInd/>
              <w:snapToGrid/>
              <w:ind w:leftChars="0" w:firstLine="496" w:firstLineChars="200"/>
              <w:textAlignment w:val="auto"/>
              <w:rPr>
                <w:spacing w:val="4"/>
                <w:kern w:val="0"/>
              </w:rPr>
            </w:pPr>
            <w:r>
              <w:rPr>
                <w:rFonts w:hint="eastAsia"/>
                <w:spacing w:val="4"/>
                <w:kern w:val="0"/>
                <w:lang w:val="en-US" w:eastAsia="zh-CN"/>
              </w:rPr>
              <w:t>3）</w:t>
            </w:r>
            <w:r>
              <w:rPr>
                <w:rFonts w:hint="eastAsia"/>
                <w:spacing w:val="4"/>
                <w:kern w:val="0"/>
              </w:rPr>
              <w:t>环保设施维修保养</w:t>
            </w:r>
          </w:p>
          <w:p w14:paraId="1399DB2F">
            <w:pPr>
              <w:keepNext w:val="0"/>
              <w:keepLines w:val="0"/>
              <w:pageBreakBefore w:val="0"/>
              <w:widowControl w:val="0"/>
              <w:kinsoku/>
              <w:wordWrap/>
              <w:overflowPunct/>
              <w:topLinePunct w:val="0"/>
              <w:autoSpaceDE/>
              <w:autoSpaceDN/>
              <w:bidi w:val="0"/>
              <w:adjustRightInd/>
              <w:snapToGrid/>
              <w:ind w:firstLine="480"/>
              <w:textAlignment w:val="auto"/>
            </w:pPr>
            <w:r>
              <w:rPr>
                <w:rFonts w:hint="eastAsia"/>
              </w:rPr>
              <w:t>当发生设备故障时，应及时安排设备供应方及营运支持人员进行设备维修和更换，确保环保设施正常运行。</w:t>
            </w:r>
          </w:p>
          <w:p w14:paraId="6A9E57B3">
            <w:pPr>
              <w:pStyle w:val="54"/>
              <w:keepNext w:val="0"/>
              <w:keepLines w:val="0"/>
              <w:pageBreakBefore w:val="0"/>
              <w:widowControl w:val="0"/>
              <w:numPr>
                <w:ilvl w:val="0"/>
                <w:numId w:val="0"/>
              </w:numPr>
              <w:tabs>
                <w:tab w:val="left" w:pos="7821"/>
              </w:tabs>
              <w:kinsoku/>
              <w:wordWrap/>
              <w:overflowPunct/>
              <w:topLinePunct w:val="0"/>
              <w:autoSpaceDE/>
              <w:autoSpaceDN/>
              <w:bidi w:val="0"/>
              <w:adjustRightInd/>
              <w:snapToGrid/>
              <w:ind w:leftChars="0" w:firstLine="496" w:firstLineChars="200"/>
              <w:textAlignment w:val="auto"/>
              <w:rPr>
                <w:spacing w:val="4"/>
                <w:kern w:val="0"/>
              </w:rPr>
            </w:pPr>
            <w:r>
              <w:rPr>
                <w:rFonts w:hint="eastAsia"/>
                <w:spacing w:val="4"/>
                <w:kern w:val="0"/>
                <w:lang w:val="en-US" w:eastAsia="zh-CN"/>
              </w:rPr>
              <w:t>4）</w:t>
            </w:r>
            <w:r>
              <w:rPr>
                <w:rFonts w:hint="eastAsia"/>
                <w:spacing w:val="4"/>
                <w:kern w:val="0"/>
              </w:rPr>
              <w:t>自行监测</w:t>
            </w:r>
          </w:p>
          <w:p w14:paraId="3E36C3EB">
            <w:pPr>
              <w:pStyle w:val="54"/>
              <w:keepNext w:val="0"/>
              <w:keepLines w:val="0"/>
              <w:pageBreakBefore w:val="0"/>
              <w:widowControl w:val="0"/>
              <w:kinsoku/>
              <w:wordWrap/>
              <w:overflowPunct/>
              <w:topLinePunct w:val="0"/>
              <w:autoSpaceDE/>
              <w:autoSpaceDN/>
              <w:bidi w:val="0"/>
              <w:adjustRightInd/>
              <w:snapToGrid/>
              <w:ind w:firstLine="496"/>
              <w:textAlignment w:val="auto"/>
              <w:rPr>
                <w:spacing w:val="4"/>
                <w:kern w:val="0"/>
              </w:rPr>
            </w:pPr>
            <w:r>
              <w:rPr>
                <w:rFonts w:hint="eastAsia"/>
                <w:spacing w:val="4"/>
                <w:kern w:val="0"/>
              </w:rPr>
              <w:t>根据《排污单位自行监测技术指南 储油库、加油站》（HJ1249-2022）</w:t>
            </w:r>
            <w:r>
              <w:rPr>
                <w:rFonts w:hint="eastAsia"/>
                <w:spacing w:val="4"/>
                <w:kern w:val="0"/>
                <w:lang w:eastAsia="zh-CN"/>
              </w:rPr>
              <w:t>，</w:t>
            </w:r>
            <w:r>
              <w:rPr>
                <w:rFonts w:hint="eastAsia"/>
                <w:spacing w:val="4"/>
                <w:kern w:val="0"/>
              </w:rPr>
              <w:t>排污单位应查清本单位的污染源、污染物指标及潜在的环境影响，制定监测方案，设置和维护监测设施，按照监测方案开展自行监测，做好质量保证和质量控制，记录和保存监测信息，依法向社会公开监测结果。</w:t>
            </w:r>
          </w:p>
          <w:p w14:paraId="1CE357FB">
            <w:pPr>
              <w:pStyle w:val="54"/>
              <w:keepNext w:val="0"/>
              <w:keepLines w:val="0"/>
              <w:pageBreakBefore w:val="0"/>
              <w:widowControl w:val="0"/>
              <w:numPr>
                <w:ilvl w:val="0"/>
                <w:numId w:val="0"/>
              </w:numPr>
              <w:tabs>
                <w:tab w:val="left" w:pos="7821"/>
              </w:tabs>
              <w:kinsoku/>
              <w:wordWrap/>
              <w:overflowPunct/>
              <w:topLinePunct w:val="0"/>
              <w:autoSpaceDE/>
              <w:autoSpaceDN/>
              <w:bidi w:val="0"/>
              <w:adjustRightInd/>
              <w:snapToGrid/>
              <w:ind w:leftChars="0" w:firstLine="496" w:firstLineChars="200"/>
              <w:textAlignment w:val="auto"/>
              <w:rPr>
                <w:spacing w:val="4"/>
                <w:kern w:val="0"/>
              </w:rPr>
            </w:pPr>
            <w:r>
              <w:rPr>
                <w:rFonts w:hint="eastAsia"/>
                <w:spacing w:val="4"/>
                <w:kern w:val="0"/>
                <w:lang w:val="en-US" w:eastAsia="zh-CN"/>
              </w:rPr>
              <w:t>5）</w:t>
            </w:r>
            <w:r>
              <w:rPr>
                <w:rFonts w:hint="eastAsia"/>
                <w:spacing w:val="4"/>
                <w:kern w:val="0"/>
              </w:rPr>
              <w:t>严格执行“三同时”</w:t>
            </w:r>
          </w:p>
          <w:p w14:paraId="59AEB0BA">
            <w:pPr>
              <w:pStyle w:val="54"/>
              <w:keepNext w:val="0"/>
              <w:keepLines w:val="0"/>
              <w:pageBreakBefore w:val="0"/>
              <w:widowControl w:val="0"/>
              <w:kinsoku/>
              <w:wordWrap/>
              <w:overflowPunct/>
              <w:topLinePunct w:val="0"/>
              <w:autoSpaceDE/>
              <w:autoSpaceDN/>
              <w:bidi w:val="0"/>
              <w:adjustRightInd/>
              <w:snapToGrid/>
              <w:ind w:firstLine="496"/>
              <w:textAlignment w:val="auto"/>
              <w:rPr>
                <w:spacing w:val="4"/>
                <w:kern w:val="0"/>
              </w:rPr>
            </w:pPr>
            <w:r>
              <w:rPr>
                <w:rFonts w:hint="eastAsia"/>
                <w:spacing w:val="4"/>
                <w:kern w:val="0"/>
              </w:rPr>
              <w:t>建设单位在本项目建设过程中应认真执行环保“三同时”政策，严格落实提出的各项污染物防治措施。</w:t>
            </w:r>
          </w:p>
          <w:p w14:paraId="1F76228E">
            <w:pPr>
              <w:keepNext w:val="0"/>
              <w:keepLines w:val="0"/>
              <w:pageBreakBefore w:val="0"/>
              <w:widowControl w:val="0"/>
              <w:kinsoku/>
              <w:wordWrap/>
              <w:overflowPunct/>
              <w:topLinePunct w:val="0"/>
              <w:autoSpaceDE/>
              <w:autoSpaceDN/>
              <w:bidi w:val="0"/>
              <w:adjustRightInd/>
              <w:snapToGrid/>
              <w:spacing w:line="360" w:lineRule="auto"/>
              <w:ind w:firstLine="498" w:firstLineChars="200"/>
              <w:textAlignment w:val="auto"/>
              <w:rPr>
                <w:rFonts w:hint="default" w:ascii="Times New Roman" w:hAnsi="Times New Roman" w:eastAsia="宋体" w:cs="Times New Roman"/>
                <w:b/>
                <w:bCs/>
                <w:color w:val="auto"/>
                <w:spacing w:val="4"/>
                <w:kern w:val="0"/>
                <w:sz w:val="24"/>
                <w:highlight w:val="none"/>
                <w:lang w:val="en-US" w:eastAsia="zh-CN"/>
              </w:rPr>
            </w:pPr>
            <w:r>
              <w:rPr>
                <w:rFonts w:hint="default" w:ascii="Times New Roman" w:hAnsi="Times New Roman" w:eastAsia="宋体" w:cs="Times New Roman"/>
                <w:b/>
                <w:bCs/>
                <w:color w:val="auto"/>
                <w:spacing w:val="4"/>
                <w:kern w:val="0"/>
                <w:sz w:val="24"/>
                <w:highlight w:val="none"/>
                <w:lang w:val="en-US" w:eastAsia="zh-CN"/>
              </w:rPr>
              <w:t>（</w:t>
            </w:r>
            <w:r>
              <w:rPr>
                <w:rFonts w:hint="eastAsia" w:ascii="Times New Roman" w:hAnsi="Times New Roman" w:eastAsia="宋体" w:cs="Times New Roman"/>
                <w:b/>
                <w:bCs/>
                <w:color w:val="auto"/>
                <w:spacing w:val="4"/>
                <w:kern w:val="0"/>
                <w:sz w:val="24"/>
                <w:highlight w:val="none"/>
                <w:lang w:val="en-US" w:eastAsia="zh-CN"/>
              </w:rPr>
              <w:t>2</w:t>
            </w:r>
            <w:r>
              <w:rPr>
                <w:rFonts w:hint="default" w:ascii="Times New Roman" w:hAnsi="Times New Roman" w:eastAsia="宋体" w:cs="Times New Roman"/>
                <w:b/>
                <w:bCs/>
                <w:color w:val="auto"/>
                <w:spacing w:val="4"/>
                <w:kern w:val="0"/>
                <w:sz w:val="24"/>
                <w:highlight w:val="none"/>
                <w:lang w:val="en-US" w:eastAsia="zh-CN"/>
              </w:rPr>
              <w:t>）排污口规范化</w:t>
            </w:r>
          </w:p>
          <w:p w14:paraId="7DFCDF74">
            <w:pPr>
              <w:keepNext w:val="0"/>
              <w:keepLines w:val="0"/>
              <w:pageBreakBefore w:val="0"/>
              <w:widowControl w:val="0"/>
              <w:kinsoku/>
              <w:wordWrap/>
              <w:overflowPunct/>
              <w:topLinePunct w:val="0"/>
              <w:autoSpaceDE/>
              <w:autoSpaceDN/>
              <w:bidi w:val="0"/>
              <w:adjustRightInd/>
              <w:snapToGrid/>
              <w:spacing w:line="360" w:lineRule="auto"/>
              <w:ind w:left="0" w:firstLine="496" w:firstLineChars="200"/>
              <w:textAlignment w:val="auto"/>
              <w:rPr>
                <w:rFonts w:hint="default" w:ascii="Times New Roman" w:hAnsi="Times New Roman" w:eastAsia="宋体" w:cs="Times New Roman"/>
                <w:color w:val="auto"/>
                <w:spacing w:val="4"/>
                <w:kern w:val="0"/>
                <w:sz w:val="24"/>
                <w:highlight w:val="none"/>
                <w:lang w:val="en-US" w:eastAsia="zh-CN"/>
              </w:rPr>
            </w:pPr>
            <w:r>
              <w:rPr>
                <w:rFonts w:hint="default" w:ascii="Times New Roman" w:hAnsi="Times New Roman" w:eastAsia="宋体" w:cs="Times New Roman"/>
                <w:color w:val="auto"/>
                <w:spacing w:val="4"/>
                <w:kern w:val="0"/>
                <w:sz w:val="24"/>
                <w:highlight w:val="none"/>
                <w:lang w:val="en-US" w:eastAsia="zh-CN"/>
              </w:rPr>
              <w:t>根据《关于开展排放口规范化整治工作的通知》国家环境保护总局环发</w:t>
            </w:r>
            <w:r>
              <w:rPr>
                <w:rFonts w:hint="eastAsia" w:ascii="Times New Roman" w:hAnsi="Times New Roman" w:eastAsia="宋体" w:cs="Times New Roman"/>
                <w:color w:val="auto"/>
                <w:spacing w:val="4"/>
                <w:kern w:val="0"/>
                <w:sz w:val="24"/>
                <w:highlight w:val="none"/>
                <w:lang w:val="en-US" w:eastAsia="zh-CN"/>
              </w:rPr>
              <w:t>〔</w:t>
            </w:r>
            <w:r>
              <w:rPr>
                <w:rFonts w:hint="default" w:ascii="Times New Roman" w:hAnsi="Times New Roman" w:eastAsia="宋体" w:cs="Times New Roman"/>
                <w:color w:val="auto"/>
                <w:spacing w:val="4"/>
                <w:kern w:val="0"/>
                <w:sz w:val="24"/>
                <w:highlight w:val="none"/>
                <w:lang w:val="en-US" w:eastAsia="zh-CN"/>
              </w:rPr>
              <w:t>1999</w:t>
            </w:r>
            <w:r>
              <w:rPr>
                <w:rFonts w:hint="eastAsia" w:ascii="Times New Roman" w:hAnsi="Times New Roman" w:eastAsia="宋体" w:cs="Times New Roman"/>
                <w:color w:val="auto"/>
                <w:spacing w:val="4"/>
                <w:kern w:val="0"/>
                <w:sz w:val="24"/>
                <w:highlight w:val="none"/>
                <w:lang w:val="en-US" w:eastAsia="zh-CN"/>
              </w:rPr>
              <w:t>〕</w:t>
            </w:r>
            <w:r>
              <w:rPr>
                <w:rFonts w:hint="default" w:ascii="Times New Roman" w:hAnsi="Times New Roman" w:eastAsia="宋体" w:cs="Times New Roman"/>
                <w:color w:val="auto"/>
                <w:spacing w:val="4"/>
                <w:kern w:val="0"/>
                <w:sz w:val="24"/>
                <w:highlight w:val="none"/>
                <w:lang w:val="en-US" w:eastAsia="zh-CN"/>
              </w:rPr>
              <w:t>24号文件的要求，一切新建、改建的排污单位以及限期治理的排污单位，必须在建设污染治理设施的同时，建设规范化排污口。因此，建设单位在投产时，各类排污口必须规范化建设和管理，而且规范化工作应</w:t>
            </w:r>
            <w:r>
              <w:rPr>
                <w:rFonts w:hint="eastAsia" w:ascii="Times New Roman" w:hAnsi="Times New Roman" w:eastAsia="宋体" w:cs="Times New Roman"/>
                <w:color w:val="auto"/>
                <w:spacing w:val="4"/>
                <w:kern w:val="0"/>
                <w:sz w:val="24"/>
                <w:highlight w:val="none"/>
                <w:lang w:val="en-US" w:eastAsia="zh-CN"/>
              </w:rPr>
              <w:t>与</w:t>
            </w:r>
            <w:r>
              <w:rPr>
                <w:rFonts w:hint="default" w:ascii="Times New Roman" w:hAnsi="Times New Roman" w:eastAsia="宋体" w:cs="Times New Roman"/>
                <w:color w:val="auto"/>
                <w:spacing w:val="4"/>
                <w:kern w:val="0"/>
                <w:sz w:val="24"/>
                <w:highlight w:val="none"/>
                <w:lang w:val="en-US" w:eastAsia="zh-CN"/>
              </w:rPr>
              <w:t>污染治理同步实施，即治理设施完工时，规范化工作必须同时完成，并列入污染物治理设施的验收内容。</w:t>
            </w:r>
          </w:p>
          <w:p w14:paraId="6B5111B0">
            <w:pPr>
              <w:keepNext w:val="0"/>
              <w:keepLines w:val="0"/>
              <w:pageBreakBefore w:val="0"/>
              <w:widowControl w:val="0"/>
              <w:kinsoku/>
              <w:wordWrap/>
              <w:overflowPunct/>
              <w:topLinePunct w:val="0"/>
              <w:autoSpaceDE/>
              <w:autoSpaceDN/>
              <w:bidi w:val="0"/>
              <w:adjustRightInd/>
              <w:snapToGrid/>
              <w:spacing w:line="360" w:lineRule="auto"/>
              <w:ind w:left="0" w:firstLine="496" w:firstLineChars="200"/>
              <w:textAlignment w:val="auto"/>
              <w:rPr>
                <w:rFonts w:hint="default" w:ascii="Times New Roman" w:hAnsi="Times New Roman" w:eastAsia="宋体" w:cs="Times New Roman"/>
                <w:color w:val="auto"/>
                <w:spacing w:val="4"/>
                <w:kern w:val="0"/>
                <w:sz w:val="24"/>
                <w:highlight w:val="none"/>
                <w:lang w:val="en-US" w:eastAsia="zh-CN"/>
              </w:rPr>
            </w:pPr>
            <w:r>
              <w:rPr>
                <w:rFonts w:hint="eastAsia" w:ascii="Times New Roman" w:hAnsi="Times New Roman" w:eastAsia="宋体" w:cs="Times New Roman"/>
                <w:color w:val="auto"/>
                <w:spacing w:val="4"/>
                <w:kern w:val="0"/>
                <w:sz w:val="24"/>
                <w:highlight w:val="none"/>
                <w:lang w:val="en-US" w:eastAsia="zh-CN"/>
              </w:rPr>
              <w:t>本</w:t>
            </w:r>
            <w:r>
              <w:rPr>
                <w:rFonts w:hint="default" w:ascii="Times New Roman" w:hAnsi="Times New Roman" w:eastAsia="宋体" w:cs="Times New Roman"/>
                <w:color w:val="auto"/>
                <w:spacing w:val="4"/>
                <w:kern w:val="0"/>
                <w:sz w:val="24"/>
                <w:highlight w:val="none"/>
                <w:lang w:val="en-US" w:eastAsia="zh-CN"/>
              </w:rPr>
              <w:t>项目应在气、水、声、固排污口（源）挂牌标识。规范化整治具体如下：</w:t>
            </w:r>
          </w:p>
          <w:p w14:paraId="0CAF12ED">
            <w:pPr>
              <w:pStyle w:val="105"/>
              <w:keepNext w:val="0"/>
              <w:keepLines w:val="0"/>
              <w:pageBreakBefore w:val="0"/>
              <w:widowControl w:val="0"/>
              <w:kinsoku/>
              <w:wordWrap/>
              <w:overflowPunct/>
              <w:topLinePunct w:val="0"/>
              <w:autoSpaceDE/>
              <w:autoSpaceDN/>
              <w:bidi w:val="0"/>
              <w:adjustRightInd/>
              <w:snapToGrid/>
              <w:ind w:left="0"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1）废气排气筒附近醒目处均应</w:t>
            </w:r>
            <w:r>
              <w:rPr>
                <w:rFonts w:hint="eastAsia" w:ascii="Times New Roman" w:hAnsi="Times New Roman" w:eastAsia="宋体" w:cs="Times New Roman"/>
                <w:color w:val="auto"/>
                <w:lang w:eastAsia="zh-CN"/>
              </w:rPr>
              <w:t>竖立</w:t>
            </w:r>
            <w:r>
              <w:rPr>
                <w:rFonts w:hint="default" w:ascii="Times New Roman" w:hAnsi="Times New Roman" w:eastAsia="宋体" w:cs="Times New Roman"/>
                <w:color w:val="auto"/>
              </w:rPr>
              <w:t>一个环保图形标志牌。</w:t>
            </w:r>
          </w:p>
          <w:p w14:paraId="73573334">
            <w:pPr>
              <w:pStyle w:val="105"/>
              <w:keepNext w:val="0"/>
              <w:keepLines w:val="0"/>
              <w:pageBreakBefore w:val="0"/>
              <w:widowControl w:val="0"/>
              <w:kinsoku/>
              <w:wordWrap/>
              <w:overflowPunct/>
              <w:topLinePunct w:val="0"/>
              <w:autoSpaceDE/>
              <w:autoSpaceDN/>
              <w:bidi w:val="0"/>
              <w:adjustRightInd/>
              <w:snapToGrid/>
              <w:ind w:left="0"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w:t>
            </w:r>
            <w:r>
              <w:rPr>
                <w:rFonts w:hint="eastAsia" w:ascii="Times New Roman" w:hAnsi="Times New Roman" w:eastAsia="宋体" w:cs="Times New Roman"/>
                <w:color w:val="auto"/>
                <w:lang w:eastAsia="zh-CN"/>
              </w:rPr>
              <w:t>废气排放口</w:t>
            </w:r>
            <w:r>
              <w:rPr>
                <w:rFonts w:hint="default" w:ascii="Times New Roman" w:hAnsi="Times New Roman" w:eastAsia="宋体" w:cs="Times New Roman"/>
                <w:color w:val="auto"/>
              </w:rPr>
              <w:t>必须符合规定的高度和按照《污染源监测技术规范》便于采样、监测的要求，设置直径不大于75mm的采样口。如无法满足要求的，其采样口与环境监测部门共同确认。</w:t>
            </w:r>
          </w:p>
          <w:p w14:paraId="0E6D48B3">
            <w:pPr>
              <w:pStyle w:val="105"/>
              <w:keepNext w:val="0"/>
              <w:keepLines w:val="0"/>
              <w:pageBreakBefore w:val="0"/>
              <w:widowControl w:val="0"/>
              <w:kinsoku/>
              <w:wordWrap/>
              <w:overflowPunct/>
              <w:topLinePunct w:val="0"/>
              <w:autoSpaceDE/>
              <w:autoSpaceDN/>
              <w:bidi w:val="0"/>
              <w:adjustRightInd/>
              <w:snapToGrid/>
              <w:ind w:left="0"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3）项目建成后，废渣处置前应当有防扬散、防流失等措施，贮存处进出口醒目处应设置环保图形标志牌。</w:t>
            </w:r>
          </w:p>
          <w:p w14:paraId="561C2F79">
            <w:pPr>
              <w:pStyle w:val="105"/>
              <w:keepNext w:val="0"/>
              <w:keepLines w:val="0"/>
              <w:pageBreakBefore w:val="0"/>
              <w:widowControl w:val="0"/>
              <w:kinsoku/>
              <w:wordWrap/>
              <w:overflowPunct/>
              <w:topLinePunct w:val="0"/>
              <w:autoSpaceDE/>
              <w:autoSpaceDN/>
              <w:bidi w:val="0"/>
              <w:adjustRightInd/>
              <w:snapToGrid/>
              <w:ind w:left="0" w:firstLine="480" w:firstLineChars="200"/>
              <w:textAlignment w:val="auto"/>
              <w:rPr>
                <w:rFonts w:eastAsia="宋体"/>
                <w:color w:val="auto"/>
              </w:rPr>
            </w:pPr>
            <w:r>
              <w:rPr>
                <w:rFonts w:hint="default" w:ascii="Times New Roman" w:hAnsi="Times New Roman" w:eastAsia="宋体" w:cs="Times New Roman"/>
                <w:color w:val="auto"/>
              </w:rPr>
              <w:t>4）项目建成后，</w:t>
            </w:r>
            <w:r>
              <w:rPr>
                <w:rFonts w:eastAsia="宋体"/>
                <w:color w:val="auto"/>
              </w:rPr>
              <w:t>在噪声较大的车间外或噪声源较大的地方醒目处应设置环保图形标志牌。</w:t>
            </w:r>
          </w:p>
          <w:p w14:paraId="1B9F267C">
            <w:pPr>
              <w:pStyle w:val="54"/>
              <w:keepNext w:val="0"/>
              <w:keepLines w:val="0"/>
              <w:pageBreakBefore w:val="0"/>
              <w:widowControl w:val="0"/>
              <w:numPr>
                <w:ilvl w:val="0"/>
                <w:numId w:val="0"/>
              </w:numPr>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标志牌的设置应按《环境保护图形标志—排放口（源）》（GB15562.1-1995）的规定执行。标志牌必须保持清晰、完整，当发现有损坏或颜色有变化，应及时修复或更换。检查时间一年两次。具体</w:t>
            </w:r>
            <w:r>
              <w:rPr>
                <w:rFonts w:hint="eastAsia" w:ascii="Times New Roman" w:hAnsi="Times New Roman" w:eastAsia="宋体" w:cs="Times New Roman"/>
                <w:color w:val="auto"/>
                <w:lang w:eastAsia="zh-CN"/>
              </w:rPr>
              <w:t>详</w:t>
            </w:r>
            <w:r>
              <w:rPr>
                <w:rFonts w:hint="default" w:ascii="Times New Roman" w:hAnsi="Times New Roman" w:eastAsia="宋体" w:cs="Times New Roman"/>
                <w:color w:val="auto"/>
              </w:rPr>
              <w:t>见表</w:t>
            </w:r>
            <w:r>
              <w:rPr>
                <w:rFonts w:hint="eastAsia" w:eastAsia="宋体" w:cs="Times New Roman"/>
                <w:color w:val="auto"/>
                <w:lang w:val="en-US" w:eastAsia="zh-CN"/>
              </w:rPr>
              <w:t>4</w:t>
            </w:r>
            <w:r>
              <w:rPr>
                <w:rFonts w:hint="eastAsia" w:ascii="Times New Roman" w:hAnsi="Times New Roman" w:eastAsia="宋体" w:cs="Times New Roman"/>
                <w:color w:val="auto"/>
                <w:lang w:val="en-US" w:eastAsia="zh-CN"/>
              </w:rPr>
              <w:t>.</w:t>
            </w:r>
            <w:r>
              <w:rPr>
                <w:rFonts w:hint="eastAsia" w:eastAsia="宋体" w:cs="Times New Roman"/>
                <w:color w:val="auto"/>
                <w:lang w:val="en-US" w:eastAsia="zh-CN"/>
              </w:rPr>
              <w:t>9</w:t>
            </w: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rPr>
              <w:t>和</w:t>
            </w:r>
            <w:r>
              <w:rPr>
                <w:rFonts w:hint="eastAsia" w:eastAsia="宋体" w:cs="Times New Roman"/>
                <w:color w:val="auto"/>
                <w:lang w:eastAsia="zh-CN"/>
              </w:rPr>
              <w:t>表</w:t>
            </w:r>
            <w:r>
              <w:rPr>
                <w:rFonts w:hint="eastAsia" w:eastAsia="宋体" w:cs="Times New Roman"/>
                <w:color w:val="auto"/>
                <w:lang w:val="en-US" w:eastAsia="zh-CN"/>
              </w:rPr>
              <w:t>4</w:t>
            </w:r>
            <w:r>
              <w:rPr>
                <w:rFonts w:hint="eastAsia" w:ascii="Times New Roman" w:hAnsi="Times New Roman" w:eastAsia="宋体" w:cs="Times New Roman"/>
                <w:color w:val="auto"/>
                <w:lang w:val="en-US" w:eastAsia="zh-CN"/>
              </w:rPr>
              <w:t>.</w:t>
            </w:r>
            <w:r>
              <w:rPr>
                <w:rFonts w:hint="eastAsia" w:eastAsia="宋体" w:cs="Times New Roman"/>
                <w:color w:val="auto"/>
                <w:lang w:val="en-US" w:eastAsia="zh-CN"/>
              </w:rPr>
              <w:t>9</w:t>
            </w:r>
            <w:r>
              <w:rPr>
                <w:rFonts w:hint="eastAsia" w:ascii="Times New Roman" w:hAnsi="Times New Roman" w:eastAsia="宋体" w:cs="Times New Roman"/>
                <w:color w:val="auto"/>
                <w:lang w:val="en-US" w:eastAsia="zh-CN"/>
              </w:rPr>
              <w:t>-2</w:t>
            </w:r>
            <w:r>
              <w:rPr>
                <w:rFonts w:hint="default" w:ascii="Times New Roman" w:hAnsi="Times New Roman" w:eastAsia="宋体" w:cs="Times New Roman"/>
                <w:color w:val="auto"/>
              </w:rPr>
              <w:t>。</w:t>
            </w:r>
          </w:p>
          <w:p w14:paraId="7CC5BD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1"/>
                <w:szCs w:val="21"/>
                <w:lang w:val="zh-CN"/>
              </w:rPr>
            </w:pPr>
            <w:r>
              <w:rPr>
                <w:rFonts w:hint="default" w:ascii="Times New Roman" w:hAnsi="Times New Roman" w:eastAsia="宋体" w:cs="Times New Roman"/>
                <w:b/>
                <w:color w:val="auto"/>
                <w:sz w:val="21"/>
                <w:szCs w:val="21"/>
                <w:lang w:val="zh-CN"/>
              </w:rPr>
              <w:t>表</w:t>
            </w:r>
            <w:r>
              <w:rPr>
                <w:rFonts w:hint="eastAsia" w:ascii="Times New Roman" w:hAnsi="Times New Roman" w:eastAsia="宋体" w:cs="Times New Roman"/>
                <w:b/>
                <w:color w:val="auto"/>
                <w:sz w:val="21"/>
                <w:szCs w:val="21"/>
                <w:lang w:val="en-US" w:eastAsia="zh-CN"/>
              </w:rPr>
              <w:t>4.</w:t>
            </w:r>
            <w:r>
              <w:rPr>
                <w:rFonts w:hint="eastAsia" w:eastAsia="宋体" w:cs="Times New Roman"/>
                <w:b/>
                <w:color w:val="auto"/>
                <w:sz w:val="21"/>
                <w:szCs w:val="21"/>
                <w:lang w:val="en-US" w:eastAsia="zh-CN"/>
              </w:rPr>
              <w:t>9</w:t>
            </w:r>
            <w:r>
              <w:rPr>
                <w:rFonts w:hint="eastAsia" w:ascii="Times New Roman" w:hAnsi="Times New Roman" w:eastAsia="宋体" w:cs="Times New Roman"/>
                <w:b/>
                <w:color w:val="auto"/>
                <w:sz w:val="21"/>
                <w:szCs w:val="21"/>
                <w:lang w:val="en-US" w:eastAsia="zh-CN"/>
              </w:rPr>
              <w:t>-1</w:t>
            </w:r>
            <w:r>
              <w:rPr>
                <w:rFonts w:hint="default" w:ascii="Times New Roman" w:hAnsi="Times New Roman" w:eastAsia="宋体" w:cs="Times New Roman"/>
                <w:b/>
                <w:color w:val="auto"/>
                <w:sz w:val="21"/>
                <w:szCs w:val="21"/>
                <w:lang w:val="en-US" w:eastAsia="zh-CN"/>
              </w:rPr>
              <w:t xml:space="preserve">  </w:t>
            </w:r>
            <w:r>
              <w:rPr>
                <w:rFonts w:hint="default" w:ascii="Times New Roman" w:hAnsi="Times New Roman" w:eastAsia="宋体" w:cs="Times New Roman"/>
                <w:b/>
                <w:color w:val="auto"/>
                <w:sz w:val="21"/>
                <w:szCs w:val="21"/>
                <w:lang w:val="zh-CN"/>
              </w:rPr>
              <w:t xml:space="preserve"> 环境保护图形标志的形状及颜色表</w:t>
            </w:r>
          </w:p>
          <w:tbl>
            <w:tblPr>
              <w:tblStyle w:val="3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10"/>
              <w:gridCol w:w="2316"/>
              <w:gridCol w:w="2314"/>
              <w:gridCol w:w="2317"/>
            </w:tblGrid>
            <w:tr w14:paraId="177252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2352" w:type="dxa"/>
                  <w:noWrap w:val="0"/>
                  <w:vAlign w:val="center"/>
                </w:tcPr>
                <w:p w14:paraId="1389BD75">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标准名称</w:t>
                  </w:r>
                </w:p>
              </w:tc>
              <w:tc>
                <w:tcPr>
                  <w:tcW w:w="2357" w:type="dxa"/>
                  <w:noWrap w:val="0"/>
                  <w:vAlign w:val="center"/>
                </w:tcPr>
                <w:p w14:paraId="47F76C5D">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形状</w:t>
                  </w:r>
                </w:p>
              </w:tc>
              <w:tc>
                <w:tcPr>
                  <w:tcW w:w="2355" w:type="dxa"/>
                  <w:noWrap w:val="0"/>
                  <w:vAlign w:val="center"/>
                </w:tcPr>
                <w:p w14:paraId="0F120024">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背景颜色</w:t>
                  </w:r>
                </w:p>
              </w:tc>
              <w:tc>
                <w:tcPr>
                  <w:tcW w:w="2358" w:type="dxa"/>
                  <w:noWrap w:val="0"/>
                  <w:vAlign w:val="center"/>
                </w:tcPr>
                <w:p w14:paraId="5ADF618B">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图形颜色</w:t>
                  </w:r>
                </w:p>
              </w:tc>
            </w:tr>
            <w:tr w14:paraId="15CB60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2352" w:type="dxa"/>
                  <w:noWrap w:val="0"/>
                  <w:vAlign w:val="center"/>
                </w:tcPr>
                <w:p w14:paraId="1A61F1C8">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警告标志</w:t>
                  </w:r>
                </w:p>
              </w:tc>
              <w:tc>
                <w:tcPr>
                  <w:tcW w:w="2357" w:type="dxa"/>
                  <w:noWrap w:val="0"/>
                  <w:vAlign w:val="center"/>
                </w:tcPr>
                <w:p w14:paraId="17243433">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三角形边框</w:t>
                  </w:r>
                </w:p>
              </w:tc>
              <w:tc>
                <w:tcPr>
                  <w:tcW w:w="2355" w:type="dxa"/>
                  <w:noWrap w:val="0"/>
                  <w:vAlign w:val="center"/>
                </w:tcPr>
                <w:p w14:paraId="24ABE9F3">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黄色</w:t>
                  </w:r>
                </w:p>
              </w:tc>
              <w:tc>
                <w:tcPr>
                  <w:tcW w:w="2358" w:type="dxa"/>
                  <w:noWrap w:val="0"/>
                  <w:vAlign w:val="center"/>
                </w:tcPr>
                <w:p w14:paraId="20602059">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黑色</w:t>
                  </w:r>
                </w:p>
              </w:tc>
            </w:tr>
            <w:tr w14:paraId="32570B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2352" w:type="dxa"/>
                  <w:noWrap w:val="0"/>
                  <w:vAlign w:val="center"/>
                </w:tcPr>
                <w:p w14:paraId="709F7073">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提示标志</w:t>
                  </w:r>
                </w:p>
              </w:tc>
              <w:tc>
                <w:tcPr>
                  <w:tcW w:w="2357" w:type="dxa"/>
                  <w:noWrap w:val="0"/>
                  <w:vAlign w:val="center"/>
                </w:tcPr>
                <w:p w14:paraId="5385270E">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正方形边框</w:t>
                  </w:r>
                </w:p>
              </w:tc>
              <w:tc>
                <w:tcPr>
                  <w:tcW w:w="2355" w:type="dxa"/>
                  <w:noWrap w:val="0"/>
                  <w:vAlign w:val="center"/>
                </w:tcPr>
                <w:p w14:paraId="0E604F26">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绿色</w:t>
                  </w:r>
                </w:p>
              </w:tc>
              <w:tc>
                <w:tcPr>
                  <w:tcW w:w="2358" w:type="dxa"/>
                  <w:noWrap w:val="0"/>
                  <w:vAlign w:val="center"/>
                </w:tcPr>
                <w:p w14:paraId="4DC6D073">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白色</w:t>
                  </w:r>
                </w:p>
              </w:tc>
            </w:tr>
          </w:tbl>
          <w:p w14:paraId="26124B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Cs w:val="21"/>
                <w:lang w:val="zh-CN"/>
              </w:rPr>
            </w:pPr>
            <w:r>
              <w:rPr>
                <w:rFonts w:hint="default" w:ascii="Times New Roman" w:hAnsi="Times New Roman" w:eastAsia="宋体" w:cs="Times New Roman"/>
                <w:b/>
                <w:color w:val="auto"/>
                <w:sz w:val="21"/>
                <w:szCs w:val="21"/>
                <w:lang w:val="zh-CN"/>
              </w:rPr>
              <w:t>表</w:t>
            </w:r>
            <w:r>
              <w:rPr>
                <w:rFonts w:hint="eastAsia" w:ascii="Times New Roman" w:hAnsi="Times New Roman" w:eastAsia="宋体" w:cs="Times New Roman"/>
                <w:b/>
                <w:color w:val="auto"/>
                <w:sz w:val="21"/>
                <w:szCs w:val="21"/>
                <w:lang w:val="en-US" w:eastAsia="zh-CN"/>
              </w:rPr>
              <w:t>4.</w:t>
            </w:r>
            <w:r>
              <w:rPr>
                <w:rFonts w:hint="eastAsia" w:eastAsia="宋体" w:cs="Times New Roman"/>
                <w:b/>
                <w:color w:val="auto"/>
                <w:sz w:val="21"/>
                <w:szCs w:val="21"/>
                <w:lang w:val="en-US" w:eastAsia="zh-CN"/>
              </w:rPr>
              <w:t>9</w:t>
            </w:r>
            <w:r>
              <w:rPr>
                <w:rFonts w:hint="eastAsia" w:ascii="Times New Roman" w:hAnsi="Times New Roman" w:eastAsia="宋体" w:cs="Times New Roman"/>
                <w:b/>
                <w:color w:val="auto"/>
                <w:sz w:val="21"/>
                <w:szCs w:val="21"/>
                <w:lang w:val="en-US" w:eastAsia="zh-CN"/>
              </w:rPr>
              <w:t>-2</w:t>
            </w:r>
            <w:r>
              <w:rPr>
                <w:rFonts w:hint="default" w:ascii="Times New Roman" w:hAnsi="Times New Roman" w:eastAsia="宋体" w:cs="Times New Roman"/>
                <w:b/>
                <w:color w:val="auto"/>
                <w:sz w:val="21"/>
                <w:szCs w:val="21"/>
                <w:lang w:val="zh-CN"/>
              </w:rPr>
              <w:t xml:space="preserve">   环境保护图形符号一览表</w:t>
            </w:r>
          </w:p>
          <w:tbl>
            <w:tblPr>
              <w:tblStyle w:val="3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00"/>
              <w:gridCol w:w="2195"/>
              <w:gridCol w:w="2216"/>
              <w:gridCol w:w="1835"/>
              <w:gridCol w:w="2215"/>
            </w:tblGrid>
            <w:tr w14:paraId="5F676C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800" w:type="dxa"/>
                  <w:noWrap w:val="0"/>
                  <w:vAlign w:val="center"/>
                </w:tcPr>
                <w:p w14:paraId="0FC1186F">
                  <w:pPr>
                    <w:keepNext w:val="0"/>
                    <w:keepLines w:val="0"/>
                    <w:pageBreakBefore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2195" w:type="dxa"/>
                  <w:noWrap w:val="0"/>
                  <w:vAlign w:val="center"/>
                </w:tcPr>
                <w:p w14:paraId="295887EC">
                  <w:pPr>
                    <w:keepNext w:val="0"/>
                    <w:keepLines w:val="0"/>
                    <w:pageBreakBefore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提示图形符号</w:t>
                  </w:r>
                </w:p>
              </w:tc>
              <w:tc>
                <w:tcPr>
                  <w:tcW w:w="2216" w:type="dxa"/>
                  <w:noWrap w:val="0"/>
                  <w:vAlign w:val="center"/>
                </w:tcPr>
                <w:p w14:paraId="31DD3D0C">
                  <w:pPr>
                    <w:keepNext w:val="0"/>
                    <w:keepLines w:val="0"/>
                    <w:pageBreakBefore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警告图形符号</w:t>
                  </w:r>
                </w:p>
              </w:tc>
              <w:tc>
                <w:tcPr>
                  <w:tcW w:w="1834" w:type="dxa"/>
                  <w:noWrap w:val="0"/>
                  <w:vAlign w:val="center"/>
                </w:tcPr>
                <w:p w14:paraId="1BC712E9">
                  <w:pPr>
                    <w:keepNext w:val="0"/>
                    <w:keepLines w:val="0"/>
                    <w:pageBreakBefore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名称</w:t>
                  </w:r>
                </w:p>
              </w:tc>
              <w:tc>
                <w:tcPr>
                  <w:tcW w:w="2214" w:type="dxa"/>
                  <w:noWrap w:val="0"/>
                  <w:vAlign w:val="center"/>
                </w:tcPr>
                <w:p w14:paraId="0F359D1E">
                  <w:pPr>
                    <w:keepNext w:val="0"/>
                    <w:keepLines w:val="0"/>
                    <w:pageBreakBefore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功能</w:t>
                  </w:r>
                </w:p>
              </w:tc>
            </w:tr>
            <w:tr w14:paraId="676DAE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800" w:type="dxa"/>
                  <w:noWrap w:val="0"/>
                  <w:vAlign w:val="center"/>
                </w:tcPr>
                <w:p w14:paraId="4B3C45F0">
                  <w:pPr>
                    <w:keepNext w:val="0"/>
                    <w:keepLines w:val="0"/>
                    <w:pageBreakBefore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2195" w:type="dxa"/>
                  <w:noWrap w:val="0"/>
                  <w:vAlign w:val="center"/>
                </w:tcPr>
                <w:p w14:paraId="0DE79D44">
                  <w:pPr>
                    <w:keepNext w:val="0"/>
                    <w:keepLines w:val="0"/>
                    <w:pageBreakBefore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drawing>
                      <wp:inline distT="0" distB="0" distL="114300" distR="114300">
                        <wp:extent cx="899160" cy="918210"/>
                        <wp:effectExtent l="0" t="0" r="15240" b="1524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41"/>
                                <a:stretch>
                                  <a:fillRect/>
                                </a:stretch>
                              </pic:blipFill>
                              <pic:spPr>
                                <a:xfrm>
                                  <a:off x="0" y="0"/>
                                  <a:ext cx="899160" cy="918210"/>
                                </a:xfrm>
                                <a:prstGeom prst="rect">
                                  <a:avLst/>
                                </a:prstGeom>
                                <a:noFill/>
                                <a:ln>
                                  <a:noFill/>
                                </a:ln>
                              </pic:spPr>
                            </pic:pic>
                          </a:graphicData>
                        </a:graphic>
                      </wp:inline>
                    </w:drawing>
                  </w:r>
                </w:p>
              </w:tc>
              <w:tc>
                <w:tcPr>
                  <w:tcW w:w="2216" w:type="dxa"/>
                  <w:noWrap w:val="0"/>
                  <w:vAlign w:val="center"/>
                </w:tcPr>
                <w:p w14:paraId="39DD4809">
                  <w:pPr>
                    <w:keepNext w:val="0"/>
                    <w:keepLines w:val="0"/>
                    <w:pageBreakBefore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drawing>
                      <wp:inline distT="0" distB="0" distL="114300" distR="114300">
                        <wp:extent cx="899160" cy="899160"/>
                        <wp:effectExtent l="0" t="0" r="15240" b="15240"/>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42"/>
                                <a:stretch>
                                  <a:fillRect/>
                                </a:stretch>
                              </pic:blipFill>
                              <pic:spPr>
                                <a:xfrm>
                                  <a:off x="0" y="0"/>
                                  <a:ext cx="899160" cy="899160"/>
                                </a:xfrm>
                                <a:prstGeom prst="rect">
                                  <a:avLst/>
                                </a:prstGeom>
                                <a:noFill/>
                                <a:ln>
                                  <a:noFill/>
                                </a:ln>
                              </pic:spPr>
                            </pic:pic>
                          </a:graphicData>
                        </a:graphic>
                      </wp:inline>
                    </w:drawing>
                  </w:r>
                </w:p>
              </w:tc>
              <w:tc>
                <w:tcPr>
                  <w:tcW w:w="1834" w:type="dxa"/>
                  <w:noWrap w:val="0"/>
                  <w:vAlign w:val="center"/>
                </w:tcPr>
                <w:p w14:paraId="0AE287A0">
                  <w:pPr>
                    <w:keepNext w:val="0"/>
                    <w:keepLines w:val="0"/>
                    <w:pageBreakBefore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废水排放口</w:t>
                  </w:r>
                </w:p>
              </w:tc>
              <w:tc>
                <w:tcPr>
                  <w:tcW w:w="2214" w:type="dxa"/>
                  <w:noWrap w:val="0"/>
                  <w:vAlign w:val="center"/>
                </w:tcPr>
                <w:p w14:paraId="19DC368F">
                  <w:pPr>
                    <w:keepNext w:val="0"/>
                    <w:keepLines w:val="0"/>
                    <w:pageBreakBefore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表示废水向水体排放</w:t>
                  </w:r>
                </w:p>
              </w:tc>
            </w:tr>
            <w:tr w14:paraId="0F86E9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800" w:type="dxa"/>
                  <w:noWrap w:val="0"/>
                  <w:vAlign w:val="center"/>
                </w:tcPr>
                <w:p w14:paraId="0AC1ECEC">
                  <w:pPr>
                    <w:keepNext w:val="0"/>
                    <w:keepLines w:val="0"/>
                    <w:pageBreakBefore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2195" w:type="dxa"/>
                  <w:noWrap w:val="0"/>
                  <w:vAlign w:val="center"/>
                </w:tcPr>
                <w:p w14:paraId="49F1D505">
                  <w:pPr>
                    <w:keepNext w:val="0"/>
                    <w:keepLines w:val="0"/>
                    <w:pageBreakBefore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drawing>
                      <wp:inline distT="0" distB="0" distL="114300" distR="114300">
                        <wp:extent cx="899795" cy="899160"/>
                        <wp:effectExtent l="0" t="0" r="14605" b="15240"/>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43"/>
                                <a:stretch>
                                  <a:fillRect/>
                                </a:stretch>
                              </pic:blipFill>
                              <pic:spPr>
                                <a:xfrm>
                                  <a:off x="0" y="0"/>
                                  <a:ext cx="899795" cy="899160"/>
                                </a:xfrm>
                                <a:prstGeom prst="rect">
                                  <a:avLst/>
                                </a:prstGeom>
                                <a:noFill/>
                                <a:ln>
                                  <a:noFill/>
                                </a:ln>
                              </pic:spPr>
                            </pic:pic>
                          </a:graphicData>
                        </a:graphic>
                      </wp:inline>
                    </w:drawing>
                  </w:r>
                </w:p>
              </w:tc>
              <w:tc>
                <w:tcPr>
                  <w:tcW w:w="2216" w:type="dxa"/>
                  <w:noWrap w:val="0"/>
                  <w:vAlign w:val="center"/>
                </w:tcPr>
                <w:p w14:paraId="63A70EA3">
                  <w:pPr>
                    <w:keepNext w:val="0"/>
                    <w:keepLines w:val="0"/>
                    <w:pageBreakBefore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drawing>
                      <wp:inline distT="0" distB="0" distL="114300" distR="114300">
                        <wp:extent cx="900430" cy="900430"/>
                        <wp:effectExtent l="0" t="0" r="13970" b="13970"/>
                        <wp:docPr id="2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pic:cNvPicPr>
                                  <a:picLocks noChangeAspect="1"/>
                                </pic:cNvPicPr>
                              </pic:nvPicPr>
                              <pic:blipFill>
                                <a:blip r:embed="rId44"/>
                                <a:stretch>
                                  <a:fillRect/>
                                </a:stretch>
                              </pic:blipFill>
                              <pic:spPr>
                                <a:xfrm>
                                  <a:off x="0" y="0"/>
                                  <a:ext cx="900430" cy="900430"/>
                                </a:xfrm>
                                <a:prstGeom prst="rect">
                                  <a:avLst/>
                                </a:prstGeom>
                                <a:noFill/>
                                <a:ln>
                                  <a:noFill/>
                                </a:ln>
                              </pic:spPr>
                            </pic:pic>
                          </a:graphicData>
                        </a:graphic>
                      </wp:inline>
                    </w:drawing>
                  </w:r>
                </w:p>
              </w:tc>
              <w:tc>
                <w:tcPr>
                  <w:tcW w:w="1834" w:type="dxa"/>
                  <w:noWrap w:val="0"/>
                  <w:vAlign w:val="center"/>
                </w:tcPr>
                <w:p w14:paraId="7CED8BFC">
                  <w:pPr>
                    <w:keepNext w:val="0"/>
                    <w:keepLines w:val="0"/>
                    <w:pageBreakBefore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废气排放口</w:t>
                  </w:r>
                </w:p>
              </w:tc>
              <w:tc>
                <w:tcPr>
                  <w:tcW w:w="2214" w:type="dxa"/>
                  <w:noWrap w:val="0"/>
                  <w:vAlign w:val="center"/>
                </w:tcPr>
                <w:p w14:paraId="6731A931">
                  <w:pPr>
                    <w:keepNext w:val="0"/>
                    <w:keepLines w:val="0"/>
                    <w:pageBreakBefore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表示废气向大气环境排放</w:t>
                  </w:r>
                </w:p>
              </w:tc>
            </w:tr>
            <w:tr w14:paraId="1A13F4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800" w:type="dxa"/>
                  <w:noWrap w:val="0"/>
                  <w:vAlign w:val="center"/>
                </w:tcPr>
                <w:p w14:paraId="7573D199">
                  <w:pPr>
                    <w:keepNext w:val="0"/>
                    <w:keepLines w:val="0"/>
                    <w:pageBreakBefore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2195" w:type="dxa"/>
                  <w:noWrap w:val="0"/>
                  <w:vAlign w:val="center"/>
                </w:tcPr>
                <w:p w14:paraId="7F20A426">
                  <w:pPr>
                    <w:keepNext w:val="0"/>
                    <w:keepLines w:val="0"/>
                    <w:pageBreakBefore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drawing>
                      <wp:inline distT="0" distB="0" distL="114300" distR="114300">
                        <wp:extent cx="899160" cy="899160"/>
                        <wp:effectExtent l="0" t="0" r="15240" b="152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45"/>
                                <a:stretch>
                                  <a:fillRect/>
                                </a:stretch>
                              </pic:blipFill>
                              <pic:spPr>
                                <a:xfrm>
                                  <a:off x="0" y="0"/>
                                  <a:ext cx="899160" cy="899160"/>
                                </a:xfrm>
                                <a:prstGeom prst="rect">
                                  <a:avLst/>
                                </a:prstGeom>
                                <a:noFill/>
                                <a:ln>
                                  <a:noFill/>
                                </a:ln>
                              </pic:spPr>
                            </pic:pic>
                          </a:graphicData>
                        </a:graphic>
                      </wp:inline>
                    </w:drawing>
                  </w:r>
                </w:p>
              </w:tc>
              <w:tc>
                <w:tcPr>
                  <w:tcW w:w="2216" w:type="dxa"/>
                  <w:noWrap w:val="0"/>
                  <w:vAlign w:val="center"/>
                </w:tcPr>
                <w:p w14:paraId="1922C353">
                  <w:pPr>
                    <w:keepNext w:val="0"/>
                    <w:keepLines w:val="0"/>
                    <w:pageBreakBefore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drawing>
                      <wp:inline distT="0" distB="0" distL="114300" distR="114300">
                        <wp:extent cx="899160" cy="899795"/>
                        <wp:effectExtent l="0" t="0" r="15240" b="14605"/>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46"/>
                                <a:stretch>
                                  <a:fillRect/>
                                </a:stretch>
                              </pic:blipFill>
                              <pic:spPr>
                                <a:xfrm>
                                  <a:off x="0" y="0"/>
                                  <a:ext cx="899160" cy="899795"/>
                                </a:xfrm>
                                <a:prstGeom prst="rect">
                                  <a:avLst/>
                                </a:prstGeom>
                                <a:noFill/>
                                <a:ln>
                                  <a:noFill/>
                                </a:ln>
                              </pic:spPr>
                            </pic:pic>
                          </a:graphicData>
                        </a:graphic>
                      </wp:inline>
                    </w:drawing>
                  </w:r>
                </w:p>
              </w:tc>
              <w:tc>
                <w:tcPr>
                  <w:tcW w:w="1834" w:type="dxa"/>
                  <w:noWrap w:val="0"/>
                  <w:vAlign w:val="center"/>
                </w:tcPr>
                <w:p w14:paraId="4985D9E9">
                  <w:pPr>
                    <w:keepNext w:val="0"/>
                    <w:keepLines w:val="0"/>
                    <w:pageBreakBefore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一般固体废物</w:t>
                  </w:r>
                </w:p>
              </w:tc>
              <w:tc>
                <w:tcPr>
                  <w:tcW w:w="2214" w:type="dxa"/>
                  <w:noWrap w:val="0"/>
                  <w:vAlign w:val="center"/>
                </w:tcPr>
                <w:p w14:paraId="4002E355">
                  <w:pPr>
                    <w:keepNext w:val="0"/>
                    <w:keepLines w:val="0"/>
                    <w:pageBreakBefore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表示一般固体废物贮存、处置场</w:t>
                  </w:r>
                </w:p>
              </w:tc>
            </w:tr>
            <w:tr w14:paraId="221230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800" w:type="dxa"/>
                  <w:noWrap w:val="0"/>
                  <w:vAlign w:val="center"/>
                </w:tcPr>
                <w:p w14:paraId="39918792">
                  <w:pPr>
                    <w:keepNext w:val="0"/>
                    <w:keepLines w:val="0"/>
                    <w:pageBreakBefore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2195" w:type="dxa"/>
                  <w:noWrap w:val="0"/>
                  <w:vAlign w:val="center"/>
                </w:tcPr>
                <w:p w14:paraId="7968AE73">
                  <w:pPr>
                    <w:keepNext w:val="0"/>
                    <w:keepLines w:val="0"/>
                    <w:pageBreakBefore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drawing>
                      <wp:inline distT="0" distB="0" distL="114300" distR="114300">
                        <wp:extent cx="899160" cy="899160"/>
                        <wp:effectExtent l="0" t="0" r="15240" b="152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47"/>
                                <a:stretch>
                                  <a:fillRect/>
                                </a:stretch>
                              </pic:blipFill>
                              <pic:spPr>
                                <a:xfrm>
                                  <a:off x="0" y="0"/>
                                  <a:ext cx="899160" cy="899160"/>
                                </a:xfrm>
                                <a:prstGeom prst="rect">
                                  <a:avLst/>
                                </a:prstGeom>
                                <a:noFill/>
                                <a:ln>
                                  <a:noFill/>
                                </a:ln>
                              </pic:spPr>
                            </pic:pic>
                          </a:graphicData>
                        </a:graphic>
                      </wp:inline>
                    </w:drawing>
                  </w:r>
                </w:p>
              </w:tc>
              <w:tc>
                <w:tcPr>
                  <w:tcW w:w="2216" w:type="dxa"/>
                  <w:noWrap w:val="0"/>
                  <w:vAlign w:val="center"/>
                </w:tcPr>
                <w:p w14:paraId="12B67D0D">
                  <w:pPr>
                    <w:keepNext w:val="0"/>
                    <w:keepLines w:val="0"/>
                    <w:pageBreakBefore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drawing>
                      <wp:inline distT="0" distB="0" distL="114300" distR="114300">
                        <wp:extent cx="900430" cy="899795"/>
                        <wp:effectExtent l="0" t="0" r="13970" b="14605"/>
                        <wp:docPr id="2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
                                <pic:cNvPicPr>
                                  <a:picLocks noChangeAspect="1"/>
                                </pic:cNvPicPr>
                              </pic:nvPicPr>
                              <pic:blipFill>
                                <a:blip r:embed="rId48"/>
                                <a:stretch>
                                  <a:fillRect/>
                                </a:stretch>
                              </pic:blipFill>
                              <pic:spPr>
                                <a:xfrm>
                                  <a:off x="0" y="0"/>
                                  <a:ext cx="900430" cy="899795"/>
                                </a:xfrm>
                                <a:prstGeom prst="rect">
                                  <a:avLst/>
                                </a:prstGeom>
                                <a:noFill/>
                                <a:ln>
                                  <a:noFill/>
                                </a:ln>
                              </pic:spPr>
                            </pic:pic>
                          </a:graphicData>
                        </a:graphic>
                      </wp:inline>
                    </w:drawing>
                  </w:r>
                </w:p>
              </w:tc>
              <w:tc>
                <w:tcPr>
                  <w:tcW w:w="1834" w:type="dxa"/>
                  <w:noWrap w:val="0"/>
                  <w:vAlign w:val="center"/>
                </w:tcPr>
                <w:p w14:paraId="271DFF78">
                  <w:pPr>
                    <w:keepNext w:val="0"/>
                    <w:keepLines w:val="0"/>
                    <w:pageBreakBefore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噪声排放源</w:t>
                  </w:r>
                </w:p>
              </w:tc>
              <w:tc>
                <w:tcPr>
                  <w:tcW w:w="2214" w:type="dxa"/>
                  <w:noWrap w:val="0"/>
                  <w:vAlign w:val="center"/>
                </w:tcPr>
                <w:p w14:paraId="401F31D5">
                  <w:pPr>
                    <w:keepNext w:val="0"/>
                    <w:keepLines w:val="0"/>
                    <w:pageBreakBefore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表示噪声向外环境排放</w:t>
                  </w:r>
                </w:p>
              </w:tc>
            </w:tr>
            <w:tr w14:paraId="3FD147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800" w:type="dxa"/>
                  <w:noWrap w:val="0"/>
                  <w:vAlign w:val="center"/>
                </w:tcPr>
                <w:p w14:paraId="29CE47F2">
                  <w:pPr>
                    <w:keepNext w:val="0"/>
                    <w:keepLines w:val="0"/>
                    <w:pageBreakBefore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2195" w:type="dxa"/>
                  <w:noWrap w:val="0"/>
                  <w:vAlign w:val="center"/>
                </w:tcPr>
                <w:p w14:paraId="533EAB43">
                  <w:pPr>
                    <w:keepNext w:val="0"/>
                    <w:keepLines w:val="0"/>
                    <w:pageBreakBefore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p>
              </w:tc>
              <w:tc>
                <w:tcPr>
                  <w:tcW w:w="2216" w:type="dxa"/>
                  <w:noWrap w:val="0"/>
                  <w:vAlign w:val="center"/>
                </w:tcPr>
                <w:p w14:paraId="53A2B5F0">
                  <w:pPr>
                    <w:keepNext w:val="0"/>
                    <w:keepLines w:val="0"/>
                    <w:pageBreakBefore w:val="0"/>
                    <w:widowControl/>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000000"/>
                      <w:sz w:val="21"/>
                      <w:szCs w:val="21"/>
                      <w:lang w:eastAsia="zh-CN"/>
                    </w:rPr>
                    <w:drawing>
                      <wp:inline distT="0" distB="0" distL="114300" distR="114300">
                        <wp:extent cx="898525" cy="891540"/>
                        <wp:effectExtent l="0" t="0" r="15875" b="3810"/>
                        <wp:docPr id="20" name="图片 19" descr="006c127797200e4969e98265771e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006c127797200e4969e98265771e381"/>
                                <pic:cNvPicPr>
                                  <a:picLocks noChangeAspect="1"/>
                                </pic:cNvPicPr>
                              </pic:nvPicPr>
                              <pic:blipFill>
                                <a:blip r:embed="rId49"/>
                                <a:stretch>
                                  <a:fillRect/>
                                </a:stretch>
                              </pic:blipFill>
                              <pic:spPr>
                                <a:xfrm>
                                  <a:off x="0" y="0"/>
                                  <a:ext cx="898525" cy="891540"/>
                                </a:xfrm>
                                <a:prstGeom prst="rect">
                                  <a:avLst/>
                                </a:prstGeom>
                                <a:noFill/>
                                <a:ln>
                                  <a:noFill/>
                                </a:ln>
                              </pic:spPr>
                            </pic:pic>
                          </a:graphicData>
                        </a:graphic>
                      </wp:inline>
                    </w:drawing>
                  </w:r>
                </w:p>
              </w:tc>
              <w:tc>
                <w:tcPr>
                  <w:tcW w:w="1834" w:type="dxa"/>
                  <w:noWrap w:val="0"/>
                  <w:vAlign w:val="center"/>
                </w:tcPr>
                <w:p w14:paraId="36F4BAAE">
                  <w:pPr>
                    <w:keepNext w:val="0"/>
                    <w:keepLines w:val="0"/>
                    <w:pageBreakBefore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危险废物</w:t>
                  </w:r>
                </w:p>
              </w:tc>
              <w:tc>
                <w:tcPr>
                  <w:tcW w:w="2214" w:type="dxa"/>
                  <w:noWrap w:val="0"/>
                  <w:vAlign w:val="center"/>
                </w:tcPr>
                <w:p w14:paraId="26D38F0A">
                  <w:pPr>
                    <w:keepNext w:val="0"/>
                    <w:keepLines w:val="0"/>
                    <w:pageBreakBefore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表示危险废物贮存、处置场</w:t>
                  </w:r>
                </w:p>
              </w:tc>
            </w:tr>
          </w:tbl>
          <w:p w14:paraId="6F7E7142">
            <w:pPr>
              <w:pStyle w:val="54"/>
              <w:keepNext w:val="0"/>
              <w:keepLines w:val="0"/>
              <w:pageBreakBefore w:val="0"/>
              <w:widowControl w:val="0"/>
              <w:numPr>
                <w:ilvl w:val="0"/>
                <w:numId w:val="0"/>
              </w:numPr>
              <w:kinsoku/>
              <w:wordWrap/>
              <w:overflowPunct/>
              <w:topLinePunct w:val="0"/>
              <w:autoSpaceDE/>
              <w:autoSpaceDN/>
              <w:bidi w:val="0"/>
              <w:adjustRightInd/>
              <w:snapToGrid/>
              <w:ind w:leftChars="0" w:firstLine="482" w:firstLineChars="200"/>
              <w:textAlignment w:val="auto"/>
              <w:rPr>
                <w:b/>
              </w:rPr>
            </w:pPr>
            <w:r>
              <w:rPr>
                <w:rFonts w:hint="eastAsia"/>
                <w:b/>
                <w:lang w:val="en-US" w:eastAsia="zh-CN"/>
              </w:rPr>
              <w:t>10、</w:t>
            </w:r>
            <w:r>
              <w:rPr>
                <w:b/>
              </w:rPr>
              <w:t>环保投资与竣工验收</w:t>
            </w:r>
          </w:p>
          <w:p w14:paraId="150718F2">
            <w:pPr>
              <w:ind w:firstLine="480"/>
              <w:rPr>
                <w:b/>
                <w:bCs/>
                <w:color w:val="000000"/>
              </w:rPr>
            </w:pPr>
            <w:r>
              <w:rPr>
                <w:rFonts w:hint="eastAsia"/>
                <w:sz w:val="24"/>
                <w:lang w:eastAsia="zh-CN"/>
              </w:rPr>
              <w:t>本项目</w:t>
            </w:r>
            <w:r>
              <w:rPr>
                <w:sz w:val="24"/>
              </w:rPr>
              <w:t>环保投资与竣工验收内容</w:t>
            </w:r>
            <w:r>
              <w:rPr>
                <w:rFonts w:hint="eastAsia"/>
                <w:sz w:val="24"/>
              </w:rPr>
              <w:t>详</w:t>
            </w:r>
            <w:r>
              <w:rPr>
                <w:sz w:val="24"/>
              </w:rPr>
              <w:t>见表</w:t>
            </w:r>
            <w:r>
              <w:rPr>
                <w:rFonts w:hint="eastAsia"/>
                <w:sz w:val="24"/>
              </w:rPr>
              <w:t>4.</w:t>
            </w:r>
            <w:r>
              <w:rPr>
                <w:rFonts w:hint="eastAsia"/>
                <w:sz w:val="24"/>
                <w:lang w:val="en-US" w:eastAsia="zh-CN"/>
              </w:rPr>
              <w:t>10</w:t>
            </w:r>
            <w:r>
              <w:rPr>
                <w:rFonts w:hint="eastAsia"/>
                <w:sz w:val="24"/>
              </w:rPr>
              <w:t>-1</w:t>
            </w:r>
            <w:r>
              <w:rPr>
                <w:sz w:val="24"/>
              </w:rPr>
              <w:t>。</w:t>
            </w:r>
          </w:p>
          <w:p w14:paraId="4DF68FF3">
            <w:pPr>
              <w:pStyle w:val="49"/>
              <w:rPr>
                <w:b/>
              </w:rPr>
            </w:pPr>
            <w:r>
              <w:rPr>
                <w:b/>
              </w:rPr>
              <w:t>表</w:t>
            </w:r>
            <w:r>
              <w:rPr>
                <w:rFonts w:hint="eastAsia"/>
                <w:b/>
              </w:rPr>
              <w:t>4</w:t>
            </w:r>
            <w:r>
              <w:rPr>
                <w:rFonts w:hint="eastAsia"/>
                <w:b/>
                <w:lang w:val="en-US" w:eastAsia="zh-CN"/>
              </w:rPr>
              <w:t>.10</w:t>
            </w:r>
            <w:r>
              <w:rPr>
                <w:rFonts w:hint="eastAsia"/>
                <w:b/>
              </w:rPr>
              <w:t>-1</w:t>
            </w:r>
            <w:r>
              <w:rPr>
                <w:rFonts w:hint="eastAsia"/>
                <w:b/>
                <w:lang w:val="en-US" w:eastAsia="zh-CN"/>
              </w:rPr>
              <w:t xml:space="preserve">   </w:t>
            </w:r>
            <w:r>
              <w:rPr>
                <w:b/>
                <w:szCs w:val="21"/>
                <w:lang w:val="zh-CN"/>
              </w:rPr>
              <w:t>项目环保投资与竣工验收一览表</w:t>
            </w:r>
          </w:p>
          <w:tbl>
            <w:tblPr>
              <w:tblStyle w:val="3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479"/>
              <w:gridCol w:w="2346"/>
              <w:gridCol w:w="1036"/>
              <w:gridCol w:w="3068"/>
              <w:gridCol w:w="673"/>
            </w:tblGrid>
            <w:tr w14:paraId="325130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5" w:type="pct"/>
                  <w:noWrap w:val="0"/>
                  <w:vAlign w:val="center"/>
                </w:tcPr>
                <w:p w14:paraId="4246F00D">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b/>
                      <w:color w:val="auto"/>
                      <w:sz w:val="21"/>
                      <w:szCs w:val="21"/>
                    </w:rPr>
                  </w:pPr>
                  <w:r>
                    <w:rPr>
                      <w:b/>
                      <w:color w:val="auto"/>
                      <w:sz w:val="21"/>
                      <w:szCs w:val="21"/>
                    </w:rPr>
                    <w:t>污染类型</w:t>
                  </w:r>
                </w:p>
              </w:tc>
              <w:tc>
                <w:tcPr>
                  <w:tcW w:w="798" w:type="pct"/>
                  <w:noWrap w:val="0"/>
                  <w:vAlign w:val="center"/>
                </w:tcPr>
                <w:p w14:paraId="39F4FB2B">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b/>
                      <w:color w:val="auto"/>
                      <w:sz w:val="21"/>
                      <w:szCs w:val="21"/>
                    </w:rPr>
                  </w:pPr>
                  <w:r>
                    <w:rPr>
                      <w:b/>
                      <w:color w:val="auto"/>
                      <w:sz w:val="21"/>
                      <w:szCs w:val="21"/>
                    </w:rPr>
                    <w:t>治理项目</w:t>
                  </w:r>
                </w:p>
              </w:tc>
              <w:tc>
                <w:tcPr>
                  <w:tcW w:w="1266" w:type="pct"/>
                  <w:noWrap w:val="0"/>
                  <w:vAlign w:val="center"/>
                </w:tcPr>
                <w:p w14:paraId="21AD78C5">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b/>
                      <w:color w:val="auto"/>
                      <w:sz w:val="21"/>
                      <w:szCs w:val="21"/>
                    </w:rPr>
                  </w:pPr>
                  <w:r>
                    <w:rPr>
                      <w:b/>
                      <w:color w:val="auto"/>
                      <w:sz w:val="21"/>
                      <w:szCs w:val="21"/>
                    </w:rPr>
                    <w:t>环保治理内容</w:t>
                  </w:r>
                </w:p>
              </w:tc>
              <w:tc>
                <w:tcPr>
                  <w:tcW w:w="559" w:type="pct"/>
                  <w:noWrap w:val="0"/>
                  <w:vAlign w:val="center"/>
                </w:tcPr>
                <w:p w14:paraId="2DCE6BC8">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b/>
                      <w:color w:val="auto"/>
                      <w:sz w:val="21"/>
                      <w:szCs w:val="21"/>
                    </w:rPr>
                  </w:pPr>
                  <w:r>
                    <w:rPr>
                      <w:b/>
                      <w:color w:val="auto"/>
                      <w:sz w:val="21"/>
                      <w:szCs w:val="21"/>
                    </w:rPr>
                    <w:t>投资额（万元）</w:t>
                  </w:r>
                </w:p>
              </w:tc>
              <w:tc>
                <w:tcPr>
                  <w:tcW w:w="1656" w:type="pct"/>
                  <w:noWrap w:val="0"/>
                  <w:vAlign w:val="center"/>
                </w:tcPr>
                <w:p w14:paraId="0B522F4D">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color w:val="auto"/>
                      <w:sz w:val="21"/>
                      <w:szCs w:val="21"/>
                    </w:rPr>
                  </w:pPr>
                  <w:r>
                    <w:rPr>
                      <w:b/>
                      <w:color w:val="auto"/>
                      <w:sz w:val="21"/>
                      <w:szCs w:val="21"/>
                    </w:rPr>
                    <w:t>排放标准</w:t>
                  </w:r>
                </w:p>
              </w:tc>
              <w:tc>
                <w:tcPr>
                  <w:tcW w:w="363" w:type="pct"/>
                  <w:noWrap w:val="0"/>
                  <w:vAlign w:val="center"/>
                </w:tcPr>
                <w:p w14:paraId="2421770C">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b/>
                      <w:color w:val="auto"/>
                      <w:sz w:val="21"/>
                      <w:szCs w:val="21"/>
                    </w:rPr>
                  </w:pPr>
                  <w:r>
                    <w:rPr>
                      <w:b/>
                      <w:color w:val="auto"/>
                      <w:sz w:val="21"/>
                      <w:szCs w:val="21"/>
                    </w:rPr>
                    <w:t>实施时间</w:t>
                  </w:r>
                </w:p>
              </w:tc>
            </w:tr>
            <w:tr w14:paraId="66F316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5" w:type="pct"/>
                  <w:vMerge w:val="restart"/>
                  <w:noWrap w:val="0"/>
                  <w:vAlign w:val="center"/>
                </w:tcPr>
                <w:p w14:paraId="6A3D1D87">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color w:val="auto"/>
                      <w:sz w:val="21"/>
                      <w:szCs w:val="21"/>
                    </w:rPr>
                  </w:pPr>
                  <w:r>
                    <w:rPr>
                      <w:color w:val="auto"/>
                      <w:sz w:val="21"/>
                      <w:szCs w:val="21"/>
                    </w:rPr>
                    <w:t>废水</w:t>
                  </w:r>
                </w:p>
              </w:tc>
              <w:tc>
                <w:tcPr>
                  <w:tcW w:w="798" w:type="pct"/>
                  <w:noWrap w:val="0"/>
                  <w:vAlign w:val="center"/>
                </w:tcPr>
                <w:p w14:paraId="26F4AB83">
                  <w:pPr>
                    <w:keepNext w:val="0"/>
                    <w:keepLines w:val="0"/>
                    <w:pageBreakBefore w:val="0"/>
                    <w:widowControl w:val="0"/>
                    <w:tabs>
                      <w:tab w:val="left" w:pos="1110"/>
                    </w:tabs>
                    <w:kinsoku/>
                    <w:wordWrap/>
                    <w:overflowPunct/>
                    <w:topLinePunct w:val="0"/>
                    <w:autoSpaceDE/>
                    <w:autoSpaceDN/>
                    <w:bidi w:val="0"/>
                    <w:adjustRightInd/>
                    <w:snapToGrid w:val="0"/>
                    <w:spacing w:line="240" w:lineRule="auto"/>
                    <w:ind w:left="0" w:leftChars="0"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生活污水</w:t>
                  </w:r>
                </w:p>
              </w:tc>
              <w:tc>
                <w:tcPr>
                  <w:tcW w:w="1266" w:type="pct"/>
                  <w:noWrap w:val="0"/>
                  <w:vAlign w:val="center"/>
                </w:tcPr>
                <w:p w14:paraId="2979EC90">
                  <w:pPr>
                    <w:keepNext w:val="0"/>
                    <w:keepLines w:val="0"/>
                    <w:pageBreakBefore w:val="0"/>
                    <w:widowControl w:val="0"/>
                    <w:tabs>
                      <w:tab w:val="left" w:pos="1110"/>
                    </w:tabs>
                    <w:kinsoku/>
                    <w:wordWrap/>
                    <w:overflowPunct/>
                    <w:topLinePunct w:val="0"/>
                    <w:autoSpaceDE/>
                    <w:autoSpaceDN/>
                    <w:bidi w:val="0"/>
                    <w:adjustRightInd/>
                    <w:snapToGrid w:val="0"/>
                    <w:spacing w:line="240" w:lineRule="auto"/>
                    <w:ind w:left="0" w:leftChars="0"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油水分离器+化粪池</w:t>
                  </w:r>
                </w:p>
              </w:tc>
              <w:tc>
                <w:tcPr>
                  <w:tcW w:w="559" w:type="pct"/>
                  <w:noWrap w:val="0"/>
                  <w:vAlign w:val="center"/>
                </w:tcPr>
                <w:p w14:paraId="6B5D21E3">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color w:val="auto"/>
                      <w:sz w:val="21"/>
                      <w:szCs w:val="21"/>
                    </w:rPr>
                  </w:pPr>
                  <w:r>
                    <w:rPr>
                      <w:rFonts w:hint="eastAsia"/>
                      <w:color w:val="auto"/>
                      <w:sz w:val="21"/>
                      <w:szCs w:val="21"/>
                    </w:rPr>
                    <w:t>5</w:t>
                  </w:r>
                </w:p>
              </w:tc>
              <w:tc>
                <w:tcPr>
                  <w:tcW w:w="1656" w:type="pct"/>
                  <w:noWrap w:val="0"/>
                  <w:vAlign w:val="center"/>
                </w:tcPr>
                <w:p w14:paraId="1D3C43E9">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红心村生活污水处理站</w:t>
                  </w:r>
                  <w:r>
                    <w:rPr>
                      <w:rFonts w:hint="default" w:eastAsia="宋体"/>
                      <w:color w:val="auto"/>
                      <w:sz w:val="21"/>
                      <w:szCs w:val="21"/>
                      <w:lang w:val="en-US" w:eastAsia="zh-CN"/>
                    </w:rPr>
                    <w:t>接管标准</w:t>
                  </w:r>
                </w:p>
              </w:tc>
              <w:tc>
                <w:tcPr>
                  <w:tcW w:w="363" w:type="pct"/>
                  <w:vMerge w:val="restart"/>
                  <w:noWrap w:val="0"/>
                  <w:vAlign w:val="center"/>
                </w:tcPr>
                <w:p w14:paraId="763F1648">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color w:val="auto"/>
                      <w:sz w:val="21"/>
                      <w:szCs w:val="21"/>
                    </w:rPr>
                  </w:pPr>
                  <w:r>
                    <w:rPr>
                      <w:color w:val="auto"/>
                      <w:sz w:val="21"/>
                      <w:szCs w:val="21"/>
                    </w:rPr>
                    <w:t>与建设项目同时设计、施工、建成投产</w:t>
                  </w:r>
                </w:p>
              </w:tc>
            </w:tr>
            <w:tr w14:paraId="5C5673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355" w:type="pct"/>
                  <w:vMerge w:val="continue"/>
                  <w:noWrap w:val="0"/>
                  <w:vAlign w:val="center"/>
                </w:tcPr>
                <w:p w14:paraId="28CDF425">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pPr>
                </w:p>
              </w:tc>
              <w:tc>
                <w:tcPr>
                  <w:tcW w:w="798" w:type="pct"/>
                  <w:noWrap w:val="0"/>
                  <w:vAlign w:val="center"/>
                </w:tcPr>
                <w:p w14:paraId="01A5B832">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eastAsia="宋体"/>
                      <w:color w:val="auto"/>
                      <w:sz w:val="21"/>
                      <w:szCs w:val="21"/>
                      <w:lang w:val="en-US" w:eastAsia="zh-CN"/>
                    </w:rPr>
                  </w:pPr>
                  <w:r>
                    <w:rPr>
                      <w:rFonts w:hint="eastAsia"/>
                      <w:color w:val="auto"/>
                      <w:sz w:val="21"/>
                      <w:szCs w:val="21"/>
                    </w:rPr>
                    <w:t>地面冲洗废水</w:t>
                  </w:r>
                </w:p>
              </w:tc>
              <w:tc>
                <w:tcPr>
                  <w:tcW w:w="1266" w:type="pct"/>
                  <w:vMerge w:val="restart"/>
                  <w:noWrap w:val="0"/>
                  <w:vAlign w:val="center"/>
                </w:tcPr>
                <w:p w14:paraId="6519C64A">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color w:val="auto"/>
                      <w:sz w:val="21"/>
                      <w:szCs w:val="21"/>
                      <w:lang w:val="en-US" w:eastAsia="zh-CN"/>
                    </w:rPr>
                  </w:pPr>
                  <w:r>
                    <w:rPr>
                      <w:rFonts w:hint="default"/>
                      <w:color w:val="auto"/>
                      <w:sz w:val="21"/>
                      <w:szCs w:val="21"/>
                      <w:lang w:val="en-US" w:eastAsia="zh-CN"/>
                    </w:rPr>
                    <w:t>地面冲洗废水经隔油池隔油预处理后，和洗车废水一起排入厂区一体化（MBR）洗车废水处理设施进一步处理</w:t>
                  </w:r>
                </w:p>
              </w:tc>
              <w:tc>
                <w:tcPr>
                  <w:tcW w:w="559" w:type="pct"/>
                  <w:vMerge w:val="restart"/>
                  <w:noWrap w:val="0"/>
                  <w:vAlign w:val="center"/>
                </w:tcPr>
                <w:p w14:paraId="31C7D7F0">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15</w:t>
                  </w:r>
                </w:p>
              </w:tc>
              <w:tc>
                <w:tcPr>
                  <w:tcW w:w="1656" w:type="pct"/>
                  <w:vMerge w:val="restart"/>
                  <w:noWrap w:val="0"/>
                  <w:vAlign w:val="center"/>
                </w:tcPr>
                <w:p w14:paraId="208F39BA">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color w:val="auto"/>
                      <w:sz w:val="21"/>
                      <w:szCs w:val="21"/>
                    </w:rPr>
                  </w:pPr>
                  <w:r>
                    <w:rPr>
                      <w:rFonts w:hint="eastAsia"/>
                      <w:color w:val="auto"/>
                      <w:sz w:val="21"/>
                      <w:szCs w:val="21"/>
                      <w:lang w:val="en-US" w:eastAsia="zh-CN"/>
                    </w:rPr>
                    <w:t>满足《城市污水再生利用</w:t>
                  </w:r>
                  <w:r>
                    <w:rPr>
                      <w:rFonts w:hint="default"/>
                      <w:color w:val="auto"/>
                      <w:sz w:val="21"/>
                      <w:szCs w:val="21"/>
                      <w:lang w:val="en-US" w:eastAsia="zh-CN"/>
                    </w:rPr>
                    <w:t>·</w:t>
                  </w:r>
                  <w:r>
                    <w:rPr>
                      <w:rFonts w:hint="eastAsia"/>
                      <w:color w:val="auto"/>
                      <w:sz w:val="21"/>
                      <w:szCs w:val="21"/>
                      <w:lang w:val="en-US" w:eastAsia="zh-CN"/>
                    </w:rPr>
                    <w:t>城市杂用水水质》（GB/T18920-2020）中车辆冲洗水质标准要求后回用于洗车，不外排</w:t>
                  </w:r>
                </w:p>
              </w:tc>
              <w:tc>
                <w:tcPr>
                  <w:tcW w:w="363" w:type="pct"/>
                  <w:vMerge w:val="continue"/>
                  <w:noWrap w:val="0"/>
                  <w:vAlign w:val="center"/>
                </w:tcPr>
                <w:p w14:paraId="0A94EA85">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color w:val="auto"/>
                      <w:sz w:val="21"/>
                      <w:szCs w:val="21"/>
                    </w:rPr>
                  </w:pPr>
                </w:p>
              </w:tc>
            </w:tr>
            <w:tr w14:paraId="6588A7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5" w:type="pct"/>
                  <w:vMerge w:val="continue"/>
                  <w:noWrap w:val="0"/>
                  <w:vAlign w:val="center"/>
                </w:tcPr>
                <w:p w14:paraId="6B861F42">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color w:val="auto"/>
                      <w:sz w:val="21"/>
                      <w:szCs w:val="21"/>
                    </w:rPr>
                  </w:pPr>
                </w:p>
              </w:tc>
              <w:tc>
                <w:tcPr>
                  <w:tcW w:w="798" w:type="pct"/>
                  <w:noWrap w:val="0"/>
                  <w:vAlign w:val="center"/>
                </w:tcPr>
                <w:p w14:paraId="1FC1B9B7">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洗车废水</w:t>
                  </w:r>
                </w:p>
              </w:tc>
              <w:tc>
                <w:tcPr>
                  <w:tcW w:w="1266" w:type="pct"/>
                  <w:vMerge w:val="continue"/>
                  <w:noWrap w:val="0"/>
                  <w:vAlign w:val="center"/>
                </w:tcPr>
                <w:p w14:paraId="6B3AC07F">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eastAsia="宋体"/>
                      <w:color w:val="auto"/>
                      <w:sz w:val="21"/>
                      <w:szCs w:val="21"/>
                      <w:lang w:val="en-US" w:eastAsia="zh-CN"/>
                    </w:rPr>
                  </w:pPr>
                </w:p>
              </w:tc>
              <w:tc>
                <w:tcPr>
                  <w:tcW w:w="559" w:type="pct"/>
                  <w:vMerge w:val="continue"/>
                  <w:noWrap w:val="0"/>
                  <w:vAlign w:val="center"/>
                </w:tcPr>
                <w:p w14:paraId="72A7A524">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eastAsia="宋体"/>
                      <w:color w:val="auto"/>
                      <w:sz w:val="21"/>
                      <w:szCs w:val="21"/>
                      <w:lang w:val="en-US" w:eastAsia="zh-CN"/>
                    </w:rPr>
                  </w:pPr>
                </w:p>
              </w:tc>
              <w:tc>
                <w:tcPr>
                  <w:tcW w:w="1656" w:type="pct"/>
                  <w:vMerge w:val="continue"/>
                  <w:noWrap w:val="0"/>
                  <w:vAlign w:val="center"/>
                </w:tcPr>
                <w:p w14:paraId="2DC67B3A">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color w:val="auto"/>
                      <w:sz w:val="21"/>
                      <w:szCs w:val="21"/>
                    </w:rPr>
                  </w:pPr>
                </w:p>
              </w:tc>
              <w:tc>
                <w:tcPr>
                  <w:tcW w:w="363" w:type="pct"/>
                  <w:vMerge w:val="continue"/>
                  <w:noWrap w:val="0"/>
                  <w:vAlign w:val="center"/>
                </w:tcPr>
                <w:p w14:paraId="09DA60D6">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color w:val="auto"/>
                      <w:sz w:val="21"/>
                      <w:szCs w:val="21"/>
                    </w:rPr>
                  </w:pPr>
                </w:p>
              </w:tc>
            </w:tr>
            <w:tr w14:paraId="025316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5" w:type="pct"/>
                  <w:vMerge w:val="restart"/>
                  <w:noWrap w:val="0"/>
                  <w:vAlign w:val="center"/>
                </w:tcPr>
                <w:p w14:paraId="15875038">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color w:val="auto"/>
                      <w:sz w:val="21"/>
                      <w:szCs w:val="21"/>
                    </w:rPr>
                  </w:pPr>
                  <w:r>
                    <w:rPr>
                      <w:color w:val="auto"/>
                      <w:sz w:val="21"/>
                      <w:szCs w:val="21"/>
                    </w:rPr>
                    <w:t>废气</w:t>
                  </w:r>
                </w:p>
              </w:tc>
              <w:tc>
                <w:tcPr>
                  <w:tcW w:w="798" w:type="pct"/>
                  <w:noWrap w:val="0"/>
                  <w:vAlign w:val="center"/>
                </w:tcPr>
                <w:p w14:paraId="06C1B6B0">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储油罐大小呼吸废气</w:t>
                  </w:r>
                </w:p>
              </w:tc>
              <w:tc>
                <w:tcPr>
                  <w:tcW w:w="1266" w:type="pct"/>
                  <w:noWrap w:val="0"/>
                  <w:vAlign w:val="center"/>
                </w:tcPr>
                <w:p w14:paraId="5261706D">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卸油油气回收系统</w:t>
                  </w:r>
                </w:p>
              </w:tc>
              <w:tc>
                <w:tcPr>
                  <w:tcW w:w="559" w:type="pct"/>
                  <w:noWrap w:val="0"/>
                  <w:vAlign w:val="center"/>
                </w:tcPr>
                <w:p w14:paraId="1ADD9A9A">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eastAsia="宋体"/>
                      <w:color w:val="1F497D" w:themeColor="text2"/>
                      <w:sz w:val="21"/>
                      <w:szCs w:val="21"/>
                      <w:lang w:val="en-US" w:eastAsia="zh-CN"/>
                      <w14:textFill>
                        <w14:solidFill>
                          <w14:schemeClr w14:val="tx2"/>
                        </w14:solidFill>
                      </w14:textFill>
                    </w:rPr>
                  </w:pPr>
                  <w:r>
                    <w:rPr>
                      <w:rFonts w:hint="eastAsia"/>
                      <w:color w:val="1F497D" w:themeColor="text2"/>
                      <w:sz w:val="21"/>
                      <w:szCs w:val="21"/>
                      <w:lang w:val="en-US" w:eastAsia="zh-CN"/>
                      <w14:textFill>
                        <w14:solidFill>
                          <w14:schemeClr w14:val="tx2"/>
                        </w14:solidFill>
                      </w14:textFill>
                    </w:rPr>
                    <w:t>15</w:t>
                  </w:r>
                </w:p>
              </w:tc>
              <w:tc>
                <w:tcPr>
                  <w:tcW w:w="1656" w:type="pct"/>
                  <w:noWrap w:val="0"/>
                  <w:vAlign w:val="center"/>
                </w:tcPr>
                <w:p w14:paraId="4EB48745">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color w:val="auto"/>
                      <w:sz w:val="21"/>
                      <w:szCs w:val="21"/>
                    </w:rPr>
                  </w:pPr>
                  <w:r>
                    <w:rPr>
                      <w:rFonts w:hint="eastAsia"/>
                      <w:color w:val="auto"/>
                      <w:sz w:val="21"/>
                      <w:szCs w:val="21"/>
                    </w:rPr>
                    <w:t>《加油站大气污染物排放标准》（</w:t>
                  </w:r>
                  <w:r>
                    <w:rPr>
                      <w:color w:val="auto"/>
                      <w:sz w:val="21"/>
                      <w:szCs w:val="21"/>
                    </w:rPr>
                    <w:t>GB20952-2020）</w:t>
                  </w:r>
                </w:p>
              </w:tc>
              <w:tc>
                <w:tcPr>
                  <w:tcW w:w="363" w:type="pct"/>
                  <w:vMerge w:val="continue"/>
                  <w:noWrap w:val="0"/>
                  <w:vAlign w:val="center"/>
                </w:tcPr>
                <w:p w14:paraId="407116F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auto"/>
                      <w:sz w:val="21"/>
                      <w:szCs w:val="21"/>
                    </w:rPr>
                  </w:pPr>
                </w:p>
              </w:tc>
            </w:tr>
            <w:tr w14:paraId="22EB52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5" w:type="pct"/>
                  <w:vMerge w:val="continue"/>
                  <w:noWrap w:val="0"/>
                  <w:vAlign w:val="center"/>
                </w:tcPr>
                <w:p w14:paraId="4156B62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auto"/>
                      <w:sz w:val="21"/>
                      <w:szCs w:val="21"/>
                    </w:rPr>
                  </w:pPr>
                </w:p>
              </w:tc>
              <w:tc>
                <w:tcPr>
                  <w:tcW w:w="798" w:type="pct"/>
                  <w:noWrap w:val="0"/>
                  <w:vAlign w:val="center"/>
                </w:tcPr>
                <w:p w14:paraId="4E1B3AD7">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加油挥发油气</w:t>
                  </w:r>
                </w:p>
              </w:tc>
              <w:tc>
                <w:tcPr>
                  <w:tcW w:w="1266" w:type="pct"/>
                  <w:noWrap w:val="0"/>
                  <w:vAlign w:val="center"/>
                </w:tcPr>
                <w:p w14:paraId="63B36123">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eastAsia="宋体"/>
                      <w:color w:val="auto"/>
                      <w:sz w:val="21"/>
                      <w:szCs w:val="21"/>
                      <w:lang w:val="en-US" w:eastAsia="zh-CN"/>
                    </w:rPr>
                  </w:pPr>
                  <w:r>
                    <w:rPr>
                      <w:rFonts w:hint="eastAsia"/>
                      <w:color w:val="auto"/>
                      <w:sz w:val="21"/>
                      <w:szCs w:val="21"/>
                    </w:rPr>
                    <w:t>加油</w:t>
                  </w:r>
                  <w:r>
                    <w:rPr>
                      <w:rFonts w:hint="eastAsia"/>
                      <w:color w:val="auto"/>
                      <w:sz w:val="21"/>
                      <w:szCs w:val="21"/>
                      <w:lang w:val="en-US" w:eastAsia="zh-CN"/>
                    </w:rPr>
                    <w:t>油气回收系统</w:t>
                  </w:r>
                </w:p>
              </w:tc>
              <w:tc>
                <w:tcPr>
                  <w:tcW w:w="559" w:type="pct"/>
                  <w:noWrap w:val="0"/>
                  <w:vAlign w:val="center"/>
                </w:tcPr>
                <w:p w14:paraId="39D5DDA5">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eastAsia="宋体"/>
                      <w:color w:val="1F497D" w:themeColor="text2"/>
                      <w:sz w:val="21"/>
                      <w:szCs w:val="21"/>
                      <w:lang w:val="en-US" w:eastAsia="zh-CN"/>
                      <w14:textFill>
                        <w14:solidFill>
                          <w14:schemeClr w14:val="tx2"/>
                        </w14:solidFill>
                      </w14:textFill>
                    </w:rPr>
                  </w:pPr>
                  <w:r>
                    <w:rPr>
                      <w:rFonts w:hint="eastAsia"/>
                      <w:color w:val="1F497D" w:themeColor="text2"/>
                      <w:sz w:val="21"/>
                      <w:szCs w:val="21"/>
                      <w:lang w:val="en-US" w:eastAsia="zh-CN"/>
                      <w14:textFill>
                        <w14:solidFill>
                          <w14:schemeClr w14:val="tx2"/>
                        </w14:solidFill>
                      </w14:textFill>
                    </w:rPr>
                    <w:t>15</w:t>
                  </w:r>
                </w:p>
              </w:tc>
              <w:tc>
                <w:tcPr>
                  <w:tcW w:w="1656" w:type="pct"/>
                  <w:noWrap w:val="0"/>
                  <w:vAlign w:val="center"/>
                </w:tcPr>
                <w:p w14:paraId="586F0572">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color w:val="auto"/>
                      <w:sz w:val="21"/>
                      <w:szCs w:val="21"/>
                    </w:rPr>
                  </w:pPr>
                  <w:r>
                    <w:rPr>
                      <w:rFonts w:hint="eastAsia"/>
                      <w:color w:val="auto"/>
                      <w:sz w:val="21"/>
                      <w:szCs w:val="21"/>
                    </w:rPr>
                    <w:t>《加油站大气污染物排放标准》（</w:t>
                  </w:r>
                  <w:r>
                    <w:rPr>
                      <w:color w:val="auto"/>
                      <w:sz w:val="21"/>
                      <w:szCs w:val="21"/>
                    </w:rPr>
                    <w:t>GB20952-2020）</w:t>
                  </w:r>
                </w:p>
              </w:tc>
              <w:tc>
                <w:tcPr>
                  <w:tcW w:w="363" w:type="pct"/>
                  <w:vMerge w:val="continue"/>
                  <w:noWrap w:val="0"/>
                  <w:vAlign w:val="center"/>
                </w:tcPr>
                <w:p w14:paraId="01BF51A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auto"/>
                      <w:sz w:val="21"/>
                      <w:szCs w:val="21"/>
                    </w:rPr>
                  </w:pPr>
                </w:p>
              </w:tc>
            </w:tr>
            <w:tr w14:paraId="4CF454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jc w:val="center"/>
              </w:trPr>
              <w:tc>
                <w:tcPr>
                  <w:tcW w:w="355" w:type="pct"/>
                  <w:vMerge w:val="continue"/>
                  <w:noWrap w:val="0"/>
                  <w:vAlign w:val="center"/>
                </w:tcPr>
                <w:p w14:paraId="13CEEF1D">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pPr>
                </w:p>
              </w:tc>
              <w:tc>
                <w:tcPr>
                  <w:tcW w:w="798" w:type="pct"/>
                  <w:noWrap w:val="0"/>
                  <w:vAlign w:val="center"/>
                </w:tcPr>
                <w:p w14:paraId="04FC3B78">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汽车尾气</w:t>
                  </w:r>
                </w:p>
              </w:tc>
              <w:tc>
                <w:tcPr>
                  <w:tcW w:w="1266" w:type="pct"/>
                  <w:noWrap w:val="0"/>
                  <w:vAlign w:val="center"/>
                </w:tcPr>
                <w:p w14:paraId="5372AB0E">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color w:val="auto"/>
                      <w:sz w:val="21"/>
                      <w:szCs w:val="21"/>
                    </w:rPr>
                  </w:pPr>
                  <w:r>
                    <w:rPr>
                      <w:rFonts w:hint="eastAsia"/>
                      <w:color w:val="auto"/>
                      <w:sz w:val="21"/>
                      <w:szCs w:val="21"/>
                      <w:lang w:val="en-US" w:eastAsia="zh-CN"/>
                    </w:rPr>
                    <w:t>车辆管理和厂区绿化</w:t>
                  </w:r>
                </w:p>
              </w:tc>
              <w:tc>
                <w:tcPr>
                  <w:tcW w:w="559" w:type="pct"/>
                  <w:noWrap w:val="0"/>
                  <w:vAlign w:val="center"/>
                </w:tcPr>
                <w:p w14:paraId="391BC094">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1</w:t>
                  </w:r>
                </w:p>
              </w:tc>
              <w:tc>
                <w:tcPr>
                  <w:tcW w:w="1656" w:type="pct"/>
                  <w:noWrap w:val="0"/>
                  <w:vAlign w:val="center"/>
                </w:tcPr>
                <w:p w14:paraId="693F7C2B">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color w:val="auto"/>
                      <w:sz w:val="21"/>
                      <w:szCs w:val="21"/>
                    </w:rPr>
                  </w:pPr>
                  <w:r>
                    <w:rPr>
                      <w:rFonts w:hint="eastAsia"/>
                      <w:color w:val="auto"/>
                      <w:sz w:val="21"/>
                      <w:szCs w:val="21"/>
                    </w:rPr>
                    <w:t>/</w:t>
                  </w:r>
                </w:p>
              </w:tc>
              <w:tc>
                <w:tcPr>
                  <w:tcW w:w="363" w:type="pct"/>
                  <w:vMerge w:val="continue"/>
                  <w:noWrap w:val="0"/>
                  <w:vAlign w:val="center"/>
                </w:tcPr>
                <w:p w14:paraId="036E4E17">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color w:val="auto"/>
                      <w:sz w:val="21"/>
                      <w:szCs w:val="21"/>
                    </w:rPr>
                  </w:pPr>
                </w:p>
              </w:tc>
            </w:tr>
            <w:tr w14:paraId="0EBEEC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5" w:type="pct"/>
                  <w:noWrap w:val="0"/>
                  <w:vAlign w:val="center"/>
                </w:tcPr>
                <w:p w14:paraId="615DC8E3">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color w:val="auto"/>
                      <w:sz w:val="21"/>
                      <w:szCs w:val="21"/>
                    </w:rPr>
                  </w:pPr>
                  <w:r>
                    <w:rPr>
                      <w:color w:val="auto"/>
                      <w:sz w:val="21"/>
                      <w:szCs w:val="21"/>
                    </w:rPr>
                    <w:t>噪声</w:t>
                  </w:r>
                </w:p>
              </w:tc>
              <w:tc>
                <w:tcPr>
                  <w:tcW w:w="798" w:type="pct"/>
                  <w:noWrap w:val="0"/>
                  <w:vAlign w:val="center"/>
                </w:tcPr>
                <w:p w14:paraId="064E4DDC">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color w:val="auto"/>
                      <w:sz w:val="21"/>
                      <w:szCs w:val="21"/>
                    </w:rPr>
                  </w:pPr>
                  <w:r>
                    <w:rPr>
                      <w:color w:val="auto"/>
                      <w:sz w:val="21"/>
                      <w:szCs w:val="21"/>
                    </w:rPr>
                    <w:t>噪声源治理</w:t>
                  </w:r>
                </w:p>
              </w:tc>
              <w:tc>
                <w:tcPr>
                  <w:tcW w:w="1266" w:type="pct"/>
                  <w:noWrap w:val="0"/>
                  <w:vAlign w:val="center"/>
                </w:tcPr>
                <w:p w14:paraId="4655F77D">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color w:val="auto"/>
                      <w:sz w:val="21"/>
                      <w:szCs w:val="21"/>
                    </w:rPr>
                  </w:pPr>
                  <w:r>
                    <w:rPr>
                      <w:color w:val="auto"/>
                      <w:sz w:val="21"/>
                      <w:szCs w:val="21"/>
                    </w:rPr>
                    <w:t>选取低噪声设备</w:t>
                  </w:r>
                  <w:r>
                    <w:rPr>
                      <w:rFonts w:hint="eastAsia"/>
                      <w:color w:val="auto"/>
                      <w:sz w:val="21"/>
                      <w:szCs w:val="21"/>
                      <w:lang w:eastAsia="zh-CN"/>
                    </w:rPr>
                    <w:t>、</w:t>
                  </w:r>
                  <w:r>
                    <w:rPr>
                      <w:color w:val="auto"/>
                      <w:sz w:val="21"/>
                      <w:szCs w:val="21"/>
                    </w:rPr>
                    <w:t>高噪声设备基础减振</w:t>
                  </w:r>
                  <w:r>
                    <w:rPr>
                      <w:rFonts w:hint="eastAsia"/>
                      <w:color w:val="auto"/>
                      <w:sz w:val="21"/>
                      <w:szCs w:val="21"/>
                    </w:rPr>
                    <w:t>、</w:t>
                  </w:r>
                  <w:r>
                    <w:rPr>
                      <w:rFonts w:hint="eastAsia"/>
                      <w:color w:val="auto"/>
                      <w:sz w:val="21"/>
                      <w:szCs w:val="21"/>
                      <w:lang w:val="en-US" w:eastAsia="zh-CN"/>
                    </w:rPr>
                    <w:t>厂房</w:t>
                  </w:r>
                  <w:r>
                    <w:rPr>
                      <w:rFonts w:hint="eastAsia"/>
                      <w:color w:val="auto"/>
                      <w:sz w:val="21"/>
                      <w:szCs w:val="21"/>
                    </w:rPr>
                    <w:t>隔声</w:t>
                  </w:r>
                </w:p>
              </w:tc>
              <w:tc>
                <w:tcPr>
                  <w:tcW w:w="559" w:type="pct"/>
                  <w:noWrap w:val="0"/>
                  <w:vAlign w:val="center"/>
                </w:tcPr>
                <w:p w14:paraId="4A34BEBD">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eastAsia="宋体"/>
                      <w:color w:val="auto"/>
                      <w:sz w:val="21"/>
                      <w:szCs w:val="21"/>
                      <w:lang w:eastAsia="zh-CN"/>
                    </w:rPr>
                  </w:pPr>
                  <w:r>
                    <w:rPr>
                      <w:rFonts w:hint="eastAsia"/>
                      <w:color w:val="auto"/>
                      <w:sz w:val="21"/>
                      <w:szCs w:val="21"/>
                      <w:lang w:val="en-US" w:eastAsia="zh-CN"/>
                    </w:rPr>
                    <w:t>5</w:t>
                  </w:r>
                </w:p>
              </w:tc>
              <w:tc>
                <w:tcPr>
                  <w:tcW w:w="1656" w:type="pct"/>
                  <w:noWrap w:val="0"/>
                  <w:vAlign w:val="center"/>
                </w:tcPr>
                <w:p w14:paraId="21457A1A">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rFonts w:hint="default" w:eastAsia="宋体"/>
                      <w:color w:val="auto"/>
                      <w:sz w:val="21"/>
                      <w:szCs w:val="21"/>
                      <w:lang w:val="en-US" w:eastAsia="zh-CN"/>
                    </w:rPr>
                  </w:pPr>
                  <w:r>
                    <w:rPr>
                      <w:color w:val="auto"/>
                      <w:sz w:val="21"/>
                      <w:szCs w:val="21"/>
                    </w:rPr>
                    <w:t>厂界噪声</w:t>
                  </w:r>
                  <w:r>
                    <w:rPr>
                      <w:rFonts w:hint="eastAsia"/>
                      <w:color w:val="auto"/>
                      <w:sz w:val="21"/>
                      <w:szCs w:val="21"/>
                    </w:rPr>
                    <w:t>执行</w:t>
                  </w:r>
                  <w:r>
                    <w:rPr>
                      <w:color w:val="auto"/>
                      <w:sz w:val="21"/>
                      <w:szCs w:val="21"/>
                    </w:rPr>
                    <w:t>《工业企业厂界环境噪声排放标准》（GB12348-2008）中</w:t>
                  </w:r>
                  <w:r>
                    <w:rPr>
                      <w:rFonts w:hint="eastAsia"/>
                      <w:color w:val="auto"/>
                      <w:sz w:val="21"/>
                      <w:szCs w:val="21"/>
                    </w:rPr>
                    <w:t>2类</w:t>
                  </w:r>
                  <w:r>
                    <w:rPr>
                      <w:rFonts w:hint="eastAsia"/>
                      <w:color w:val="auto"/>
                      <w:sz w:val="21"/>
                      <w:szCs w:val="21"/>
                      <w:lang w:eastAsia="zh-CN"/>
                    </w:rPr>
                    <w:t>、</w:t>
                  </w:r>
                  <w:r>
                    <w:rPr>
                      <w:rFonts w:hint="eastAsia"/>
                      <w:color w:val="auto"/>
                      <w:sz w:val="21"/>
                      <w:szCs w:val="21"/>
                      <w:lang w:val="en-US" w:eastAsia="zh-CN"/>
                    </w:rPr>
                    <w:t>4类标准</w:t>
                  </w:r>
                </w:p>
              </w:tc>
              <w:tc>
                <w:tcPr>
                  <w:tcW w:w="363" w:type="pct"/>
                  <w:vMerge w:val="continue"/>
                  <w:noWrap w:val="0"/>
                  <w:vAlign w:val="center"/>
                </w:tcPr>
                <w:p w14:paraId="4721308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auto"/>
                      <w:sz w:val="21"/>
                      <w:szCs w:val="21"/>
                    </w:rPr>
                  </w:pPr>
                </w:p>
              </w:tc>
            </w:tr>
            <w:tr w14:paraId="6FD784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5" w:type="pct"/>
                  <w:vMerge w:val="restart"/>
                  <w:noWrap w:val="0"/>
                  <w:vAlign w:val="center"/>
                </w:tcPr>
                <w:p w14:paraId="4F3669F2">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color w:val="auto"/>
                      <w:sz w:val="21"/>
                      <w:szCs w:val="21"/>
                    </w:rPr>
                  </w:pPr>
                  <w:r>
                    <w:rPr>
                      <w:color w:val="auto"/>
                      <w:sz w:val="21"/>
                      <w:szCs w:val="21"/>
                    </w:rPr>
                    <w:t>固废</w:t>
                  </w:r>
                </w:p>
              </w:tc>
              <w:tc>
                <w:tcPr>
                  <w:tcW w:w="798" w:type="pct"/>
                  <w:noWrap w:val="0"/>
                  <w:vAlign w:val="center"/>
                </w:tcPr>
                <w:p w14:paraId="2DBAF81F">
                  <w:pPr>
                    <w:keepNext w:val="0"/>
                    <w:keepLines w:val="0"/>
                    <w:pageBreakBefore w:val="0"/>
                    <w:widowControl w:val="0"/>
                    <w:tabs>
                      <w:tab w:val="left" w:pos="1110"/>
                    </w:tabs>
                    <w:kinsoku/>
                    <w:wordWrap/>
                    <w:overflowPunct/>
                    <w:topLinePunct w:val="0"/>
                    <w:autoSpaceDE/>
                    <w:autoSpaceDN/>
                    <w:bidi w:val="0"/>
                    <w:adjustRightInd/>
                    <w:snapToGrid w:val="0"/>
                    <w:spacing w:line="240" w:lineRule="auto"/>
                    <w:ind w:left="0" w:leftChars="0" w:firstLine="0" w:firstLineChars="0"/>
                    <w:jc w:val="center"/>
                    <w:textAlignment w:val="auto"/>
                    <w:rPr>
                      <w:rFonts w:hint="eastAsia"/>
                      <w:color w:val="auto"/>
                      <w:sz w:val="21"/>
                      <w:szCs w:val="21"/>
                    </w:rPr>
                  </w:pPr>
                  <w:r>
                    <w:rPr>
                      <w:rFonts w:hint="eastAsia"/>
                      <w:color w:val="auto"/>
                      <w:spacing w:val="4"/>
                      <w:kern w:val="0"/>
                      <w:sz w:val="21"/>
                      <w:szCs w:val="21"/>
                    </w:rPr>
                    <w:t>清</w:t>
                  </w:r>
                  <w:r>
                    <w:rPr>
                      <w:rFonts w:hint="eastAsia"/>
                      <w:color w:val="auto"/>
                      <w:spacing w:val="4"/>
                      <w:kern w:val="0"/>
                      <w:sz w:val="21"/>
                      <w:szCs w:val="21"/>
                      <w:lang w:val="en-US" w:eastAsia="zh-CN"/>
                    </w:rPr>
                    <w:t>罐废</w:t>
                  </w:r>
                  <w:r>
                    <w:rPr>
                      <w:rFonts w:hint="eastAsia"/>
                      <w:color w:val="auto"/>
                      <w:spacing w:val="4"/>
                      <w:kern w:val="0"/>
                      <w:sz w:val="21"/>
                      <w:szCs w:val="21"/>
                    </w:rPr>
                    <w:t>液</w:t>
                  </w:r>
                </w:p>
              </w:tc>
              <w:tc>
                <w:tcPr>
                  <w:tcW w:w="1266" w:type="pct"/>
                  <w:vMerge w:val="restart"/>
                  <w:noWrap w:val="0"/>
                  <w:vAlign w:val="center"/>
                </w:tcPr>
                <w:p w14:paraId="310DDB40">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color w:val="auto"/>
                      <w:sz w:val="21"/>
                      <w:szCs w:val="21"/>
                      <w:lang w:val="en-US"/>
                    </w:rPr>
                  </w:pPr>
                  <w:r>
                    <w:rPr>
                      <w:rFonts w:hint="eastAsia"/>
                      <w:sz w:val="21"/>
                      <w:szCs w:val="21"/>
                      <w:lang w:val="en-US" w:eastAsia="zh-CN"/>
                    </w:rPr>
                    <w:t>由委托的具有危险废物处理资质的单位带走处置</w:t>
                  </w:r>
                </w:p>
              </w:tc>
              <w:tc>
                <w:tcPr>
                  <w:tcW w:w="559" w:type="pct"/>
                  <w:vMerge w:val="restart"/>
                  <w:noWrap w:val="0"/>
                  <w:vAlign w:val="center"/>
                </w:tcPr>
                <w:p w14:paraId="6E46E130">
                  <w:pPr>
                    <w:keepNext w:val="0"/>
                    <w:keepLines w:val="0"/>
                    <w:pageBreakBefore w:val="0"/>
                    <w:widowControl w:val="0"/>
                    <w:tabs>
                      <w:tab w:val="left" w:pos="1110"/>
                    </w:tabs>
                    <w:kinsoku/>
                    <w:wordWrap/>
                    <w:overflowPunct/>
                    <w:topLinePunct w:val="0"/>
                    <w:autoSpaceDE/>
                    <w:autoSpaceDN/>
                    <w:bidi w:val="0"/>
                    <w:adjustRightInd/>
                    <w:snapToGrid w:val="0"/>
                    <w:spacing w:line="240" w:lineRule="auto"/>
                    <w:ind w:left="0" w:leftChars="0" w:firstLine="0" w:firstLineChars="0"/>
                    <w:jc w:val="center"/>
                    <w:textAlignment w:val="auto"/>
                    <w:rPr>
                      <w:rFonts w:hint="eastAsia" w:eastAsia="宋体"/>
                      <w:color w:val="auto"/>
                      <w:sz w:val="21"/>
                      <w:szCs w:val="21"/>
                      <w:lang w:eastAsia="zh-CN"/>
                    </w:rPr>
                  </w:pPr>
                  <w:r>
                    <w:rPr>
                      <w:rFonts w:hint="eastAsia"/>
                      <w:color w:val="auto"/>
                      <w:sz w:val="21"/>
                      <w:szCs w:val="21"/>
                      <w:lang w:val="en-US" w:eastAsia="zh-CN"/>
                    </w:rPr>
                    <w:t>8</w:t>
                  </w:r>
                </w:p>
              </w:tc>
              <w:tc>
                <w:tcPr>
                  <w:tcW w:w="1656" w:type="pct"/>
                  <w:vMerge w:val="restart"/>
                  <w:noWrap w:val="0"/>
                  <w:vAlign w:val="center"/>
                </w:tcPr>
                <w:p w14:paraId="74B479C2">
                  <w:pPr>
                    <w:keepNext w:val="0"/>
                    <w:keepLines w:val="0"/>
                    <w:pageBreakBefore w:val="0"/>
                    <w:widowControl w:val="0"/>
                    <w:tabs>
                      <w:tab w:val="left" w:pos="1110"/>
                    </w:tabs>
                    <w:kinsoku/>
                    <w:wordWrap/>
                    <w:overflowPunct/>
                    <w:topLinePunct w:val="0"/>
                    <w:autoSpaceDE/>
                    <w:autoSpaceDN/>
                    <w:bidi w:val="0"/>
                    <w:adjustRightInd/>
                    <w:snapToGrid w:val="0"/>
                    <w:spacing w:line="240" w:lineRule="auto"/>
                    <w:ind w:left="0" w:leftChars="0"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不在厂区内暂存</w:t>
                  </w:r>
                </w:p>
              </w:tc>
              <w:tc>
                <w:tcPr>
                  <w:tcW w:w="363" w:type="pct"/>
                  <w:vMerge w:val="continue"/>
                  <w:noWrap w:val="0"/>
                  <w:vAlign w:val="center"/>
                </w:tcPr>
                <w:p w14:paraId="20E6CD44">
                  <w:pPr>
                    <w:keepNext w:val="0"/>
                    <w:keepLines w:val="0"/>
                    <w:pageBreakBefore w:val="0"/>
                    <w:widowControl w:val="0"/>
                    <w:tabs>
                      <w:tab w:val="left" w:pos="1110"/>
                    </w:tabs>
                    <w:kinsoku/>
                    <w:wordWrap/>
                    <w:overflowPunct/>
                    <w:topLinePunct w:val="0"/>
                    <w:autoSpaceDE/>
                    <w:autoSpaceDN/>
                    <w:bidi w:val="0"/>
                    <w:adjustRightInd/>
                    <w:snapToGrid w:val="0"/>
                    <w:spacing w:line="240" w:lineRule="auto"/>
                    <w:ind w:firstLine="422"/>
                    <w:jc w:val="center"/>
                    <w:textAlignment w:val="auto"/>
                    <w:rPr>
                      <w:color w:val="auto"/>
                      <w:sz w:val="21"/>
                      <w:szCs w:val="21"/>
                    </w:rPr>
                  </w:pPr>
                </w:p>
              </w:tc>
            </w:tr>
            <w:tr w14:paraId="203BF8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355" w:type="pct"/>
                  <w:vMerge w:val="continue"/>
                  <w:noWrap w:val="0"/>
                  <w:vAlign w:val="center"/>
                </w:tcPr>
                <w:p w14:paraId="1F450D9E">
                  <w:pPr>
                    <w:keepNext w:val="0"/>
                    <w:keepLines w:val="0"/>
                    <w:pageBreakBefore w:val="0"/>
                    <w:widowControl w:val="0"/>
                    <w:tabs>
                      <w:tab w:val="left" w:pos="1110"/>
                    </w:tabs>
                    <w:kinsoku/>
                    <w:wordWrap/>
                    <w:overflowPunct/>
                    <w:topLinePunct w:val="0"/>
                    <w:autoSpaceDE/>
                    <w:autoSpaceDN/>
                    <w:bidi w:val="0"/>
                    <w:adjustRightInd/>
                    <w:snapToGrid w:val="0"/>
                    <w:spacing w:line="240" w:lineRule="auto"/>
                    <w:ind w:left="0" w:leftChars="0" w:firstLine="0" w:firstLineChars="0"/>
                    <w:jc w:val="center"/>
                    <w:textAlignment w:val="auto"/>
                  </w:pPr>
                </w:p>
              </w:tc>
              <w:tc>
                <w:tcPr>
                  <w:tcW w:w="798" w:type="pct"/>
                  <w:noWrap w:val="0"/>
                  <w:vAlign w:val="center"/>
                </w:tcPr>
                <w:p w14:paraId="2303FFA1">
                  <w:pPr>
                    <w:keepNext w:val="0"/>
                    <w:keepLines w:val="0"/>
                    <w:pageBreakBefore w:val="0"/>
                    <w:widowControl w:val="0"/>
                    <w:tabs>
                      <w:tab w:val="left" w:pos="1110"/>
                    </w:tabs>
                    <w:kinsoku/>
                    <w:wordWrap/>
                    <w:overflowPunct/>
                    <w:topLinePunct w:val="0"/>
                    <w:autoSpaceDE/>
                    <w:autoSpaceDN/>
                    <w:bidi w:val="0"/>
                    <w:adjustRightInd/>
                    <w:snapToGrid w:val="0"/>
                    <w:spacing w:line="240" w:lineRule="auto"/>
                    <w:ind w:left="0" w:leftChars="0" w:firstLine="0" w:firstLineChars="0"/>
                    <w:jc w:val="center"/>
                    <w:textAlignment w:val="auto"/>
                    <w:rPr>
                      <w:rFonts w:hint="default" w:eastAsia="宋体"/>
                      <w:color w:val="auto"/>
                      <w:spacing w:val="4"/>
                      <w:kern w:val="0"/>
                      <w:sz w:val="21"/>
                      <w:szCs w:val="21"/>
                      <w:lang w:val="en-US" w:eastAsia="zh-CN"/>
                    </w:rPr>
                  </w:pPr>
                  <w:r>
                    <w:rPr>
                      <w:rFonts w:hint="eastAsia"/>
                      <w:color w:val="auto"/>
                      <w:spacing w:val="4"/>
                      <w:kern w:val="0"/>
                      <w:sz w:val="21"/>
                      <w:szCs w:val="21"/>
                      <w:lang w:val="en-US" w:eastAsia="zh-CN"/>
                    </w:rPr>
                    <w:t>含油污泥</w:t>
                  </w:r>
                </w:p>
              </w:tc>
              <w:tc>
                <w:tcPr>
                  <w:tcW w:w="1266" w:type="pct"/>
                  <w:vMerge w:val="continue"/>
                  <w:noWrap w:val="0"/>
                  <w:vAlign w:val="center"/>
                </w:tcPr>
                <w:p w14:paraId="18311A09">
                  <w:pPr>
                    <w:keepNext w:val="0"/>
                    <w:keepLines w:val="0"/>
                    <w:pageBreakBefore w:val="0"/>
                    <w:widowControl w:val="0"/>
                    <w:tabs>
                      <w:tab w:val="left" w:pos="1110"/>
                    </w:tabs>
                    <w:kinsoku/>
                    <w:wordWrap/>
                    <w:overflowPunct/>
                    <w:topLinePunct w:val="0"/>
                    <w:autoSpaceDE/>
                    <w:autoSpaceDN/>
                    <w:bidi w:val="0"/>
                    <w:adjustRightInd/>
                    <w:snapToGrid w:val="0"/>
                    <w:spacing w:line="240" w:lineRule="auto"/>
                    <w:ind w:left="0" w:leftChars="0" w:firstLine="0" w:firstLineChars="0"/>
                    <w:jc w:val="center"/>
                    <w:textAlignment w:val="auto"/>
                    <w:rPr>
                      <w:rFonts w:hint="eastAsia"/>
                      <w:color w:val="auto"/>
                      <w:spacing w:val="4"/>
                      <w:kern w:val="0"/>
                      <w:sz w:val="21"/>
                      <w:szCs w:val="21"/>
                    </w:rPr>
                  </w:pPr>
                </w:p>
              </w:tc>
              <w:tc>
                <w:tcPr>
                  <w:tcW w:w="559" w:type="pct"/>
                  <w:vMerge w:val="continue"/>
                  <w:noWrap w:val="0"/>
                  <w:vAlign w:val="center"/>
                </w:tcPr>
                <w:p w14:paraId="343858BA">
                  <w:pPr>
                    <w:keepNext w:val="0"/>
                    <w:keepLines w:val="0"/>
                    <w:pageBreakBefore w:val="0"/>
                    <w:widowControl w:val="0"/>
                    <w:tabs>
                      <w:tab w:val="left" w:pos="1110"/>
                    </w:tabs>
                    <w:kinsoku/>
                    <w:wordWrap/>
                    <w:overflowPunct/>
                    <w:topLinePunct w:val="0"/>
                    <w:autoSpaceDE/>
                    <w:autoSpaceDN/>
                    <w:bidi w:val="0"/>
                    <w:adjustRightInd/>
                    <w:snapToGrid w:val="0"/>
                    <w:spacing w:line="240" w:lineRule="auto"/>
                    <w:ind w:left="0" w:leftChars="0" w:firstLine="0" w:firstLineChars="0"/>
                    <w:jc w:val="center"/>
                    <w:textAlignment w:val="auto"/>
                    <w:rPr>
                      <w:rFonts w:hint="eastAsia"/>
                      <w:color w:val="auto"/>
                      <w:spacing w:val="4"/>
                      <w:kern w:val="0"/>
                      <w:sz w:val="21"/>
                      <w:szCs w:val="21"/>
                    </w:rPr>
                  </w:pPr>
                </w:p>
              </w:tc>
              <w:tc>
                <w:tcPr>
                  <w:tcW w:w="1656" w:type="pct"/>
                  <w:vMerge w:val="continue"/>
                  <w:noWrap w:val="0"/>
                  <w:vAlign w:val="center"/>
                </w:tcPr>
                <w:p w14:paraId="3416321E">
                  <w:pPr>
                    <w:keepNext w:val="0"/>
                    <w:keepLines w:val="0"/>
                    <w:pageBreakBefore w:val="0"/>
                    <w:widowControl w:val="0"/>
                    <w:tabs>
                      <w:tab w:val="left" w:pos="1110"/>
                    </w:tabs>
                    <w:kinsoku/>
                    <w:wordWrap/>
                    <w:overflowPunct/>
                    <w:topLinePunct w:val="0"/>
                    <w:autoSpaceDE/>
                    <w:autoSpaceDN/>
                    <w:bidi w:val="0"/>
                    <w:adjustRightInd/>
                    <w:snapToGrid w:val="0"/>
                    <w:spacing w:line="240" w:lineRule="auto"/>
                    <w:ind w:left="0" w:leftChars="0" w:firstLine="0" w:firstLineChars="0"/>
                    <w:jc w:val="center"/>
                    <w:textAlignment w:val="auto"/>
                    <w:rPr>
                      <w:rFonts w:hint="eastAsia"/>
                      <w:color w:val="auto"/>
                      <w:spacing w:val="4"/>
                      <w:kern w:val="0"/>
                      <w:sz w:val="21"/>
                      <w:szCs w:val="21"/>
                    </w:rPr>
                  </w:pPr>
                </w:p>
              </w:tc>
              <w:tc>
                <w:tcPr>
                  <w:tcW w:w="363" w:type="pct"/>
                  <w:vMerge w:val="continue"/>
                  <w:noWrap w:val="0"/>
                  <w:vAlign w:val="center"/>
                </w:tcPr>
                <w:p w14:paraId="23C0E2EC">
                  <w:pPr>
                    <w:keepNext w:val="0"/>
                    <w:keepLines w:val="0"/>
                    <w:pageBreakBefore w:val="0"/>
                    <w:widowControl w:val="0"/>
                    <w:tabs>
                      <w:tab w:val="left" w:pos="1110"/>
                    </w:tabs>
                    <w:kinsoku/>
                    <w:wordWrap/>
                    <w:overflowPunct/>
                    <w:topLinePunct w:val="0"/>
                    <w:autoSpaceDE/>
                    <w:autoSpaceDN/>
                    <w:bidi w:val="0"/>
                    <w:adjustRightInd/>
                    <w:snapToGrid w:val="0"/>
                    <w:spacing w:line="240" w:lineRule="auto"/>
                    <w:ind w:left="0" w:leftChars="0" w:firstLine="0" w:firstLineChars="0"/>
                    <w:jc w:val="center"/>
                    <w:textAlignment w:val="auto"/>
                    <w:rPr>
                      <w:rFonts w:hint="eastAsia"/>
                      <w:color w:val="auto"/>
                      <w:spacing w:val="4"/>
                      <w:kern w:val="0"/>
                      <w:sz w:val="21"/>
                      <w:szCs w:val="21"/>
                    </w:rPr>
                  </w:pPr>
                </w:p>
              </w:tc>
            </w:tr>
            <w:tr w14:paraId="549DFA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355" w:type="pct"/>
                  <w:vMerge w:val="continue"/>
                  <w:noWrap w:val="0"/>
                  <w:vAlign w:val="center"/>
                </w:tcPr>
                <w:p w14:paraId="4CB54A62">
                  <w:pPr>
                    <w:keepNext w:val="0"/>
                    <w:keepLines w:val="0"/>
                    <w:pageBreakBefore w:val="0"/>
                    <w:widowControl w:val="0"/>
                    <w:tabs>
                      <w:tab w:val="left" w:pos="1110"/>
                    </w:tabs>
                    <w:kinsoku/>
                    <w:wordWrap/>
                    <w:overflowPunct/>
                    <w:topLinePunct w:val="0"/>
                    <w:autoSpaceDE/>
                    <w:autoSpaceDN/>
                    <w:bidi w:val="0"/>
                    <w:adjustRightInd/>
                    <w:snapToGrid w:val="0"/>
                    <w:spacing w:line="240" w:lineRule="auto"/>
                    <w:ind w:left="0" w:leftChars="0" w:firstLine="0" w:firstLineChars="0"/>
                    <w:jc w:val="center"/>
                    <w:textAlignment w:val="auto"/>
                  </w:pPr>
                </w:p>
              </w:tc>
              <w:tc>
                <w:tcPr>
                  <w:tcW w:w="798" w:type="pct"/>
                  <w:noWrap w:val="0"/>
                  <w:vAlign w:val="center"/>
                </w:tcPr>
                <w:p w14:paraId="63871AB4">
                  <w:pPr>
                    <w:keepNext w:val="0"/>
                    <w:keepLines w:val="0"/>
                    <w:pageBreakBefore w:val="0"/>
                    <w:widowControl w:val="0"/>
                    <w:tabs>
                      <w:tab w:val="left" w:pos="1110"/>
                    </w:tabs>
                    <w:kinsoku/>
                    <w:wordWrap/>
                    <w:overflowPunct/>
                    <w:topLinePunct w:val="0"/>
                    <w:autoSpaceDE/>
                    <w:autoSpaceDN/>
                    <w:bidi w:val="0"/>
                    <w:adjustRightInd/>
                    <w:snapToGrid w:val="0"/>
                    <w:spacing w:line="240" w:lineRule="auto"/>
                    <w:ind w:left="0" w:leftChars="0" w:firstLine="0" w:firstLineChars="0"/>
                    <w:jc w:val="center"/>
                    <w:textAlignment w:val="auto"/>
                    <w:rPr>
                      <w:rFonts w:hint="default"/>
                      <w:color w:val="auto"/>
                      <w:spacing w:val="4"/>
                      <w:kern w:val="0"/>
                      <w:sz w:val="21"/>
                      <w:szCs w:val="21"/>
                      <w:lang w:val="en-US" w:eastAsia="zh-CN"/>
                    </w:rPr>
                  </w:pPr>
                  <w:r>
                    <w:rPr>
                      <w:rFonts w:hint="eastAsia"/>
                      <w:color w:val="auto"/>
                      <w:spacing w:val="4"/>
                      <w:kern w:val="0"/>
                      <w:sz w:val="21"/>
                      <w:szCs w:val="21"/>
                      <w:lang w:val="en-US" w:eastAsia="zh-CN"/>
                    </w:rPr>
                    <w:t>化粪池污泥</w:t>
                  </w:r>
                </w:p>
              </w:tc>
              <w:tc>
                <w:tcPr>
                  <w:tcW w:w="1266" w:type="pct"/>
                  <w:noWrap w:val="0"/>
                  <w:vAlign w:val="center"/>
                </w:tcPr>
                <w:p w14:paraId="4130EFBB">
                  <w:pPr>
                    <w:keepNext w:val="0"/>
                    <w:keepLines w:val="0"/>
                    <w:pageBreakBefore w:val="0"/>
                    <w:widowControl w:val="0"/>
                    <w:tabs>
                      <w:tab w:val="left" w:pos="1110"/>
                    </w:tabs>
                    <w:kinsoku/>
                    <w:wordWrap/>
                    <w:overflowPunct/>
                    <w:topLinePunct w:val="0"/>
                    <w:autoSpaceDE/>
                    <w:autoSpaceDN/>
                    <w:bidi w:val="0"/>
                    <w:adjustRightInd/>
                    <w:snapToGrid w:val="0"/>
                    <w:spacing w:line="240" w:lineRule="auto"/>
                    <w:ind w:left="0" w:leftChars="0" w:firstLine="0" w:firstLineChars="0"/>
                    <w:jc w:val="center"/>
                    <w:textAlignment w:val="auto"/>
                    <w:rPr>
                      <w:rFonts w:hint="eastAsia"/>
                      <w:color w:val="auto"/>
                      <w:spacing w:val="4"/>
                      <w:kern w:val="0"/>
                      <w:sz w:val="21"/>
                      <w:szCs w:val="21"/>
                      <w:lang w:val="en-US" w:eastAsia="zh-CN"/>
                    </w:rPr>
                  </w:pPr>
                  <w:r>
                    <w:rPr>
                      <w:rFonts w:hint="eastAsia"/>
                      <w:color w:val="auto"/>
                      <w:spacing w:val="4"/>
                      <w:kern w:val="0"/>
                      <w:sz w:val="21"/>
                      <w:szCs w:val="21"/>
                      <w:lang w:val="en-US" w:eastAsia="zh-CN"/>
                    </w:rPr>
                    <w:t>委托环卫部门定期清掏，带走处置</w:t>
                  </w:r>
                </w:p>
              </w:tc>
              <w:tc>
                <w:tcPr>
                  <w:tcW w:w="559" w:type="pct"/>
                  <w:noWrap w:val="0"/>
                  <w:vAlign w:val="center"/>
                </w:tcPr>
                <w:p w14:paraId="2E73561E">
                  <w:pPr>
                    <w:keepNext w:val="0"/>
                    <w:keepLines w:val="0"/>
                    <w:pageBreakBefore w:val="0"/>
                    <w:widowControl w:val="0"/>
                    <w:tabs>
                      <w:tab w:val="left" w:pos="1110"/>
                    </w:tabs>
                    <w:kinsoku/>
                    <w:wordWrap/>
                    <w:overflowPunct/>
                    <w:topLinePunct w:val="0"/>
                    <w:autoSpaceDE/>
                    <w:autoSpaceDN/>
                    <w:bidi w:val="0"/>
                    <w:adjustRightInd/>
                    <w:snapToGrid w:val="0"/>
                    <w:spacing w:line="240" w:lineRule="auto"/>
                    <w:ind w:left="0" w:leftChars="0" w:firstLine="0" w:firstLineChars="0"/>
                    <w:jc w:val="center"/>
                    <w:textAlignment w:val="auto"/>
                    <w:rPr>
                      <w:rFonts w:hint="default"/>
                      <w:color w:val="auto"/>
                      <w:spacing w:val="4"/>
                      <w:kern w:val="0"/>
                      <w:sz w:val="21"/>
                      <w:szCs w:val="21"/>
                      <w:lang w:val="en-US" w:eastAsia="zh-CN"/>
                    </w:rPr>
                  </w:pPr>
                  <w:r>
                    <w:rPr>
                      <w:rFonts w:hint="eastAsia"/>
                      <w:color w:val="auto"/>
                      <w:spacing w:val="4"/>
                      <w:kern w:val="0"/>
                      <w:sz w:val="21"/>
                      <w:szCs w:val="21"/>
                      <w:lang w:val="en-US" w:eastAsia="zh-CN"/>
                    </w:rPr>
                    <w:t>2</w:t>
                  </w:r>
                </w:p>
              </w:tc>
              <w:tc>
                <w:tcPr>
                  <w:tcW w:w="1656" w:type="pct"/>
                  <w:noWrap w:val="0"/>
                  <w:vAlign w:val="center"/>
                </w:tcPr>
                <w:p w14:paraId="19E772BD">
                  <w:pPr>
                    <w:keepNext w:val="0"/>
                    <w:keepLines w:val="0"/>
                    <w:pageBreakBefore w:val="0"/>
                    <w:widowControl w:val="0"/>
                    <w:tabs>
                      <w:tab w:val="left" w:pos="1110"/>
                    </w:tabs>
                    <w:kinsoku/>
                    <w:wordWrap/>
                    <w:overflowPunct/>
                    <w:topLinePunct w:val="0"/>
                    <w:autoSpaceDE/>
                    <w:autoSpaceDN/>
                    <w:bidi w:val="0"/>
                    <w:adjustRightInd/>
                    <w:snapToGrid w:val="0"/>
                    <w:spacing w:line="240" w:lineRule="auto"/>
                    <w:ind w:left="0" w:leftChars="0" w:firstLine="0" w:firstLineChars="0"/>
                    <w:jc w:val="center"/>
                    <w:textAlignment w:val="auto"/>
                    <w:rPr>
                      <w:rFonts w:hint="eastAsia"/>
                      <w:color w:val="auto"/>
                      <w:spacing w:val="4"/>
                      <w:kern w:val="0"/>
                      <w:sz w:val="21"/>
                      <w:szCs w:val="21"/>
                      <w:lang w:val="en-US" w:eastAsia="zh-CN"/>
                    </w:rPr>
                  </w:pPr>
                  <w:r>
                    <w:rPr>
                      <w:rFonts w:hint="eastAsia"/>
                      <w:color w:val="auto"/>
                      <w:sz w:val="21"/>
                      <w:szCs w:val="21"/>
                      <w:lang w:val="en-US" w:eastAsia="zh-CN"/>
                    </w:rPr>
                    <w:t>不在厂区内暂存</w:t>
                  </w:r>
                </w:p>
              </w:tc>
              <w:tc>
                <w:tcPr>
                  <w:tcW w:w="363" w:type="pct"/>
                  <w:vMerge w:val="continue"/>
                  <w:noWrap w:val="0"/>
                  <w:vAlign w:val="center"/>
                </w:tcPr>
                <w:p w14:paraId="694815B1">
                  <w:pPr>
                    <w:keepNext w:val="0"/>
                    <w:keepLines w:val="0"/>
                    <w:pageBreakBefore w:val="0"/>
                    <w:widowControl w:val="0"/>
                    <w:tabs>
                      <w:tab w:val="left" w:pos="1110"/>
                    </w:tabs>
                    <w:kinsoku/>
                    <w:wordWrap/>
                    <w:overflowPunct/>
                    <w:topLinePunct w:val="0"/>
                    <w:autoSpaceDE/>
                    <w:autoSpaceDN/>
                    <w:bidi w:val="0"/>
                    <w:adjustRightInd/>
                    <w:snapToGrid w:val="0"/>
                    <w:spacing w:line="240" w:lineRule="auto"/>
                    <w:ind w:left="0" w:leftChars="0" w:firstLine="0" w:firstLineChars="0"/>
                    <w:jc w:val="center"/>
                    <w:textAlignment w:val="auto"/>
                    <w:rPr>
                      <w:rFonts w:hint="eastAsia"/>
                      <w:color w:val="auto"/>
                      <w:spacing w:val="4"/>
                      <w:kern w:val="0"/>
                      <w:sz w:val="21"/>
                      <w:szCs w:val="21"/>
                      <w:lang w:val="en-US" w:eastAsia="zh-CN"/>
                    </w:rPr>
                  </w:pPr>
                </w:p>
              </w:tc>
            </w:tr>
            <w:tr w14:paraId="2414A4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5" w:type="pct"/>
                  <w:vMerge w:val="continue"/>
                  <w:noWrap w:val="0"/>
                  <w:vAlign w:val="center"/>
                </w:tcPr>
                <w:p w14:paraId="47B4298C">
                  <w:pPr>
                    <w:keepNext w:val="0"/>
                    <w:keepLines w:val="0"/>
                    <w:pageBreakBefore w:val="0"/>
                    <w:widowControl w:val="0"/>
                    <w:tabs>
                      <w:tab w:val="left" w:pos="1110"/>
                    </w:tabs>
                    <w:kinsoku/>
                    <w:wordWrap/>
                    <w:overflowPunct/>
                    <w:topLinePunct w:val="0"/>
                    <w:autoSpaceDE/>
                    <w:autoSpaceDN/>
                    <w:bidi w:val="0"/>
                    <w:adjustRightInd/>
                    <w:snapToGrid w:val="0"/>
                    <w:spacing w:line="240" w:lineRule="auto"/>
                    <w:ind w:left="0" w:leftChars="0" w:firstLine="0" w:firstLineChars="0"/>
                    <w:jc w:val="center"/>
                    <w:textAlignment w:val="auto"/>
                    <w:rPr>
                      <w:rFonts w:hint="eastAsia"/>
                      <w:color w:val="auto"/>
                      <w:spacing w:val="4"/>
                      <w:kern w:val="0"/>
                      <w:sz w:val="21"/>
                      <w:szCs w:val="21"/>
                    </w:rPr>
                  </w:pPr>
                </w:p>
              </w:tc>
              <w:tc>
                <w:tcPr>
                  <w:tcW w:w="798" w:type="pct"/>
                  <w:noWrap w:val="0"/>
                  <w:vAlign w:val="center"/>
                </w:tcPr>
                <w:p w14:paraId="1E35C0A7">
                  <w:pPr>
                    <w:keepNext w:val="0"/>
                    <w:keepLines w:val="0"/>
                    <w:pageBreakBefore w:val="0"/>
                    <w:widowControl w:val="0"/>
                    <w:tabs>
                      <w:tab w:val="left" w:pos="1110"/>
                    </w:tabs>
                    <w:kinsoku/>
                    <w:wordWrap/>
                    <w:overflowPunct/>
                    <w:topLinePunct w:val="0"/>
                    <w:autoSpaceDE/>
                    <w:autoSpaceDN/>
                    <w:bidi w:val="0"/>
                    <w:adjustRightInd/>
                    <w:snapToGrid w:val="0"/>
                    <w:spacing w:line="240" w:lineRule="auto"/>
                    <w:ind w:left="0" w:leftChars="0" w:firstLine="0" w:firstLineChars="0"/>
                    <w:jc w:val="center"/>
                    <w:textAlignment w:val="auto"/>
                    <w:rPr>
                      <w:rFonts w:hint="eastAsia"/>
                      <w:color w:val="auto"/>
                      <w:spacing w:val="4"/>
                      <w:kern w:val="0"/>
                      <w:sz w:val="21"/>
                      <w:szCs w:val="21"/>
                    </w:rPr>
                  </w:pPr>
                  <w:r>
                    <w:rPr>
                      <w:rFonts w:hint="eastAsia"/>
                      <w:color w:val="auto"/>
                      <w:spacing w:val="4"/>
                      <w:kern w:val="0"/>
                      <w:sz w:val="21"/>
                      <w:szCs w:val="21"/>
                    </w:rPr>
                    <w:t>废吸油毡</w:t>
                  </w:r>
                </w:p>
              </w:tc>
              <w:tc>
                <w:tcPr>
                  <w:tcW w:w="1266" w:type="pct"/>
                  <w:vMerge w:val="restart"/>
                  <w:noWrap w:val="0"/>
                  <w:vAlign w:val="center"/>
                </w:tcPr>
                <w:p w14:paraId="2B5B8037">
                  <w:pPr>
                    <w:keepNext w:val="0"/>
                    <w:keepLines w:val="0"/>
                    <w:pageBreakBefore w:val="0"/>
                    <w:widowControl w:val="0"/>
                    <w:tabs>
                      <w:tab w:val="left" w:pos="1110"/>
                    </w:tabs>
                    <w:kinsoku/>
                    <w:wordWrap/>
                    <w:overflowPunct/>
                    <w:topLinePunct w:val="0"/>
                    <w:autoSpaceDE/>
                    <w:autoSpaceDN/>
                    <w:bidi w:val="0"/>
                    <w:adjustRightInd/>
                    <w:snapToGrid w:val="0"/>
                    <w:spacing w:line="240" w:lineRule="auto"/>
                    <w:ind w:left="0" w:leftChars="0" w:firstLine="0" w:firstLineChars="0"/>
                    <w:jc w:val="center"/>
                    <w:textAlignment w:val="auto"/>
                    <w:rPr>
                      <w:rFonts w:hint="eastAsia"/>
                      <w:color w:val="auto"/>
                      <w:spacing w:val="4"/>
                      <w:kern w:val="0"/>
                      <w:sz w:val="21"/>
                      <w:szCs w:val="21"/>
                    </w:rPr>
                  </w:pPr>
                  <w:r>
                    <w:rPr>
                      <w:color w:val="auto"/>
                      <w:sz w:val="21"/>
                      <w:szCs w:val="21"/>
                    </w:rPr>
                    <w:t>危</w:t>
                  </w:r>
                  <w:r>
                    <w:rPr>
                      <w:rFonts w:hint="eastAsia"/>
                      <w:color w:val="auto"/>
                      <w:sz w:val="21"/>
                      <w:szCs w:val="21"/>
                      <w:lang w:val="en-US" w:eastAsia="zh-CN"/>
                    </w:rPr>
                    <w:t>险</w:t>
                  </w:r>
                  <w:r>
                    <w:rPr>
                      <w:color w:val="auto"/>
                      <w:sz w:val="21"/>
                      <w:szCs w:val="21"/>
                    </w:rPr>
                    <w:t>废</w:t>
                  </w:r>
                  <w:r>
                    <w:rPr>
                      <w:rFonts w:hint="eastAsia"/>
                      <w:color w:val="auto"/>
                      <w:sz w:val="21"/>
                      <w:szCs w:val="21"/>
                      <w:lang w:val="en-US" w:eastAsia="zh-CN"/>
                    </w:rPr>
                    <w:t>物</w:t>
                  </w:r>
                  <w:r>
                    <w:rPr>
                      <w:color w:val="auto"/>
                      <w:sz w:val="21"/>
                      <w:szCs w:val="21"/>
                    </w:rPr>
                    <w:t>暂存</w:t>
                  </w:r>
                  <w:r>
                    <w:rPr>
                      <w:rFonts w:hint="eastAsia"/>
                      <w:color w:val="auto"/>
                      <w:sz w:val="21"/>
                      <w:szCs w:val="21"/>
                      <w:lang w:val="en-US" w:eastAsia="zh-CN"/>
                    </w:rPr>
                    <w:t>箱暂存</w:t>
                  </w:r>
                  <w:r>
                    <w:rPr>
                      <w:color w:val="auto"/>
                      <w:sz w:val="21"/>
                      <w:szCs w:val="21"/>
                    </w:rPr>
                    <w:t>，</w:t>
                  </w:r>
                  <w:r>
                    <w:rPr>
                      <w:rFonts w:hint="eastAsia"/>
                      <w:color w:val="auto"/>
                      <w:sz w:val="21"/>
                      <w:szCs w:val="21"/>
                    </w:rPr>
                    <w:t>定期交由有资质的单位处置</w:t>
                  </w:r>
                </w:p>
              </w:tc>
              <w:tc>
                <w:tcPr>
                  <w:tcW w:w="559" w:type="pct"/>
                  <w:vMerge w:val="restart"/>
                  <w:noWrap w:val="0"/>
                  <w:vAlign w:val="center"/>
                </w:tcPr>
                <w:p w14:paraId="68A674BC">
                  <w:pPr>
                    <w:keepNext w:val="0"/>
                    <w:keepLines w:val="0"/>
                    <w:pageBreakBefore w:val="0"/>
                    <w:widowControl w:val="0"/>
                    <w:tabs>
                      <w:tab w:val="left" w:pos="1110"/>
                    </w:tabs>
                    <w:kinsoku/>
                    <w:wordWrap/>
                    <w:overflowPunct/>
                    <w:topLinePunct w:val="0"/>
                    <w:autoSpaceDE/>
                    <w:autoSpaceDN/>
                    <w:bidi w:val="0"/>
                    <w:adjustRightInd/>
                    <w:snapToGrid w:val="0"/>
                    <w:spacing w:line="240" w:lineRule="auto"/>
                    <w:ind w:left="0" w:leftChars="0" w:firstLine="0" w:firstLineChars="0"/>
                    <w:jc w:val="center"/>
                    <w:textAlignment w:val="auto"/>
                    <w:rPr>
                      <w:rFonts w:hint="eastAsia" w:eastAsia="宋体"/>
                      <w:color w:val="auto"/>
                      <w:spacing w:val="4"/>
                      <w:kern w:val="0"/>
                      <w:sz w:val="21"/>
                      <w:szCs w:val="21"/>
                      <w:lang w:val="en-US" w:eastAsia="zh-CN"/>
                    </w:rPr>
                  </w:pPr>
                  <w:r>
                    <w:rPr>
                      <w:rFonts w:hint="eastAsia"/>
                      <w:color w:val="auto"/>
                      <w:spacing w:val="4"/>
                      <w:kern w:val="0"/>
                      <w:sz w:val="21"/>
                      <w:szCs w:val="21"/>
                      <w:lang w:val="en-US" w:eastAsia="zh-CN"/>
                    </w:rPr>
                    <w:t>4</w:t>
                  </w:r>
                </w:p>
              </w:tc>
              <w:tc>
                <w:tcPr>
                  <w:tcW w:w="1656" w:type="pct"/>
                  <w:vMerge w:val="restart"/>
                  <w:noWrap w:val="0"/>
                  <w:vAlign w:val="center"/>
                </w:tcPr>
                <w:p w14:paraId="062A61AF">
                  <w:pPr>
                    <w:keepNext w:val="0"/>
                    <w:keepLines w:val="0"/>
                    <w:pageBreakBefore w:val="0"/>
                    <w:widowControl w:val="0"/>
                    <w:tabs>
                      <w:tab w:val="left" w:pos="1110"/>
                    </w:tabs>
                    <w:kinsoku/>
                    <w:wordWrap/>
                    <w:overflowPunct/>
                    <w:topLinePunct w:val="0"/>
                    <w:autoSpaceDE/>
                    <w:autoSpaceDN/>
                    <w:bidi w:val="0"/>
                    <w:adjustRightInd/>
                    <w:snapToGrid w:val="0"/>
                    <w:spacing w:line="240" w:lineRule="auto"/>
                    <w:ind w:left="0" w:leftChars="0" w:firstLine="0" w:firstLineChars="0"/>
                    <w:jc w:val="center"/>
                    <w:textAlignment w:val="auto"/>
                    <w:rPr>
                      <w:rFonts w:hint="eastAsia"/>
                      <w:color w:val="auto"/>
                      <w:spacing w:val="4"/>
                      <w:kern w:val="0"/>
                      <w:sz w:val="21"/>
                      <w:szCs w:val="21"/>
                    </w:rPr>
                  </w:pPr>
                  <w:r>
                    <w:rPr>
                      <w:rFonts w:hint="eastAsia"/>
                      <w:color w:val="auto"/>
                      <w:sz w:val="21"/>
                      <w:szCs w:val="21"/>
                    </w:rPr>
                    <w:t>《危险废物贮存污染控制标准》（GB18597-2023）</w:t>
                  </w:r>
                </w:p>
              </w:tc>
              <w:tc>
                <w:tcPr>
                  <w:tcW w:w="363" w:type="pct"/>
                  <w:vMerge w:val="continue"/>
                  <w:noWrap w:val="0"/>
                  <w:vAlign w:val="center"/>
                </w:tcPr>
                <w:p w14:paraId="02E7F7AA">
                  <w:pPr>
                    <w:keepNext w:val="0"/>
                    <w:keepLines w:val="0"/>
                    <w:pageBreakBefore w:val="0"/>
                    <w:widowControl w:val="0"/>
                    <w:tabs>
                      <w:tab w:val="left" w:pos="1110"/>
                    </w:tabs>
                    <w:kinsoku/>
                    <w:wordWrap/>
                    <w:overflowPunct/>
                    <w:topLinePunct w:val="0"/>
                    <w:autoSpaceDE/>
                    <w:autoSpaceDN/>
                    <w:bidi w:val="0"/>
                    <w:adjustRightInd/>
                    <w:snapToGrid w:val="0"/>
                    <w:spacing w:line="240" w:lineRule="auto"/>
                    <w:ind w:left="0" w:leftChars="0" w:firstLine="0" w:firstLineChars="0"/>
                    <w:jc w:val="center"/>
                    <w:textAlignment w:val="auto"/>
                    <w:rPr>
                      <w:rFonts w:hint="eastAsia"/>
                      <w:color w:val="auto"/>
                      <w:spacing w:val="4"/>
                      <w:kern w:val="0"/>
                      <w:sz w:val="21"/>
                      <w:szCs w:val="21"/>
                    </w:rPr>
                  </w:pPr>
                </w:p>
              </w:tc>
            </w:tr>
            <w:tr w14:paraId="0B97BA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5" w:type="pct"/>
                  <w:vMerge w:val="continue"/>
                  <w:noWrap w:val="0"/>
                  <w:vAlign w:val="center"/>
                </w:tcPr>
                <w:p w14:paraId="7D4F8AD9">
                  <w:pPr>
                    <w:keepNext w:val="0"/>
                    <w:keepLines w:val="0"/>
                    <w:pageBreakBefore w:val="0"/>
                    <w:widowControl w:val="0"/>
                    <w:tabs>
                      <w:tab w:val="left" w:pos="1110"/>
                    </w:tabs>
                    <w:kinsoku/>
                    <w:wordWrap/>
                    <w:overflowPunct/>
                    <w:topLinePunct w:val="0"/>
                    <w:autoSpaceDE/>
                    <w:autoSpaceDN/>
                    <w:bidi w:val="0"/>
                    <w:adjustRightInd/>
                    <w:snapToGrid w:val="0"/>
                    <w:spacing w:line="240" w:lineRule="auto"/>
                    <w:ind w:left="0" w:leftChars="0" w:firstLine="0" w:firstLineChars="0"/>
                    <w:jc w:val="center"/>
                    <w:textAlignment w:val="auto"/>
                  </w:pPr>
                </w:p>
              </w:tc>
              <w:tc>
                <w:tcPr>
                  <w:tcW w:w="798" w:type="pct"/>
                  <w:noWrap w:val="0"/>
                  <w:vAlign w:val="center"/>
                </w:tcPr>
                <w:p w14:paraId="7F5DDD55">
                  <w:pPr>
                    <w:keepNext w:val="0"/>
                    <w:keepLines w:val="0"/>
                    <w:pageBreakBefore w:val="0"/>
                    <w:widowControl w:val="0"/>
                    <w:tabs>
                      <w:tab w:val="left" w:pos="1110"/>
                    </w:tabs>
                    <w:kinsoku/>
                    <w:wordWrap/>
                    <w:overflowPunct/>
                    <w:topLinePunct w:val="0"/>
                    <w:autoSpaceDE/>
                    <w:autoSpaceDN/>
                    <w:bidi w:val="0"/>
                    <w:adjustRightInd/>
                    <w:snapToGrid w:val="0"/>
                    <w:spacing w:line="240" w:lineRule="auto"/>
                    <w:ind w:left="0" w:leftChars="0" w:firstLine="0" w:firstLineChars="0"/>
                    <w:jc w:val="center"/>
                    <w:textAlignment w:val="auto"/>
                    <w:rPr>
                      <w:rFonts w:hint="default" w:eastAsia="宋体"/>
                      <w:color w:val="auto"/>
                      <w:spacing w:val="4"/>
                      <w:kern w:val="0"/>
                      <w:sz w:val="21"/>
                      <w:szCs w:val="21"/>
                      <w:lang w:val="en-US" w:eastAsia="zh-CN"/>
                    </w:rPr>
                  </w:pPr>
                  <w:r>
                    <w:rPr>
                      <w:rFonts w:hint="eastAsia"/>
                      <w:color w:val="auto"/>
                      <w:spacing w:val="4"/>
                      <w:kern w:val="0"/>
                      <w:sz w:val="21"/>
                      <w:szCs w:val="21"/>
                      <w:lang w:val="en-US" w:eastAsia="zh-CN"/>
                    </w:rPr>
                    <w:t>废滤芯</w:t>
                  </w:r>
                </w:p>
              </w:tc>
              <w:tc>
                <w:tcPr>
                  <w:tcW w:w="1266" w:type="pct"/>
                  <w:vMerge w:val="continue"/>
                  <w:noWrap w:val="0"/>
                  <w:vAlign w:val="center"/>
                </w:tcPr>
                <w:p w14:paraId="349A27B1">
                  <w:pPr>
                    <w:keepNext w:val="0"/>
                    <w:keepLines w:val="0"/>
                    <w:pageBreakBefore w:val="0"/>
                    <w:widowControl w:val="0"/>
                    <w:tabs>
                      <w:tab w:val="left" w:pos="1110"/>
                    </w:tabs>
                    <w:kinsoku/>
                    <w:wordWrap/>
                    <w:overflowPunct/>
                    <w:topLinePunct w:val="0"/>
                    <w:autoSpaceDE/>
                    <w:autoSpaceDN/>
                    <w:bidi w:val="0"/>
                    <w:adjustRightInd/>
                    <w:snapToGrid w:val="0"/>
                    <w:spacing w:line="240" w:lineRule="auto"/>
                    <w:ind w:left="0" w:leftChars="0" w:firstLine="0" w:firstLineChars="0"/>
                    <w:jc w:val="center"/>
                    <w:textAlignment w:val="auto"/>
                    <w:rPr>
                      <w:rFonts w:hint="eastAsia"/>
                      <w:color w:val="auto"/>
                      <w:spacing w:val="4"/>
                      <w:kern w:val="0"/>
                      <w:sz w:val="21"/>
                      <w:szCs w:val="21"/>
                    </w:rPr>
                  </w:pPr>
                </w:p>
              </w:tc>
              <w:tc>
                <w:tcPr>
                  <w:tcW w:w="559" w:type="pct"/>
                  <w:vMerge w:val="continue"/>
                  <w:noWrap w:val="0"/>
                  <w:vAlign w:val="center"/>
                </w:tcPr>
                <w:p w14:paraId="39DFECF2">
                  <w:pPr>
                    <w:keepNext w:val="0"/>
                    <w:keepLines w:val="0"/>
                    <w:pageBreakBefore w:val="0"/>
                    <w:widowControl w:val="0"/>
                    <w:tabs>
                      <w:tab w:val="left" w:pos="1110"/>
                    </w:tabs>
                    <w:kinsoku/>
                    <w:wordWrap/>
                    <w:overflowPunct/>
                    <w:topLinePunct w:val="0"/>
                    <w:autoSpaceDE/>
                    <w:autoSpaceDN/>
                    <w:bidi w:val="0"/>
                    <w:adjustRightInd/>
                    <w:snapToGrid w:val="0"/>
                    <w:spacing w:line="240" w:lineRule="auto"/>
                    <w:ind w:left="0" w:leftChars="0" w:firstLine="0" w:firstLineChars="0"/>
                    <w:jc w:val="center"/>
                    <w:textAlignment w:val="auto"/>
                    <w:rPr>
                      <w:rFonts w:hint="eastAsia"/>
                      <w:color w:val="auto"/>
                      <w:spacing w:val="4"/>
                      <w:kern w:val="0"/>
                      <w:sz w:val="21"/>
                      <w:szCs w:val="21"/>
                    </w:rPr>
                  </w:pPr>
                </w:p>
              </w:tc>
              <w:tc>
                <w:tcPr>
                  <w:tcW w:w="1656" w:type="pct"/>
                  <w:vMerge w:val="continue"/>
                  <w:noWrap w:val="0"/>
                  <w:vAlign w:val="center"/>
                </w:tcPr>
                <w:p w14:paraId="73E0934B">
                  <w:pPr>
                    <w:keepNext w:val="0"/>
                    <w:keepLines w:val="0"/>
                    <w:pageBreakBefore w:val="0"/>
                    <w:widowControl w:val="0"/>
                    <w:tabs>
                      <w:tab w:val="left" w:pos="1110"/>
                    </w:tabs>
                    <w:kinsoku/>
                    <w:wordWrap/>
                    <w:overflowPunct/>
                    <w:topLinePunct w:val="0"/>
                    <w:autoSpaceDE/>
                    <w:autoSpaceDN/>
                    <w:bidi w:val="0"/>
                    <w:adjustRightInd/>
                    <w:snapToGrid w:val="0"/>
                    <w:spacing w:line="240" w:lineRule="auto"/>
                    <w:ind w:left="0" w:leftChars="0" w:firstLine="0" w:firstLineChars="0"/>
                    <w:jc w:val="center"/>
                    <w:textAlignment w:val="auto"/>
                    <w:rPr>
                      <w:rFonts w:hint="eastAsia"/>
                      <w:color w:val="auto"/>
                      <w:spacing w:val="4"/>
                      <w:kern w:val="0"/>
                      <w:sz w:val="21"/>
                      <w:szCs w:val="21"/>
                    </w:rPr>
                  </w:pPr>
                </w:p>
              </w:tc>
              <w:tc>
                <w:tcPr>
                  <w:tcW w:w="363" w:type="pct"/>
                  <w:vMerge w:val="continue"/>
                  <w:noWrap w:val="0"/>
                  <w:vAlign w:val="center"/>
                </w:tcPr>
                <w:p w14:paraId="5B6D8B47">
                  <w:pPr>
                    <w:keepNext w:val="0"/>
                    <w:keepLines w:val="0"/>
                    <w:pageBreakBefore w:val="0"/>
                    <w:widowControl w:val="0"/>
                    <w:tabs>
                      <w:tab w:val="left" w:pos="1110"/>
                    </w:tabs>
                    <w:kinsoku/>
                    <w:wordWrap/>
                    <w:overflowPunct/>
                    <w:topLinePunct w:val="0"/>
                    <w:autoSpaceDE/>
                    <w:autoSpaceDN/>
                    <w:bidi w:val="0"/>
                    <w:adjustRightInd/>
                    <w:snapToGrid w:val="0"/>
                    <w:spacing w:line="240" w:lineRule="auto"/>
                    <w:ind w:left="0" w:leftChars="0" w:firstLine="0" w:firstLineChars="0"/>
                    <w:jc w:val="center"/>
                    <w:textAlignment w:val="auto"/>
                    <w:rPr>
                      <w:rFonts w:hint="eastAsia"/>
                      <w:color w:val="auto"/>
                      <w:spacing w:val="4"/>
                      <w:kern w:val="0"/>
                      <w:sz w:val="21"/>
                      <w:szCs w:val="21"/>
                    </w:rPr>
                  </w:pPr>
                </w:p>
              </w:tc>
            </w:tr>
            <w:tr w14:paraId="2821C7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355" w:type="pct"/>
                  <w:vMerge w:val="continue"/>
                  <w:noWrap w:val="0"/>
                  <w:vAlign w:val="center"/>
                </w:tcPr>
                <w:p w14:paraId="2FEE8B40">
                  <w:pPr>
                    <w:keepNext w:val="0"/>
                    <w:keepLines w:val="0"/>
                    <w:pageBreakBefore w:val="0"/>
                    <w:widowControl w:val="0"/>
                    <w:tabs>
                      <w:tab w:val="left" w:pos="1110"/>
                    </w:tabs>
                    <w:kinsoku/>
                    <w:wordWrap/>
                    <w:overflowPunct/>
                    <w:topLinePunct w:val="0"/>
                    <w:autoSpaceDE/>
                    <w:autoSpaceDN/>
                    <w:bidi w:val="0"/>
                    <w:adjustRightInd/>
                    <w:snapToGrid w:val="0"/>
                    <w:spacing w:line="240" w:lineRule="auto"/>
                    <w:ind w:left="0" w:leftChars="0" w:firstLine="0" w:firstLineChars="0"/>
                    <w:jc w:val="center"/>
                    <w:textAlignment w:val="auto"/>
                  </w:pPr>
                </w:p>
              </w:tc>
              <w:tc>
                <w:tcPr>
                  <w:tcW w:w="798" w:type="pct"/>
                  <w:noWrap w:val="0"/>
                  <w:vAlign w:val="center"/>
                </w:tcPr>
                <w:p w14:paraId="2759296A">
                  <w:pPr>
                    <w:keepNext w:val="0"/>
                    <w:keepLines w:val="0"/>
                    <w:pageBreakBefore w:val="0"/>
                    <w:widowControl w:val="0"/>
                    <w:tabs>
                      <w:tab w:val="left" w:pos="1110"/>
                    </w:tabs>
                    <w:kinsoku/>
                    <w:wordWrap/>
                    <w:overflowPunct/>
                    <w:topLinePunct w:val="0"/>
                    <w:autoSpaceDE/>
                    <w:autoSpaceDN/>
                    <w:bidi w:val="0"/>
                    <w:adjustRightInd/>
                    <w:snapToGrid w:val="0"/>
                    <w:spacing w:line="240" w:lineRule="auto"/>
                    <w:ind w:left="0" w:leftChars="0" w:firstLine="0" w:firstLineChars="0"/>
                    <w:jc w:val="center"/>
                    <w:textAlignment w:val="auto"/>
                    <w:rPr>
                      <w:rFonts w:hint="default"/>
                      <w:color w:val="auto"/>
                      <w:spacing w:val="4"/>
                      <w:kern w:val="0"/>
                      <w:sz w:val="21"/>
                      <w:szCs w:val="21"/>
                      <w:lang w:val="en-US" w:eastAsia="zh-CN"/>
                    </w:rPr>
                  </w:pPr>
                  <w:r>
                    <w:rPr>
                      <w:rFonts w:hint="eastAsia"/>
                      <w:color w:val="auto"/>
                      <w:spacing w:val="4"/>
                      <w:kern w:val="0"/>
                      <w:sz w:val="21"/>
                      <w:szCs w:val="21"/>
                      <w:lang w:val="en-US" w:eastAsia="zh-CN"/>
                    </w:rPr>
                    <w:t>废含油抹布手套</w:t>
                  </w:r>
                </w:p>
              </w:tc>
              <w:tc>
                <w:tcPr>
                  <w:tcW w:w="1266" w:type="pct"/>
                  <w:vMerge w:val="continue"/>
                  <w:noWrap w:val="0"/>
                  <w:vAlign w:val="center"/>
                </w:tcPr>
                <w:p w14:paraId="33DFFED8">
                  <w:pPr>
                    <w:keepNext w:val="0"/>
                    <w:keepLines w:val="0"/>
                    <w:pageBreakBefore w:val="0"/>
                    <w:widowControl w:val="0"/>
                    <w:tabs>
                      <w:tab w:val="left" w:pos="1110"/>
                    </w:tabs>
                    <w:kinsoku/>
                    <w:wordWrap/>
                    <w:overflowPunct/>
                    <w:topLinePunct w:val="0"/>
                    <w:autoSpaceDE/>
                    <w:autoSpaceDN/>
                    <w:bidi w:val="0"/>
                    <w:adjustRightInd/>
                    <w:snapToGrid w:val="0"/>
                    <w:spacing w:line="240" w:lineRule="auto"/>
                    <w:ind w:left="0" w:leftChars="0" w:firstLine="0" w:firstLineChars="0"/>
                    <w:jc w:val="center"/>
                    <w:textAlignment w:val="auto"/>
                    <w:rPr>
                      <w:rFonts w:hint="eastAsia"/>
                      <w:color w:val="auto"/>
                      <w:spacing w:val="4"/>
                      <w:kern w:val="0"/>
                      <w:sz w:val="21"/>
                      <w:szCs w:val="21"/>
                      <w:lang w:val="en-US" w:eastAsia="zh-CN"/>
                    </w:rPr>
                  </w:pPr>
                </w:p>
              </w:tc>
              <w:tc>
                <w:tcPr>
                  <w:tcW w:w="559" w:type="pct"/>
                  <w:vMerge w:val="continue"/>
                  <w:noWrap w:val="0"/>
                  <w:vAlign w:val="center"/>
                </w:tcPr>
                <w:p w14:paraId="79534A36">
                  <w:pPr>
                    <w:keepNext w:val="0"/>
                    <w:keepLines w:val="0"/>
                    <w:pageBreakBefore w:val="0"/>
                    <w:widowControl w:val="0"/>
                    <w:tabs>
                      <w:tab w:val="left" w:pos="1110"/>
                    </w:tabs>
                    <w:kinsoku/>
                    <w:wordWrap/>
                    <w:overflowPunct/>
                    <w:topLinePunct w:val="0"/>
                    <w:autoSpaceDE/>
                    <w:autoSpaceDN/>
                    <w:bidi w:val="0"/>
                    <w:adjustRightInd/>
                    <w:snapToGrid w:val="0"/>
                    <w:spacing w:line="240" w:lineRule="auto"/>
                    <w:ind w:left="0" w:leftChars="0" w:firstLine="0" w:firstLineChars="0"/>
                    <w:jc w:val="center"/>
                    <w:textAlignment w:val="auto"/>
                    <w:rPr>
                      <w:rFonts w:hint="eastAsia"/>
                      <w:color w:val="auto"/>
                      <w:spacing w:val="4"/>
                      <w:kern w:val="0"/>
                      <w:sz w:val="21"/>
                      <w:szCs w:val="21"/>
                      <w:lang w:val="en-US" w:eastAsia="zh-CN"/>
                    </w:rPr>
                  </w:pPr>
                </w:p>
              </w:tc>
              <w:tc>
                <w:tcPr>
                  <w:tcW w:w="1656" w:type="pct"/>
                  <w:vMerge w:val="continue"/>
                  <w:noWrap w:val="0"/>
                  <w:vAlign w:val="center"/>
                </w:tcPr>
                <w:p w14:paraId="78E7DADC">
                  <w:pPr>
                    <w:keepNext w:val="0"/>
                    <w:keepLines w:val="0"/>
                    <w:pageBreakBefore w:val="0"/>
                    <w:widowControl w:val="0"/>
                    <w:tabs>
                      <w:tab w:val="left" w:pos="1110"/>
                    </w:tabs>
                    <w:kinsoku/>
                    <w:wordWrap/>
                    <w:overflowPunct/>
                    <w:topLinePunct w:val="0"/>
                    <w:autoSpaceDE/>
                    <w:autoSpaceDN/>
                    <w:bidi w:val="0"/>
                    <w:adjustRightInd/>
                    <w:snapToGrid w:val="0"/>
                    <w:spacing w:line="240" w:lineRule="auto"/>
                    <w:ind w:left="0" w:leftChars="0" w:firstLine="0" w:firstLineChars="0"/>
                    <w:jc w:val="center"/>
                    <w:textAlignment w:val="auto"/>
                    <w:rPr>
                      <w:rFonts w:hint="eastAsia"/>
                      <w:color w:val="auto"/>
                      <w:spacing w:val="4"/>
                      <w:kern w:val="0"/>
                      <w:sz w:val="21"/>
                      <w:szCs w:val="21"/>
                      <w:lang w:val="en-US" w:eastAsia="zh-CN"/>
                    </w:rPr>
                  </w:pPr>
                </w:p>
              </w:tc>
              <w:tc>
                <w:tcPr>
                  <w:tcW w:w="363" w:type="pct"/>
                  <w:vMerge w:val="continue"/>
                  <w:noWrap w:val="0"/>
                  <w:vAlign w:val="center"/>
                </w:tcPr>
                <w:p w14:paraId="3ADB7520">
                  <w:pPr>
                    <w:keepNext w:val="0"/>
                    <w:keepLines w:val="0"/>
                    <w:pageBreakBefore w:val="0"/>
                    <w:widowControl w:val="0"/>
                    <w:tabs>
                      <w:tab w:val="left" w:pos="1110"/>
                    </w:tabs>
                    <w:kinsoku/>
                    <w:wordWrap/>
                    <w:overflowPunct/>
                    <w:topLinePunct w:val="0"/>
                    <w:autoSpaceDE/>
                    <w:autoSpaceDN/>
                    <w:bidi w:val="0"/>
                    <w:adjustRightInd/>
                    <w:snapToGrid w:val="0"/>
                    <w:spacing w:line="240" w:lineRule="auto"/>
                    <w:ind w:left="0" w:leftChars="0" w:firstLine="0" w:firstLineChars="0"/>
                    <w:jc w:val="center"/>
                    <w:textAlignment w:val="auto"/>
                    <w:rPr>
                      <w:rFonts w:hint="eastAsia"/>
                      <w:color w:val="auto"/>
                      <w:spacing w:val="4"/>
                      <w:kern w:val="0"/>
                      <w:sz w:val="21"/>
                      <w:szCs w:val="21"/>
                      <w:lang w:val="en-US" w:eastAsia="zh-CN"/>
                    </w:rPr>
                  </w:pPr>
                </w:p>
              </w:tc>
            </w:tr>
            <w:tr w14:paraId="678048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5" w:type="pct"/>
                  <w:vMerge w:val="continue"/>
                  <w:noWrap w:val="0"/>
                  <w:vAlign w:val="center"/>
                </w:tcPr>
                <w:p w14:paraId="2BDF4F5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auto"/>
                      <w:sz w:val="21"/>
                      <w:szCs w:val="21"/>
                    </w:rPr>
                  </w:pPr>
                </w:p>
              </w:tc>
              <w:tc>
                <w:tcPr>
                  <w:tcW w:w="798" w:type="pct"/>
                  <w:noWrap w:val="0"/>
                  <w:vAlign w:val="center"/>
                </w:tcPr>
                <w:p w14:paraId="6413A7F9">
                  <w:pPr>
                    <w:keepNext w:val="0"/>
                    <w:keepLines w:val="0"/>
                    <w:pageBreakBefore w:val="0"/>
                    <w:widowControl w:val="0"/>
                    <w:tabs>
                      <w:tab w:val="left" w:pos="1110"/>
                    </w:tabs>
                    <w:kinsoku/>
                    <w:wordWrap/>
                    <w:overflowPunct/>
                    <w:topLinePunct w:val="0"/>
                    <w:autoSpaceDE/>
                    <w:autoSpaceDN/>
                    <w:bidi w:val="0"/>
                    <w:adjustRightInd/>
                    <w:snapToGrid w:val="0"/>
                    <w:spacing w:line="240" w:lineRule="auto"/>
                    <w:ind w:left="0" w:leftChars="0" w:firstLine="0" w:firstLineChars="0"/>
                    <w:jc w:val="center"/>
                    <w:textAlignment w:val="auto"/>
                    <w:rPr>
                      <w:color w:val="auto"/>
                      <w:sz w:val="21"/>
                      <w:szCs w:val="21"/>
                    </w:rPr>
                  </w:pPr>
                  <w:r>
                    <w:rPr>
                      <w:color w:val="auto"/>
                      <w:sz w:val="21"/>
                      <w:szCs w:val="21"/>
                    </w:rPr>
                    <w:t>生活垃圾</w:t>
                  </w:r>
                </w:p>
              </w:tc>
              <w:tc>
                <w:tcPr>
                  <w:tcW w:w="1266" w:type="pct"/>
                  <w:noWrap w:val="0"/>
                  <w:vAlign w:val="center"/>
                </w:tcPr>
                <w:p w14:paraId="08E30E28">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color w:val="auto"/>
                      <w:sz w:val="21"/>
                      <w:szCs w:val="21"/>
                    </w:rPr>
                  </w:pPr>
                  <w:r>
                    <w:rPr>
                      <w:rFonts w:hint="eastAsia"/>
                      <w:color w:val="auto"/>
                      <w:sz w:val="21"/>
                      <w:szCs w:val="21"/>
                      <w:lang w:val="en-US" w:eastAsia="zh-CN"/>
                    </w:rPr>
                    <w:t>委托</w:t>
                  </w:r>
                  <w:r>
                    <w:rPr>
                      <w:rFonts w:hint="eastAsia"/>
                      <w:color w:val="auto"/>
                      <w:sz w:val="21"/>
                      <w:szCs w:val="21"/>
                    </w:rPr>
                    <w:t>环卫部门处置</w:t>
                  </w:r>
                </w:p>
              </w:tc>
              <w:tc>
                <w:tcPr>
                  <w:tcW w:w="559" w:type="pct"/>
                  <w:noWrap w:val="0"/>
                  <w:vAlign w:val="center"/>
                </w:tcPr>
                <w:p w14:paraId="76126439">
                  <w:pPr>
                    <w:keepNext w:val="0"/>
                    <w:keepLines w:val="0"/>
                    <w:pageBreakBefore w:val="0"/>
                    <w:widowControl w:val="0"/>
                    <w:tabs>
                      <w:tab w:val="left" w:pos="1110"/>
                    </w:tabs>
                    <w:kinsoku/>
                    <w:wordWrap/>
                    <w:overflowPunct/>
                    <w:topLinePunct w:val="0"/>
                    <w:autoSpaceDE/>
                    <w:autoSpaceDN/>
                    <w:bidi w:val="0"/>
                    <w:adjustRightInd/>
                    <w:snapToGrid w:val="0"/>
                    <w:spacing w:line="240" w:lineRule="auto"/>
                    <w:ind w:left="0" w:leftChars="0" w:firstLine="0" w:firstLineChars="0"/>
                    <w:jc w:val="center"/>
                    <w:textAlignment w:val="auto"/>
                    <w:rPr>
                      <w:color w:val="auto"/>
                      <w:sz w:val="21"/>
                      <w:szCs w:val="21"/>
                    </w:rPr>
                  </w:pPr>
                  <w:r>
                    <w:rPr>
                      <w:rFonts w:hint="eastAsia"/>
                      <w:color w:val="auto"/>
                      <w:sz w:val="21"/>
                      <w:szCs w:val="21"/>
                    </w:rPr>
                    <w:t>3</w:t>
                  </w:r>
                </w:p>
              </w:tc>
              <w:tc>
                <w:tcPr>
                  <w:tcW w:w="1656" w:type="pct"/>
                  <w:noWrap w:val="0"/>
                  <w:vAlign w:val="center"/>
                </w:tcPr>
                <w:p w14:paraId="5D5C56AC">
                  <w:pPr>
                    <w:keepNext w:val="0"/>
                    <w:keepLines w:val="0"/>
                    <w:pageBreakBefore w:val="0"/>
                    <w:widowControl w:val="0"/>
                    <w:tabs>
                      <w:tab w:val="left" w:pos="1110"/>
                    </w:tabs>
                    <w:kinsoku/>
                    <w:wordWrap/>
                    <w:overflowPunct/>
                    <w:topLinePunct w:val="0"/>
                    <w:autoSpaceDE/>
                    <w:autoSpaceDN/>
                    <w:bidi w:val="0"/>
                    <w:adjustRightInd/>
                    <w:snapToGrid w:val="0"/>
                    <w:spacing w:line="240" w:lineRule="auto"/>
                    <w:ind w:left="0" w:leftChars="0" w:firstLine="0" w:firstLineChars="0"/>
                    <w:jc w:val="center"/>
                    <w:textAlignment w:val="auto"/>
                    <w:rPr>
                      <w:color w:val="auto"/>
                      <w:sz w:val="21"/>
                      <w:szCs w:val="21"/>
                    </w:rPr>
                  </w:pPr>
                  <w:r>
                    <w:rPr>
                      <w:rFonts w:hint="eastAsia"/>
                      <w:color w:val="auto"/>
                      <w:sz w:val="21"/>
                      <w:szCs w:val="21"/>
                    </w:rPr>
                    <w:t>《</w:t>
                  </w:r>
                  <w:r>
                    <w:rPr>
                      <w:rFonts w:hint="default" w:ascii="Times New Roman" w:hAnsi="Times New Roman" w:cs="Times New Roman"/>
                      <w:color w:val="auto"/>
                      <w:sz w:val="21"/>
                      <w:szCs w:val="21"/>
                    </w:rPr>
                    <w:t>中华人民共和国固体废物污染环境防治法》（2020年修订）“第四章 生活垃圾”之规定执行</w:t>
                  </w:r>
                </w:p>
              </w:tc>
              <w:tc>
                <w:tcPr>
                  <w:tcW w:w="363" w:type="pct"/>
                  <w:vMerge w:val="continue"/>
                  <w:noWrap w:val="0"/>
                  <w:vAlign w:val="center"/>
                </w:tcPr>
                <w:p w14:paraId="153064F5">
                  <w:pPr>
                    <w:keepNext w:val="0"/>
                    <w:keepLines w:val="0"/>
                    <w:pageBreakBefore w:val="0"/>
                    <w:widowControl w:val="0"/>
                    <w:tabs>
                      <w:tab w:val="left" w:pos="1110"/>
                    </w:tabs>
                    <w:kinsoku/>
                    <w:wordWrap/>
                    <w:overflowPunct/>
                    <w:topLinePunct w:val="0"/>
                    <w:autoSpaceDE/>
                    <w:autoSpaceDN/>
                    <w:bidi w:val="0"/>
                    <w:adjustRightInd/>
                    <w:snapToGrid w:val="0"/>
                    <w:spacing w:line="240" w:lineRule="auto"/>
                    <w:ind w:firstLine="422"/>
                    <w:jc w:val="center"/>
                    <w:textAlignment w:val="auto"/>
                    <w:rPr>
                      <w:color w:val="auto"/>
                      <w:sz w:val="21"/>
                      <w:szCs w:val="21"/>
                    </w:rPr>
                  </w:pPr>
                </w:p>
              </w:tc>
            </w:tr>
            <w:tr w14:paraId="043AB9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54" w:type="pct"/>
                  <w:gridSpan w:val="2"/>
                  <w:noWrap w:val="0"/>
                  <w:vAlign w:val="center"/>
                </w:tcPr>
                <w:p w14:paraId="330E8F5D">
                  <w:pPr>
                    <w:keepNext w:val="0"/>
                    <w:keepLines w:val="0"/>
                    <w:pageBreakBefore w:val="0"/>
                    <w:widowControl w:val="0"/>
                    <w:tabs>
                      <w:tab w:val="left" w:pos="1110"/>
                    </w:tabs>
                    <w:kinsoku/>
                    <w:wordWrap/>
                    <w:overflowPunct/>
                    <w:topLinePunct w:val="0"/>
                    <w:autoSpaceDE/>
                    <w:autoSpaceDN/>
                    <w:bidi w:val="0"/>
                    <w:adjustRightInd/>
                    <w:snapToGrid w:val="0"/>
                    <w:spacing w:line="240" w:lineRule="auto"/>
                    <w:ind w:left="0" w:leftChars="0" w:firstLine="0" w:firstLineChars="0"/>
                    <w:jc w:val="center"/>
                    <w:textAlignment w:val="auto"/>
                    <w:rPr>
                      <w:color w:val="auto"/>
                      <w:sz w:val="21"/>
                      <w:szCs w:val="21"/>
                    </w:rPr>
                  </w:pPr>
                  <w:r>
                    <w:rPr>
                      <w:rFonts w:hint="eastAsia"/>
                      <w:color w:val="auto"/>
                      <w:sz w:val="21"/>
                      <w:szCs w:val="21"/>
                    </w:rPr>
                    <w:t>地下水和土壤</w:t>
                  </w:r>
                  <w:r>
                    <w:rPr>
                      <w:rFonts w:hint="eastAsia"/>
                      <w:color w:val="auto"/>
                      <w:sz w:val="21"/>
                      <w:szCs w:val="21"/>
                      <w:lang w:val="en-US" w:eastAsia="zh-CN"/>
                    </w:rPr>
                    <w:t>污染</w:t>
                  </w:r>
                  <w:r>
                    <w:rPr>
                      <w:rFonts w:hint="eastAsia"/>
                      <w:color w:val="auto"/>
                      <w:sz w:val="21"/>
                      <w:szCs w:val="21"/>
                    </w:rPr>
                    <w:t>防治</w:t>
                  </w:r>
                </w:p>
              </w:tc>
              <w:tc>
                <w:tcPr>
                  <w:tcW w:w="1266" w:type="pct"/>
                  <w:noWrap w:val="0"/>
                  <w:vAlign w:val="center"/>
                </w:tcPr>
                <w:p w14:paraId="1B56389E">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color w:val="auto"/>
                      <w:sz w:val="21"/>
                      <w:szCs w:val="21"/>
                    </w:rPr>
                  </w:pPr>
                  <w:r>
                    <w:rPr>
                      <w:rFonts w:hint="eastAsia" w:cs="宋体"/>
                      <w:color w:val="auto"/>
                      <w:kern w:val="0"/>
                      <w:sz w:val="21"/>
                      <w:szCs w:val="21"/>
                    </w:rPr>
                    <w:t>重点防渗区：危</w:t>
                  </w:r>
                  <w:r>
                    <w:rPr>
                      <w:rFonts w:hint="eastAsia" w:cs="宋体"/>
                      <w:color w:val="auto"/>
                      <w:kern w:val="0"/>
                      <w:sz w:val="21"/>
                      <w:szCs w:val="21"/>
                      <w:lang w:val="en-US" w:eastAsia="zh-CN"/>
                    </w:rPr>
                    <w:t>险</w:t>
                  </w:r>
                  <w:r>
                    <w:rPr>
                      <w:rFonts w:hint="eastAsia" w:cs="宋体"/>
                      <w:color w:val="auto"/>
                      <w:kern w:val="0"/>
                      <w:sz w:val="21"/>
                      <w:szCs w:val="21"/>
                    </w:rPr>
                    <w:t>废</w:t>
                  </w:r>
                  <w:r>
                    <w:rPr>
                      <w:rFonts w:hint="eastAsia" w:cs="宋体"/>
                      <w:color w:val="auto"/>
                      <w:kern w:val="0"/>
                      <w:sz w:val="21"/>
                      <w:szCs w:val="21"/>
                      <w:lang w:val="en-US" w:eastAsia="zh-CN"/>
                    </w:rPr>
                    <w:t>物暂存</w:t>
                  </w:r>
                  <w:r>
                    <w:rPr>
                      <w:rFonts w:hint="eastAsia"/>
                      <w:color w:val="auto"/>
                      <w:sz w:val="21"/>
                      <w:szCs w:val="21"/>
                      <w:lang w:val="en-US" w:eastAsia="zh-CN"/>
                    </w:rPr>
                    <w:t>箱</w:t>
                  </w:r>
                  <w:r>
                    <w:rPr>
                      <w:rFonts w:hint="eastAsia" w:cs="宋体"/>
                      <w:color w:val="auto"/>
                      <w:kern w:val="0"/>
                      <w:sz w:val="21"/>
                      <w:szCs w:val="21"/>
                    </w:rPr>
                    <w:t>、</w:t>
                  </w:r>
                  <w:r>
                    <w:rPr>
                      <w:rFonts w:hint="eastAsia" w:cs="宋体"/>
                      <w:color w:val="auto"/>
                      <w:kern w:val="0"/>
                      <w:sz w:val="21"/>
                      <w:szCs w:val="21"/>
                      <w:lang w:val="en-US" w:eastAsia="zh-CN"/>
                    </w:rPr>
                    <w:t>储</w:t>
                  </w:r>
                  <w:r>
                    <w:rPr>
                      <w:rFonts w:hint="eastAsia" w:cs="宋体"/>
                      <w:color w:val="auto"/>
                      <w:kern w:val="0"/>
                      <w:sz w:val="21"/>
                      <w:szCs w:val="21"/>
                    </w:rPr>
                    <w:t>罐区、卸油区、加油区</w:t>
                  </w:r>
                  <w:r>
                    <w:rPr>
                      <w:rFonts w:hint="eastAsia" w:cs="宋体"/>
                      <w:color w:val="auto"/>
                      <w:kern w:val="0"/>
                      <w:sz w:val="21"/>
                      <w:szCs w:val="21"/>
                      <w:lang w:eastAsia="zh-CN"/>
                    </w:rPr>
                    <w:t>、</w:t>
                  </w:r>
                  <w:r>
                    <w:rPr>
                      <w:rFonts w:hint="eastAsia" w:cs="宋体"/>
                      <w:color w:val="auto"/>
                      <w:kern w:val="0"/>
                      <w:sz w:val="21"/>
                      <w:szCs w:val="21"/>
                    </w:rPr>
                    <w:t>输油管</w:t>
                  </w:r>
                  <w:r>
                    <w:rPr>
                      <w:rFonts w:hint="eastAsia" w:cs="宋体"/>
                      <w:color w:val="auto"/>
                      <w:kern w:val="0"/>
                      <w:sz w:val="21"/>
                      <w:szCs w:val="21"/>
                      <w:lang w:val="en-US" w:eastAsia="zh-CN"/>
                    </w:rPr>
                    <w:t>线区</w:t>
                  </w:r>
                  <w:r>
                    <w:rPr>
                      <w:rFonts w:hint="eastAsia" w:cs="宋体"/>
                      <w:color w:val="auto"/>
                      <w:kern w:val="0"/>
                      <w:sz w:val="21"/>
                      <w:szCs w:val="21"/>
                    </w:rPr>
                    <w:t>等；一般防渗区：排水渠、化粪池、洗车区、隔油池</w:t>
                  </w:r>
                  <w:r>
                    <w:rPr>
                      <w:rFonts w:hint="eastAsia" w:cs="宋体"/>
                      <w:color w:val="auto"/>
                      <w:kern w:val="0"/>
                      <w:sz w:val="21"/>
                      <w:szCs w:val="21"/>
                      <w:lang w:eastAsia="zh-CN"/>
                    </w:rPr>
                    <w:t>、</w:t>
                  </w:r>
                  <w:r>
                    <w:rPr>
                      <w:rFonts w:hint="eastAsia" w:cs="宋体"/>
                      <w:color w:val="auto"/>
                      <w:kern w:val="0"/>
                      <w:sz w:val="21"/>
                      <w:szCs w:val="21"/>
                      <w:lang w:val="en-US" w:eastAsia="zh-CN"/>
                    </w:rPr>
                    <w:t>一体化（MBR）洗车废水处理设施</w:t>
                  </w:r>
                  <w:r>
                    <w:rPr>
                      <w:rFonts w:hint="eastAsia" w:cs="宋体"/>
                      <w:color w:val="auto"/>
                      <w:kern w:val="0"/>
                      <w:sz w:val="21"/>
                      <w:szCs w:val="21"/>
                    </w:rPr>
                    <w:t>等；简单防渗区：站房室内地面、站内道路。重点防渗区各单元防渗层渗透系数</w:t>
                  </w:r>
                  <w:r>
                    <w:rPr>
                      <w:rFonts w:hint="default" w:ascii="Times New Roman" w:hAnsi="Times New Roman" w:cs="Times New Roman"/>
                      <w:color w:val="auto"/>
                      <w:kern w:val="0"/>
                      <w:sz w:val="21"/>
                      <w:szCs w:val="21"/>
                    </w:rPr>
                    <w:t>≤</w:t>
                  </w:r>
                  <w:r>
                    <w:rPr>
                      <w:rFonts w:cs="宋体"/>
                      <w:color w:val="auto"/>
                      <w:kern w:val="0"/>
                      <w:sz w:val="21"/>
                      <w:szCs w:val="21"/>
                    </w:rPr>
                    <w:t>10</w:t>
                  </w:r>
                  <w:r>
                    <w:rPr>
                      <w:rFonts w:cs="宋体"/>
                      <w:color w:val="auto"/>
                      <w:kern w:val="0"/>
                      <w:sz w:val="21"/>
                      <w:szCs w:val="21"/>
                      <w:vertAlign w:val="superscript"/>
                    </w:rPr>
                    <w:t>-10</w:t>
                  </w:r>
                  <w:r>
                    <w:rPr>
                      <w:rFonts w:cs="宋体"/>
                      <w:color w:val="auto"/>
                      <w:kern w:val="0"/>
                      <w:sz w:val="21"/>
                      <w:szCs w:val="21"/>
                    </w:rPr>
                    <w:t>cm/s；一般</w:t>
                  </w:r>
                  <w:r>
                    <w:rPr>
                      <w:rFonts w:hint="eastAsia" w:cs="宋体"/>
                      <w:color w:val="auto"/>
                      <w:kern w:val="0"/>
                      <w:sz w:val="21"/>
                      <w:szCs w:val="21"/>
                    </w:rPr>
                    <w:t>防渗</w:t>
                  </w:r>
                  <w:r>
                    <w:rPr>
                      <w:rFonts w:cs="宋体"/>
                      <w:color w:val="auto"/>
                      <w:kern w:val="0"/>
                      <w:sz w:val="21"/>
                      <w:szCs w:val="21"/>
                    </w:rPr>
                    <w:t>区各单元防渗层渗透系数≤10</w:t>
                  </w:r>
                  <w:r>
                    <w:rPr>
                      <w:rFonts w:cs="宋体"/>
                      <w:color w:val="auto"/>
                      <w:kern w:val="0"/>
                      <w:sz w:val="21"/>
                      <w:szCs w:val="21"/>
                      <w:vertAlign w:val="superscript"/>
                    </w:rPr>
                    <w:t>-7</w:t>
                  </w:r>
                  <w:r>
                    <w:rPr>
                      <w:rFonts w:cs="宋体"/>
                      <w:color w:val="auto"/>
                      <w:kern w:val="0"/>
                      <w:sz w:val="21"/>
                      <w:szCs w:val="21"/>
                    </w:rPr>
                    <w:t>cm/s；简单防渗</w:t>
                  </w:r>
                  <w:r>
                    <w:rPr>
                      <w:rFonts w:hint="eastAsia" w:cs="宋体"/>
                      <w:color w:val="auto"/>
                      <w:kern w:val="0"/>
                      <w:sz w:val="21"/>
                      <w:szCs w:val="21"/>
                    </w:rPr>
                    <w:t>区</w:t>
                  </w:r>
                  <w:r>
                    <w:rPr>
                      <w:rFonts w:cs="宋体"/>
                      <w:color w:val="auto"/>
                      <w:kern w:val="0"/>
                      <w:sz w:val="21"/>
                      <w:szCs w:val="21"/>
                    </w:rPr>
                    <w:t>采用水泥进行地面硬化</w:t>
                  </w:r>
                </w:p>
              </w:tc>
              <w:tc>
                <w:tcPr>
                  <w:tcW w:w="559" w:type="pct"/>
                  <w:noWrap w:val="0"/>
                  <w:vAlign w:val="center"/>
                </w:tcPr>
                <w:p w14:paraId="77EAA029">
                  <w:pPr>
                    <w:keepNext w:val="0"/>
                    <w:keepLines w:val="0"/>
                    <w:pageBreakBefore w:val="0"/>
                    <w:widowControl w:val="0"/>
                    <w:tabs>
                      <w:tab w:val="left" w:pos="1110"/>
                    </w:tabs>
                    <w:kinsoku/>
                    <w:wordWrap/>
                    <w:overflowPunct/>
                    <w:topLinePunct w:val="0"/>
                    <w:autoSpaceDE/>
                    <w:autoSpaceDN/>
                    <w:bidi w:val="0"/>
                    <w:adjustRightInd/>
                    <w:snapToGrid w:val="0"/>
                    <w:spacing w:line="240" w:lineRule="auto"/>
                    <w:ind w:left="0" w:leftChars="0" w:firstLine="0" w:firstLineChars="0"/>
                    <w:jc w:val="center"/>
                    <w:textAlignment w:val="auto"/>
                    <w:rPr>
                      <w:color w:val="auto"/>
                      <w:sz w:val="21"/>
                      <w:szCs w:val="21"/>
                    </w:rPr>
                  </w:pPr>
                  <w:r>
                    <w:rPr>
                      <w:rFonts w:hint="eastAsia"/>
                      <w:color w:val="auto"/>
                      <w:sz w:val="21"/>
                      <w:szCs w:val="21"/>
                    </w:rPr>
                    <w:t>20</w:t>
                  </w:r>
                </w:p>
              </w:tc>
              <w:tc>
                <w:tcPr>
                  <w:tcW w:w="1656" w:type="pct"/>
                  <w:noWrap w:val="0"/>
                  <w:vAlign w:val="center"/>
                </w:tcPr>
                <w:p w14:paraId="20EF7211">
                  <w:pPr>
                    <w:keepNext w:val="0"/>
                    <w:keepLines w:val="0"/>
                    <w:pageBreakBefore w:val="0"/>
                    <w:widowControl w:val="0"/>
                    <w:tabs>
                      <w:tab w:val="left" w:pos="1110"/>
                    </w:tabs>
                    <w:kinsoku/>
                    <w:wordWrap/>
                    <w:overflowPunct/>
                    <w:topLinePunct w:val="0"/>
                    <w:autoSpaceDE/>
                    <w:autoSpaceDN/>
                    <w:bidi w:val="0"/>
                    <w:adjustRightInd/>
                    <w:snapToGrid w:val="0"/>
                    <w:spacing w:line="240" w:lineRule="auto"/>
                    <w:jc w:val="center"/>
                    <w:textAlignment w:val="auto"/>
                    <w:rPr>
                      <w:rFonts w:hint="eastAsia"/>
                      <w:color w:val="auto"/>
                      <w:sz w:val="21"/>
                      <w:szCs w:val="21"/>
                    </w:rPr>
                  </w:pPr>
                  <w:r>
                    <w:rPr>
                      <w:rFonts w:hint="eastAsia"/>
                      <w:color w:val="auto"/>
                      <w:sz w:val="21"/>
                      <w:szCs w:val="21"/>
                    </w:rPr>
                    <w:t>/</w:t>
                  </w:r>
                </w:p>
              </w:tc>
              <w:tc>
                <w:tcPr>
                  <w:tcW w:w="363" w:type="pct"/>
                  <w:vMerge w:val="continue"/>
                  <w:noWrap w:val="0"/>
                  <w:vAlign w:val="center"/>
                </w:tcPr>
                <w:p w14:paraId="2F4B6125">
                  <w:pPr>
                    <w:keepNext w:val="0"/>
                    <w:keepLines w:val="0"/>
                    <w:pageBreakBefore w:val="0"/>
                    <w:widowControl w:val="0"/>
                    <w:tabs>
                      <w:tab w:val="left" w:pos="1110"/>
                    </w:tabs>
                    <w:kinsoku/>
                    <w:wordWrap/>
                    <w:overflowPunct/>
                    <w:topLinePunct w:val="0"/>
                    <w:autoSpaceDE/>
                    <w:autoSpaceDN/>
                    <w:bidi w:val="0"/>
                    <w:adjustRightInd/>
                    <w:snapToGrid w:val="0"/>
                    <w:spacing w:line="240" w:lineRule="auto"/>
                    <w:ind w:firstLine="422"/>
                    <w:jc w:val="center"/>
                    <w:textAlignment w:val="auto"/>
                    <w:rPr>
                      <w:color w:val="auto"/>
                      <w:sz w:val="21"/>
                      <w:szCs w:val="21"/>
                    </w:rPr>
                  </w:pPr>
                </w:p>
              </w:tc>
            </w:tr>
            <w:tr w14:paraId="606CBD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54" w:type="pct"/>
                  <w:gridSpan w:val="2"/>
                  <w:noWrap w:val="0"/>
                  <w:vAlign w:val="center"/>
                </w:tcPr>
                <w:p w14:paraId="0C5A52EC">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color w:val="auto"/>
                      <w:sz w:val="21"/>
                      <w:szCs w:val="21"/>
                    </w:rPr>
                  </w:pPr>
                  <w:r>
                    <w:rPr>
                      <w:rFonts w:hint="eastAsia"/>
                      <w:color w:val="auto"/>
                      <w:sz w:val="21"/>
                      <w:szCs w:val="21"/>
                    </w:rPr>
                    <w:t>风险应急物资配备</w:t>
                  </w:r>
                </w:p>
              </w:tc>
              <w:tc>
                <w:tcPr>
                  <w:tcW w:w="1266" w:type="pct"/>
                  <w:noWrap w:val="0"/>
                  <w:vAlign w:val="center"/>
                </w:tcPr>
                <w:p w14:paraId="5CDAB988">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color w:val="auto"/>
                      <w:sz w:val="21"/>
                      <w:szCs w:val="21"/>
                    </w:rPr>
                  </w:pPr>
                  <w:r>
                    <w:rPr>
                      <w:rFonts w:cs="宋体"/>
                      <w:color w:val="auto"/>
                      <w:kern w:val="0"/>
                      <w:sz w:val="21"/>
                      <w:szCs w:val="21"/>
                    </w:rPr>
                    <w:t>灭火毯</w:t>
                  </w:r>
                  <w:r>
                    <w:rPr>
                      <w:rFonts w:hint="eastAsia" w:cs="宋体"/>
                      <w:color w:val="auto"/>
                      <w:kern w:val="0"/>
                      <w:sz w:val="21"/>
                      <w:szCs w:val="21"/>
                    </w:rPr>
                    <w:t>5块</w:t>
                  </w:r>
                  <w:r>
                    <w:rPr>
                      <w:rFonts w:hint="eastAsia" w:cs="宋体"/>
                      <w:color w:val="auto"/>
                      <w:kern w:val="0"/>
                      <w:sz w:val="21"/>
                      <w:szCs w:val="21"/>
                      <w:lang w:eastAsia="zh-CN"/>
                    </w:rPr>
                    <w:t>、</w:t>
                  </w:r>
                  <w:r>
                    <w:rPr>
                      <w:rFonts w:hint="eastAsia" w:cs="宋体"/>
                      <w:color w:val="auto"/>
                      <w:kern w:val="0"/>
                      <w:sz w:val="21"/>
                      <w:szCs w:val="21"/>
                    </w:rPr>
                    <w:t>5</w:t>
                  </w:r>
                  <w:r>
                    <w:rPr>
                      <w:rFonts w:cs="宋体"/>
                      <w:color w:val="auto"/>
                      <w:kern w:val="0"/>
                      <w:sz w:val="21"/>
                      <w:szCs w:val="21"/>
                    </w:rPr>
                    <w:t>kg</w:t>
                  </w:r>
                  <w:r>
                    <w:rPr>
                      <w:rFonts w:hint="eastAsia" w:cs="宋体"/>
                      <w:color w:val="auto"/>
                      <w:kern w:val="0"/>
                      <w:sz w:val="21"/>
                      <w:szCs w:val="21"/>
                    </w:rPr>
                    <w:t>手提式</w:t>
                  </w:r>
                  <w:r>
                    <w:rPr>
                      <w:rFonts w:cs="宋体"/>
                      <w:color w:val="auto"/>
                      <w:kern w:val="0"/>
                      <w:sz w:val="21"/>
                      <w:szCs w:val="21"/>
                    </w:rPr>
                    <w:t>干粉</w:t>
                  </w:r>
                  <w:r>
                    <w:rPr>
                      <w:rFonts w:hint="eastAsia" w:cs="宋体"/>
                      <w:color w:val="auto"/>
                      <w:kern w:val="0"/>
                      <w:sz w:val="21"/>
                      <w:szCs w:val="21"/>
                    </w:rPr>
                    <w:t>灭火器</w:t>
                  </w:r>
                  <w:r>
                    <w:rPr>
                      <w:rFonts w:hint="eastAsia" w:cs="宋体"/>
                      <w:color w:val="auto"/>
                      <w:kern w:val="0"/>
                      <w:sz w:val="21"/>
                      <w:szCs w:val="21"/>
                      <w:lang w:val="en-US" w:eastAsia="zh-CN"/>
                    </w:rPr>
                    <w:t>18个</w:t>
                  </w:r>
                  <w:r>
                    <w:rPr>
                      <w:rFonts w:hint="eastAsia" w:cs="宋体"/>
                      <w:color w:val="auto"/>
                      <w:kern w:val="0"/>
                      <w:sz w:val="21"/>
                      <w:szCs w:val="21"/>
                      <w:lang w:eastAsia="zh-CN"/>
                    </w:rPr>
                    <w:t>、</w:t>
                  </w:r>
                  <w:r>
                    <w:rPr>
                      <w:rFonts w:hint="eastAsia" w:cs="宋体"/>
                      <w:color w:val="auto"/>
                      <w:kern w:val="0"/>
                      <w:sz w:val="21"/>
                      <w:szCs w:val="21"/>
                    </w:rPr>
                    <w:t>50</w:t>
                  </w:r>
                  <w:r>
                    <w:rPr>
                      <w:rFonts w:cs="宋体"/>
                      <w:color w:val="auto"/>
                      <w:kern w:val="0"/>
                      <w:sz w:val="21"/>
                      <w:szCs w:val="21"/>
                    </w:rPr>
                    <w:t>kg</w:t>
                  </w:r>
                  <w:r>
                    <w:rPr>
                      <w:rFonts w:hint="eastAsia" w:cs="宋体"/>
                      <w:color w:val="auto"/>
                      <w:kern w:val="0"/>
                      <w:sz w:val="21"/>
                      <w:szCs w:val="21"/>
                    </w:rPr>
                    <w:t>推车式</w:t>
                  </w:r>
                  <w:r>
                    <w:rPr>
                      <w:rFonts w:cs="宋体"/>
                      <w:color w:val="auto"/>
                      <w:kern w:val="0"/>
                      <w:sz w:val="21"/>
                      <w:szCs w:val="21"/>
                    </w:rPr>
                    <w:t>干粉灭火器</w:t>
                  </w:r>
                  <w:r>
                    <w:rPr>
                      <w:rFonts w:hint="eastAsia" w:cs="宋体"/>
                      <w:color w:val="auto"/>
                      <w:kern w:val="0"/>
                      <w:sz w:val="21"/>
                      <w:szCs w:val="21"/>
                    </w:rPr>
                    <w:t>1台</w:t>
                  </w:r>
                  <w:r>
                    <w:rPr>
                      <w:rFonts w:hint="eastAsia" w:cs="宋体"/>
                      <w:color w:val="auto"/>
                      <w:kern w:val="0"/>
                      <w:sz w:val="21"/>
                      <w:szCs w:val="21"/>
                      <w:lang w:eastAsia="zh-CN"/>
                    </w:rPr>
                    <w:t>、</w:t>
                  </w:r>
                  <w:r>
                    <w:rPr>
                      <w:rFonts w:cs="宋体"/>
                      <w:color w:val="auto"/>
                      <w:kern w:val="0"/>
                      <w:sz w:val="21"/>
                      <w:szCs w:val="21"/>
                    </w:rPr>
                    <w:t>消防沙</w:t>
                  </w:r>
                  <w:r>
                    <w:rPr>
                      <w:rFonts w:hint="eastAsia" w:cs="宋体"/>
                      <w:color w:val="auto"/>
                      <w:kern w:val="0"/>
                      <w:sz w:val="21"/>
                      <w:szCs w:val="21"/>
                      <w:lang w:val="en-US" w:eastAsia="zh-CN"/>
                    </w:rPr>
                    <w:t>箱（</w:t>
                  </w:r>
                  <w:r>
                    <w:rPr>
                      <w:rFonts w:hint="eastAsia" w:cs="宋体"/>
                      <w:color w:val="auto"/>
                      <w:kern w:val="0"/>
                      <w:sz w:val="21"/>
                      <w:szCs w:val="21"/>
                    </w:rPr>
                    <w:t>2</w:t>
                  </w:r>
                  <w:r>
                    <w:rPr>
                      <w:rFonts w:cs="宋体"/>
                      <w:color w:val="auto"/>
                      <w:kern w:val="0"/>
                      <w:sz w:val="21"/>
                      <w:szCs w:val="21"/>
                    </w:rPr>
                    <w:t>m</w:t>
                  </w:r>
                  <w:r>
                    <w:rPr>
                      <w:rFonts w:cs="宋体"/>
                      <w:color w:val="auto"/>
                      <w:kern w:val="0"/>
                      <w:sz w:val="21"/>
                      <w:szCs w:val="21"/>
                      <w:vertAlign w:val="superscript"/>
                    </w:rPr>
                    <w:t>3</w:t>
                  </w:r>
                  <w:r>
                    <w:rPr>
                      <w:rFonts w:hint="eastAsia" w:cs="宋体"/>
                      <w:color w:val="auto"/>
                      <w:kern w:val="0"/>
                      <w:sz w:val="21"/>
                      <w:szCs w:val="21"/>
                      <w:lang w:val="en-US" w:eastAsia="zh-CN"/>
                    </w:rPr>
                    <w:t>）一个、消防铲3个、消防桶3个</w:t>
                  </w:r>
                  <w:r>
                    <w:rPr>
                      <w:rFonts w:hint="eastAsia" w:cs="宋体"/>
                      <w:color w:val="auto"/>
                      <w:kern w:val="0"/>
                      <w:sz w:val="21"/>
                      <w:szCs w:val="21"/>
                    </w:rPr>
                    <w:t>；安全帽</w:t>
                  </w:r>
                  <w:r>
                    <w:rPr>
                      <w:rFonts w:hint="eastAsia" w:cs="宋体"/>
                      <w:color w:val="auto"/>
                      <w:kern w:val="0"/>
                      <w:sz w:val="21"/>
                      <w:szCs w:val="21"/>
                      <w:lang w:eastAsia="zh-CN"/>
                    </w:rPr>
                    <w:t>、</w:t>
                  </w:r>
                  <w:r>
                    <w:rPr>
                      <w:rFonts w:hint="eastAsia" w:cs="宋体"/>
                      <w:color w:val="auto"/>
                      <w:kern w:val="0"/>
                      <w:sz w:val="21"/>
                      <w:szCs w:val="21"/>
                    </w:rPr>
                    <w:t>雨靴</w:t>
                  </w:r>
                  <w:r>
                    <w:rPr>
                      <w:rFonts w:hint="eastAsia" w:cs="宋体"/>
                      <w:color w:val="auto"/>
                      <w:kern w:val="0"/>
                      <w:sz w:val="21"/>
                      <w:szCs w:val="21"/>
                      <w:lang w:eastAsia="zh-CN"/>
                    </w:rPr>
                    <w:t>、</w:t>
                  </w:r>
                  <w:r>
                    <w:rPr>
                      <w:rFonts w:hint="eastAsia" w:cs="宋体"/>
                      <w:color w:val="auto"/>
                      <w:kern w:val="0"/>
                      <w:sz w:val="21"/>
                      <w:szCs w:val="21"/>
                    </w:rPr>
                    <w:t>吸油毡</w:t>
                  </w:r>
                  <w:r>
                    <w:rPr>
                      <w:rFonts w:hint="eastAsia" w:cs="宋体"/>
                      <w:color w:val="auto"/>
                      <w:kern w:val="0"/>
                      <w:sz w:val="21"/>
                      <w:szCs w:val="21"/>
                      <w:lang w:eastAsia="zh-CN"/>
                    </w:rPr>
                    <w:t>、</w:t>
                  </w:r>
                  <w:r>
                    <w:rPr>
                      <w:rFonts w:hint="eastAsia" w:cs="宋体"/>
                      <w:color w:val="auto"/>
                      <w:kern w:val="0"/>
                      <w:sz w:val="21"/>
                      <w:szCs w:val="21"/>
                    </w:rPr>
                    <w:t>吸油棉</w:t>
                  </w:r>
                  <w:r>
                    <w:rPr>
                      <w:rFonts w:hint="eastAsia" w:cs="宋体"/>
                      <w:color w:val="auto"/>
                      <w:kern w:val="0"/>
                      <w:sz w:val="21"/>
                      <w:szCs w:val="21"/>
                      <w:lang w:eastAsia="zh-CN"/>
                    </w:rPr>
                    <w:t>、</w:t>
                  </w:r>
                  <w:r>
                    <w:rPr>
                      <w:rFonts w:hint="eastAsia" w:cs="宋体"/>
                      <w:color w:val="auto"/>
                      <w:kern w:val="0"/>
                      <w:sz w:val="21"/>
                      <w:szCs w:val="21"/>
                    </w:rPr>
                    <w:t>呼吸面具</w:t>
                  </w:r>
                  <w:r>
                    <w:rPr>
                      <w:rFonts w:hint="eastAsia" w:cs="宋体"/>
                      <w:color w:val="auto"/>
                      <w:kern w:val="0"/>
                      <w:sz w:val="21"/>
                      <w:szCs w:val="21"/>
                      <w:lang w:eastAsia="zh-CN"/>
                    </w:rPr>
                    <w:t>、</w:t>
                  </w:r>
                  <w:r>
                    <w:rPr>
                      <w:rFonts w:hint="eastAsia" w:cs="宋体"/>
                      <w:color w:val="auto"/>
                      <w:kern w:val="0"/>
                      <w:sz w:val="21"/>
                      <w:szCs w:val="21"/>
                    </w:rPr>
                    <w:t>医用急救箱、应急照明设备</w:t>
                  </w:r>
                  <w:r>
                    <w:rPr>
                      <w:rFonts w:hint="eastAsia" w:cs="宋体"/>
                      <w:color w:val="auto"/>
                      <w:kern w:val="0"/>
                      <w:sz w:val="21"/>
                      <w:szCs w:val="21"/>
                      <w:lang w:eastAsia="zh-CN"/>
                    </w:rPr>
                    <w:t>、</w:t>
                  </w:r>
                  <w:r>
                    <w:rPr>
                      <w:rFonts w:hint="eastAsia" w:cs="宋体"/>
                      <w:color w:val="auto"/>
                      <w:kern w:val="0"/>
                      <w:sz w:val="21"/>
                      <w:szCs w:val="21"/>
                    </w:rPr>
                    <w:t>防毒面具、防护服等个人防护器材；警示牌、标识牌和报警器等其他风险防护措施</w:t>
                  </w:r>
                </w:p>
              </w:tc>
              <w:tc>
                <w:tcPr>
                  <w:tcW w:w="559" w:type="pct"/>
                  <w:noWrap w:val="0"/>
                  <w:vAlign w:val="center"/>
                </w:tcPr>
                <w:p w14:paraId="792D801A">
                  <w:pPr>
                    <w:keepNext w:val="0"/>
                    <w:keepLines w:val="0"/>
                    <w:pageBreakBefore w:val="0"/>
                    <w:widowControl w:val="0"/>
                    <w:tabs>
                      <w:tab w:val="left" w:pos="1110"/>
                    </w:tabs>
                    <w:kinsoku/>
                    <w:wordWrap/>
                    <w:overflowPunct/>
                    <w:topLinePunct w:val="0"/>
                    <w:autoSpaceDE/>
                    <w:autoSpaceDN/>
                    <w:bidi w:val="0"/>
                    <w:adjustRightInd/>
                    <w:snapToGrid w:val="0"/>
                    <w:spacing w:line="240" w:lineRule="auto"/>
                    <w:ind w:left="0" w:leftChars="0" w:firstLine="0" w:firstLineChars="0"/>
                    <w:jc w:val="center"/>
                    <w:textAlignment w:val="auto"/>
                    <w:rPr>
                      <w:color w:val="auto"/>
                      <w:sz w:val="21"/>
                      <w:szCs w:val="21"/>
                    </w:rPr>
                  </w:pPr>
                  <w:r>
                    <w:rPr>
                      <w:rFonts w:hint="eastAsia"/>
                      <w:color w:val="auto"/>
                      <w:sz w:val="21"/>
                      <w:szCs w:val="21"/>
                    </w:rPr>
                    <w:t>5</w:t>
                  </w:r>
                </w:p>
              </w:tc>
              <w:tc>
                <w:tcPr>
                  <w:tcW w:w="1656" w:type="pct"/>
                  <w:noWrap w:val="0"/>
                  <w:vAlign w:val="center"/>
                </w:tcPr>
                <w:p w14:paraId="74893C2F">
                  <w:pPr>
                    <w:keepNext w:val="0"/>
                    <w:keepLines w:val="0"/>
                    <w:pageBreakBefore w:val="0"/>
                    <w:widowControl w:val="0"/>
                    <w:tabs>
                      <w:tab w:val="left" w:pos="1110"/>
                    </w:tabs>
                    <w:kinsoku/>
                    <w:wordWrap/>
                    <w:overflowPunct/>
                    <w:topLinePunct w:val="0"/>
                    <w:autoSpaceDE/>
                    <w:autoSpaceDN/>
                    <w:bidi w:val="0"/>
                    <w:adjustRightInd/>
                    <w:snapToGrid w:val="0"/>
                    <w:spacing w:line="240" w:lineRule="auto"/>
                    <w:jc w:val="center"/>
                    <w:textAlignment w:val="auto"/>
                    <w:rPr>
                      <w:rFonts w:hint="eastAsia"/>
                      <w:color w:val="auto"/>
                      <w:sz w:val="21"/>
                      <w:szCs w:val="21"/>
                    </w:rPr>
                  </w:pPr>
                  <w:r>
                    <w:rPr>
                      <w:rFonts w:hint="eastAsia"/>
                      <w:color w:val="auto"/>
                      <w:sz w:val="21"/>
                      <w:szCs w:val="21"/>
                    </w:rPr>
                    <w:t>/</w:t>
                  </w:r>
                </w:p>
              </w:tc>
              <w:tc>
                <w:tcPr>
                  <w:tcW w:w="363" w:type="pct"/>
                  <w:vMerge w:val="continue"/>
                  <w:noWrap w:val="0"/>
                  <w:vAlign w:val="center"/>
                </w:tcPr>
                <w:p w14:paraId="203F7E79">
                  <w:pPr>
                    <w:keepNext w:val="0"/>
                    <w:keepLines w:val="0"/>
                    <w:pageBreakBefore w:val="0"/>
                    <w:widowControl w:val="0"/>
                    <w:tabs>
                      <w:tab w:val="left" w:pos="1110"/>
                    </w:tabs>
                    <w:kinsoku/>
                    <w:wordWrap/>
                    <w:overflowPunct/>
                    <w:topLinePunct w:val="0"/>
                    <w:autoSpaceDE/>
                    <w:autoSpaceDN/>
                    <w:bidi w:val="0"/>
                    <w:adjustRightInd/>
                    <w:snapToGrid w:val="0"/>
                    <w:spacing w:line="240" w:lineRule="auto"/>
                    <w:ind w:firstLine="422"/>
                    <w:jc w:val="center"/>
                    <w:textAlignment w:val="auto"/>
                    <w:rPr>
                      <w:color w:val="auto"/>
                      <w:sz w:val="21"/>
                      <w:szCs w:val="21"/>
                    </w:rPr>
                  </w:pPr>
                </w:p>
              </w:tc>
            </w:tr>
            <w:tr w14:paraId="2F509F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20" w:type="pct"/>
                  <w:gridSpan w:val="3"/>
                  <w:noWrap w:val="0"/>
                  <w:vAlign w:val="center"/>
                </w:tcPr>
                <w:p w14:paraId="3F3C1229">
                  <w:pPr>
                    <w:keepNext w:val="0"/>
                    <w:keepLines w:val="0"/>
                    <w:pageBreakBefore w:val="0"/>
                    <w:widowControl w:val="0"/>
                    <w:tabs>
                      <w:tab w:val="left" w:pos="1110"/>
                    </w:tabs>
                    <w:kinsoku/>
                    <w:wordWrap/>
                    <w:overflowPunct/>
                    <w:topLinePunct w:val="0"/>
                    <w:autoSpaceDE/>
                    <w:autoSpaceDN/>
                    <w:bidi w:val="0"/>
                    <w:adjustRightInd/>
                    <w:snapToGrid w:val="0"/>
                    <w:spacing w:line="240" w:lineRule="auto"/>
                    <w:ind w:left="0" w:leftChars="0" w:firstLine="0" w:firstLineChars="0"/>
                    <w:jc w:val="center"/>
                    <w:textAlignment w:val="auto"/>
                    <w:rPr>
                      <w:color w:val="auto"/>
                      <w:sz w:val="21"/>
                      <w:szCs w:val="21"/>
                    </w:rPr>
                  </w:pPr>
                  <w:r>
                    <w:rPr>
                      <w:color w:val="auto"/>
                      <w:sz w:val="21"/>
                      <w:szCs w:val="21"/>
                    </w:rPr>
                    <w:t>合计</w:t>
                  </w:r>
                </w:p>
              </w:tc>
              <w:tc>
                <w:tcPr>
                  <w:tcW w:w="559" w:type="pct"/>
                  <w:noWrap w:val="0"/>
                  <w:vAlign w:val="center"/>
                </w:tcPr>
                <w:p w14:paraId="19C6060B">
                  <w:pPr>
                    <w:keepNext w:val="0"/>
                    <w:keepLines w:val="0"/>
                    <w:pageBreakBefore w:val="0"/>
                    <w:widowControl w:val="0"/>
                    <w:tabs>
                      <w:tab w:val="left" w:pos="1110"/>
                    </w:tabs>
                    <w:kinsoku/>
                    <w:wordWrap/>
                    <w:overflowPunct/>
                    <w:topLinePunct w:val="0"/>
                    <w:autoSpaceDE/>
                    <w:autoSpaceDN/>
                    <w:bidi w:val="0"/>
                    <w:adjustRightInd/>
                    <w:snapToGrid w:val="0"/>
                    <w:spacing w:line="240" w:lineRule="auto"/>
                    <w:ind w:left="0" w:leftChars="0" w:firstLine="0" w:firstLineChars="0"/>
                    <w:jc w:val="center"/>
                    <w:textAlignment w:val="auto"/>
                    <w:rPr>
                      <w:rFonts w:hint="default"/>
                      <w:color w:val="auto"/>
                      <w:sz w:val="21"/>
                      <w:szCs w:val="21"/>
                      <w:lang w:val="en-US"/>
                    </w:rPr>
                  </w:pPr>
                  <w:r>
                    <w:rPr>
                      <w:rFonts w:hint="eastAsia"/>
                      <w:color w:val="auto"/>
                      <w:sz w:val="21"/>
                      <w:szCs w:val="21"/>
                      <w:lang w:val="en-US" w:eastAsia="zh-CN"/>
                    </w:rPr>
                    <w:t>98</w:t>
                  </w:r>
                </w:p>
              </w:tc>
              <w:tc>
                <w:tcPr>
                  <w:tcW w:w="2019" w:type="pct"/>
                  <w:gridSpan w:val="2"/>
                  <w:noWrap w:val="0"/>
                  <w:vAlign w:val="center"/>
                </w:tcPr>
                <w:p w14:paraId="210F1A0F">
                  <w:pPr>
                    <w:keepNext w:val="0"/>
                    <w:keepLines w:val="0"/>
                    <w:pageBreakBefore w:val="0"/>
                    <w:widowControl w:val="0"/>
                    <w:tabs>
                      <w:tab w:val="left" w:pos="1110"/>
                    </w:tabs>
                    <w:kinsoku/>
                    <w:wordWrap/>
                    <w:overflowPunct/>
                    <w:topLinePunct w:val="0"/>
                    <w:autoSpaceDE/>
                    <w:autoSpaceDN/>
                    <w:bidi w:val="0"/>
                    <w:adjustRightInd/>
                    <w:snapToGrid w:val="0"/>
                    <w:spacing w:line="240" w:lineRule="auto"/>
                    <w:ind w:left="0" w:leftChars="0" w:firstLine="0" w:firstLineChars="0"/>
                    <w:jc w:val="center"/>
                    <w:textAlignment w:val="auto"/>
                    <w:rPr>
                      <w:color w:val="auto"/>
                      <w:sz w:val="21"/>
                      <w:szCs w:val="21"/>
                    </w:rPr>
                  </w:pPr>
                  <w:r>
                    <w:rPr>
                      <w:color w:val="auto"/>
                      <w:sz w:val="21"/>
                      <w:szCs w:val="21"/>
                    </w:rPr>
                    <w:t>——</w:t>
                  </w:r>
                </w:p>
              </w:tc>
            </w:tr>
          </w:tbl>
          <w:p w14:paraId="63359B32">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rPr>
                <w:b/>
                <w:bCs/>
                <w:kern w:val="44"/>
                <w:sz w:val="24"/>
              </w:rPr>
            </w:pPr>
            <w:r>
              <w:rPr>
                <w:rFonts w:hint="eastAsia"/>
                <w:b/>
                <w:bCs/>
                <w:kern w:val="44"/>
                <w:sz w:val="24"/>
              </w:rPr>
              <w:t>1</w:t>
            </w:r>
            <w:r>
              <w:rPr>
                <w:rFonts w:hint="eastAsia"/>
                <w:b/>
                <w:bCs/>
                <w:kern w:val="44"/>
                <w:sz w:val="24"/>
                <w:lang w:val="en-US" w:eastAsia="zh-CN"/>
              </w:rPr>
              <w:t>1</w:t>
            </w:r>
            <w:r>
              <w:rPr>
                <w:b/>
                <w:bCs/>
                <w:kern w:val="44"/>
                <w:sz w:val="24"/>
              </w:rPr>
              <w:t>、排污许可</w:t>
            </w:r>
          </w:p>
          <w:p w14:paraId="042842A5">
            <w:pPr>
              <w:keepNext w:val="0"/>
              <w:keepLines w:val="0"/>
              <w:pageBreakBefore w:val="0"/>
              <w:widowControl w:val="0"/>
              <w:kinsoku/>
              <w:wordWrap/>
              <w:overflowPunct/>
              <w:topLinePunct w:val="0"/>
              <w:autoSpaceDE/>
              <w:autoSpaceDN/>
              <w:bidi w:val="0"/>
              <w:adjustRightInd/>
              <w:snapToGrid/>
              <w:ind w:firstLine="480"/>
              <w:textAlignment w:val="auto"/>
              <w:rPr>
                <w:b/>
                <w:color w:val="000000"/>
                <w:szCs w:val="21"/>
              </w:rPr>
            </w:pPr>
            <w:r>
              <w:rPr>
                <w:rFonts w:hint="eastAsia"/>
                <w:sz w:val="24"/>
                <w:lang w:eastAsia="zh-CN"/>
              </w:rPr>
              <w:t>本项目</w:t>
            </w:r>
            <w:r>
              <w:rPr>
                <w:rFonts w:hint="eastAsia"/>
                <w:sz w:val="24"/>
                <w:lang w:val="en-US" w:eastAsia="zh-CN"/>
              </w:rPr>
              <w:t>为</w:t>
            </w:r>
            <w:r>
              <w:rPr>
                <w:rFonts w:hint="eastAsia"/>
              </w:rPr>
              <w:t>F5265机动车燃油零售</w:t>
            </w:r>
            <w:r>
              <w:rPr>
                <w:sz w:val="24"/>
              </w:rPr>
              <w:t>，属于《固定污染源排污许可分类管理名录（2019版）》中的</w:t>
            </w:r>
            <w:r>
              <w:rPr>
                <w:rFonts w:hint="eastAsia" w:ascii="宋体" w:hAnsi="宋体" w:eastAsia="宋体" w:cs="宋体"/>
                <w:sz w:val="24"/>
              </w:rPr>
              <w:t>“</w:t>
            </w:r>
            <w:r>
              <w:rPr>
                <w:rFonts w:hint="eastAsia"/>
                <w:sz w:val="24"/>
                <w:lang w:val="en-US" w:eastAsia="zh-CN"/>
              </w:rPr>
              <w:t>四十二、零售业52</w:t>
            </w:r>
            <w:r>
              <w:rPr>
                <w:rFonts w:hint="eastAsia" w:ascii="宋体" w:hAnsi="宋体" w:eastAsia="宋体" w:cs="宋体"/>
                <w:sz w:val="24"/>
              </w:rPr>
              <w:t>”</w:t>
            </w:r>
            <w:r>
              <w:rPr>
                <w:sz w:val="24"/>
              </w:rPr>
              <w:t>—</w:t>
            </w:r>
            <w:r>
              <w:rPr>
                <w:rFonts w:hint="eastAsia" w:ascii="宋体" w:hAnsi="宋体" w:eastAsia="宋体" w:cs="宋体"/>
                <w:sz w:val="24"/>
              </w:rPr>
              <w:t>“</w:t>
            </w:r>
            <w:r>
              <w:rPr>
                <w:rFonts w:hint="eastAsia"/>
                <w:color w:val="000000"/>
                <w:sz w:val="24"/>
                <w:lang w:val="en-US" w:eastAsia="zh-CN"/>
              </w:rPr>
              <w:t>100汽车、摩托车、零配件和燃料及其他动力销售526</w:t>
            </w:r>
            <w:r>
              <w:rPr>
                <w:rFonts w:hint="eastAsia" w:ascii="宋体" w:hAnsi="宋体" w:eastAsia="宋体" w:cs="宋体"/>
                <w:sz w:val="24"/>
              </w:rPr>
              <w:t>”</w:t>
            </w:r>
            <w:r>
              <w:rPr>
                <w:color w:val="000000"/>
                <w:sz w:val="24"/>
              </w:rPr>
              <w:t>—</w:t>
            </w:r>
            <w:r>
              <w:rPr>
                <w:rFonts w:hint="eastAsia" w:ascii="宋体" w:hAnsi="宋体" w:eastAsia="宋体" w:cs="宋体"/>
                <w:color w:val="000000"/>
                <w:sz w:val="24"/>
              </w:rPr>
              <w:t>“</w:t>
            </w:r>
            <w:r>
              <w:rPr>
                <w:rFonts w:hint="default" w:ascii="Times New Roman" w:hAnsi="Times New Roman" w:cs="Times New Roman"/>
                <w:color w:val="000000"/>
                <w:sz w:val="24"/>
                <w:lang w:val="en-US" w:eastAsia="zh-CN"/>
              </w:rPr>
              <w:t>位于城市建成区的加油站</w:t>
            </w:r>
            <w:r>
              <w:rPr>
                <w:rFonts w:hint="eastAsia" w:ascii="宋体" w:hAnsi="宋体" w:eastAsia="宋体" w:cs="宋体"/>
                <w:color w:val="000000"/>
                <w:sz w:val="24"/>
              </w:rPr>
              <w:t>”</w:t>
            </w:r>
            <w:r>
              <w:rPr>
                <w:rFonts w:hint="eastAsia"/>
                <w:color w:val="000000"/>
                <w:sz w:val="24"/>
              </w:rPr>
              <w:t>，</w:t>
            </w:r>
            <w:r>
              <w:rPr>
                <w:rFonts w:hint="default" w:ascii="Times New Roman" w:hAnsi="Times New Roman" w:eastAsia="宋体" w:cs="Times New Roman"/>
                <w:color w:val="auto"/>
                <w:sz w:val="24"/>
                <w:lang w:val="en-US" w:eastAsia="zh-CN"/>
              </w:rPr>
              <w:t>建设单位排污前需在全国排污许可证管理信息公开平台-公开端</w:t>
            </w:r>
            <w:r>
              <w:rPr>
                <w:rFonts w:hint="eastAsia" w:ascii="Times New Roman" w:hAnsi="Times New Roman" w:eastAsia="宋体" w:cs="Times New Roman"/>
                <w:color w:val="auto"/>
                <w:sz w:val="24"/>
                <w:lang w:val="en-US" w:eastAsia="zh-CN"/>
              </w:rPr>
              <w:t>申请简化管理排污许可证。</w:t>
            </w:r>
          </w:p>
          <w:p w14:paraId="242618A3">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s="Times New Roman"/>
                <w:sz w:val="24"/>
                <w:lang w:eastAsia="zh-CN"/>
              </w:rPr>
            </w:pPr>
          </w:p>
          <w:p w14:paraId="5FB5302B">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s="Times New Roman"/>
                <w:sz w:val="24"/>
                <w:lang w:eastAsia="zh-CN"/>
              </w:rPr>
            </w:pPr>
          </w:p>
          <w:p w14:paraId="3E641497">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s="Times New Roman"/>
                <w:sz w:val="24"/>
                <w:lang w:eastAsia="zh-CN"/>
              </w:rPr>
            </w:pPr>
          </w:p>
          <w:p w14:paraId="6E3FC473">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s="Times New Roman"/>
                <w:sz w:val="24"/>
                <w:lang w:eastAsia="zh-CN"/>
              </w:rPr>
            </w:pPr>
          </w:p>
          <w:p w14:paraId="3DC77603">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s="Times New Roman"/>
                <w:sz w:val="24"/>
                <w:lang w:eastAsia="zh-CN"/>
              </w:rPr>
            </w:pPr>
          </w:p>
          <w:p w14:paraId="10ED2DBA">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s="Times New Roman"/>
                <w:sz w:val="24"/>
                <w:lang w:eastAsia="zh-CN"/>
              </w:rPr>
            </w:pPr>
          </w:p>
          <w:p w14:paraId="64AEB248">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s="Times New Roman"/>
                <w:sz w:val="24"/>
                <w:lang w:eastAsia="zh-CN"/>
              </w:rPr>
            </w:pPr>
          </w:p>
          <w:p w14:paraId="696AAEF8">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s="Times New Roman"/>
                <w:sz w:val="24"/>
                <w:lang w:eastAsia="zh-CN"/>
              </w:rPr>
            </w:pPr>
          </w:p>
          <w:p w14:paraId="50E0A0EC">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s="Times New Roman"/>
                <w:sz w:val="24"/>
                <w:lang w:eastAsia="zh-CN"/>
              </w:rPr>
            </w:pPr>
          </w:p>
          <w:p w14:paraId="1642E92F">
            <w:pPr>
              <w:keepNext w:val="0"/>
              <w:keepLines w:val="0"/>
              <w:pageBreakBefore w:val="0"/>
              <w:widowControl w:val="0"/>
              <w:kinsoku/>
              <w:wordWrap/>
              <w:overflowPunct/>
              <w:topLinePunct w:val="0"/>
              <w:autoSpaceDE/>
              <w:autoSpaceDN/>
              <w:bidi w:val="0"/>
              <w:adjustRightInd/>
              <w:snapToGrid/>
              <w:ind w:firstLine="480"/>
              <w:textAlignment w:val="auto"/>
            </w:pPr>
          </w:p>
        </w:tc>
      </w:tr>
    </w:tbl>
    <w:p w14:paraId="24BEE782">
      <w:pPr>
        <w:wordWrap w:val="0"/>
        <w:spacing w:line="240" w:lineRule="auto"/>
        <w:ind w:firstLine="0" w:firstLineChars="0"/>
        <w:jc w:val="center"/>
        <w:sectPr>
          <w:pgSz w:w="11906" w:h="16838"/>
          <w:pgMar w:top="1440" w:right="1080" w:bottom="1440" w:left="1080" w:header="851" w:footer="850" w:gutter="0"/>
          <w:pgBorders>
            <w:top w:val="none" w:sz="0" w:space="0"/>
            <w:left w:val="none" w:sz="0" w:space="0"/>
            <w:bottom w:val="none" w:sz="0" w:space="0"/>
            <w:right w:val="none" w:sz="0" w:space="0"/>
          </w:pgBorders>
          <w:pgNumType w:fmt="decimal"/>
          <w:cols w:space="0" w:num="1"/>
          <w:rtlGutter w:val="0"/>
          <w:docGrid w:type="lines" w:linePitch="326" w:charSpace="0"/>
        </w:sectPr>
      </w:pPr>
    </w:p>
    <w:p w14:paraId="4240C54F">
      <w:pPr>
        <w:pStyle w:val="22"/>
        <w:keepNext w:val="0"/>
        <w:keepLines w:val="0"/>
        <w:pageBreakBefore w:val="0"/>
        <w:widowControl/>
        <w:kinsoku/>
        <w:wordWrap w:val="0"/>
        <w:overflowPunct/>
        <w:topLinePunct w:val="0"/>
        <w:autoSpaceDE/>
        <w:autoSpaceDN/>
        <w:bidi w:val="0"/>
        <w:adjustRightInd/>
        <w:snapToGrid/>
        <w:spacing w:before="0" w:beforeAutospacing="0" w:after="0" w:afterAutospacing="0" w:line="240" w:lineRule="auto"/>
        <w:ind w:firstLine="0" w:firstLineChars="0"/>
        <w:jc w:val="center"/>
        <w:textAlignment w:val="auto"/>
        <w:outlineLvl w:val="0"/>
        <w:rPr>
          <w:rFonts w:ascii="黑体" w:hAnsi="黑体" w:eastAsia="黑体"/>
          <w:snapToGrid w:val="0"/>
          <w:color w:val="000000" w:themeColor="text1"/>
          <w:sz w:val="30"/>
          <w:szCs w:val="30"/>
          <w14:textFill>
            <w14:solidFill>
              <w14:schemeClr w14:val="tx1"/>
            </w14:solidFill>
          </w14:textFill>
        </w:rPr>
      </w:pPr>
      <w:bookmarkStart w:id="9" w:name="_Toc9187"/>
      <w:r>
        <w:rPr>
          <w:rFonts w:hint="eastAsia" w:ascii="黑体" w:hAnsi="黑体" w:eastAsia="黑体"/>
          <w:snapToGrid w:val="0"/>
          <w:color w:val="000000" w:themeColor="text1"/>
          <w:sz w:val="30"/>
          <w:szCs w:val="30"/>
          <w14:textFill>
            <w14:solidFill>
              <w14:schemeClr w14:val="tx1"/>
            </w14:solidFill>
          </w14:textFill>
        </w:rPr>
        <w:t>五、</w:t>
      </w:r>
      <w:bookmarkStart w:id="10" w:name="_Hlk54167917"/>
      <w:r>
        <w:rPr>
          <w:rFonts w:hint="eastAsia" w:ascii="黑体" w:hAnsi="黑体" w:eastAsia="黑体"/>
          <w:snapToGrid w:val="0"/>
          <w:color w:val="000000" w:themeColor="text1"/>
          <w:sz w:val="30"/>
          <w:szCs w:val="30"/>
          <w14:textFill>
            <w14:solidFill>
              <w14:schemeClr w14:val="tx1"/>
            </w14:solidFill>
          </w14:textFill>
        </w:rPr>
        <w:t>环境保护措施监督检查清单</w:t>
      </w:r>
      <w:bookmarkEnd w:id="9"/>
      <w:bookmarkEnd w:id="10"/>
    </w:p>
    <w:tbl>
      <w:tblPr>
        <w:tblStyle w:val="35"/>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90"/>
        <w:gridCol w:w="2141"/>
        <w:gridCol w:w="1405"/>
        <w:gridCol w:w="2140"/>
        <w:gridCol w:w="1393"/>
        <w:gridCol w:w="1393"/>
      </w:tblGrid>
      <w:tr w14:paraId="3981BF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90" w:type="dxa"/>
            <w:tcBorders>
              <w:tl2br w:val="single" w:color="auto" w:sz="4" w:space="0"/>
            </w:tcBorders>
            <w:vAlign w:val="center"/>
          </w:tcPr>
          <w:p w14:paraId="479B03C5">
            <w:pPr>
              <w:pStyle w:val="49"/>
              <w:keepNext w:val="0"/>
              <w:keepLines w:val="0"/>
              <w:pageBreakBefore w:val="0"/>
              <w:widowControl w:val="0"/>
              <w:kinsoku/>
              <w:wordWrap/>
              <w:overflowPunct/>
              <w:topLinePunct w:val="0"/>
              <w:autoSpaceDE/>
              <w:autoSpaceDN/>
              <w:bidi w:val="0"/>
              <w:adjustRightInd/>
              <w:snapToGrid w:val="0"/>
              <w:jc w:val="right"/>
              <w:textAlignment w:val="auto"/>
              <w:rPr>
                <w:b/>
              </w:rPr>
            </w:pPr>
            <w:r>
              <w:rPr>
                <w:rFonts w:hint="eastAsia"/>
                <w:b/>
              </w:rPr>
              <w:t>内容</w:t>
            </w:r>
          </w:p>
          <w:p w14:paraId="051A645F">
            <w:pPr>
              <w:pStyle w:val="49"/>
              <w:keepNext w:val="0"/>
              <w:keepLines w:val="0"/>
              <w:pageBreakBefore w:val="0"/>
              <w:widowControl w:val="0"/>
              <w:kinsoku/>
              <w:wordWrap/>
              <w:overflowPunct/>
              <w:topLinePunct w:val="0"/>
              <w:autoSpaceDE/>
              <w:autoSpaceDN/>
              <w:bidi w:val="0"/>
              <w:adjustRightInd/>
              <w:snapToGrid w:val="0"/>
              <w:jc w:val="left"/>
              <w:textAlignment w:val="auto"/>
              <w:rPr>
                <w:b/>
              </w:rPr>
            </w:pPr>
            <w:r>
              <w:rPr>
                <w:rFonts w:hint="eastAsia"/>
                <w:b/>
              </w:rPr>
              <w:t>要素</w:t>
            </w:r>
          </w:p>
        </w:tc>
        <w:tc>
          <w:tcPr>
            <w:tcW w:w="2141" w:type="dxa"/>
            <w:vAlign w:val="center"/>
          </w:tcPr>
          <w:p w14:paraId="425B18FC">
            <w:pPr>
              <w:pStyle w:val="49"/>
              <w:keepNext w:val="0"/>
              <w:keepLines w:val="0"/>
              <w:pageBreakBefore w:val="0"/>
              <w:widowControl w:val="0"/>
              <w:kinsoku/>
              <w:wordWrap/>
              <w:overflowPunct/>
              <w:topLinePunct w:val="0"/>
              <w:autoSpaceDE/>
              <w:autoSpaceDN/>
              <w:bidi w:val="0"/>
              <w:adjustRightInd/>
              <w:snapToGrid w:val="0"/>
              <w:textAlignment w:val="auto"/>
              <w:rPr>
                <w:b/>
              </w:rPr>
            </w:pPr>
            <w:r>
              <w:rPr>
                <w:rFonts w:hint="eastAsia"/>
                <w:b/>
              </w:rPr>
              <w:t>排放口</w:t>
            </w:r>
            <w:r>
              <w:rPr>
                <w:rFonts w:hint="eastAsia"/>
                <w:b/>
                <w:lang w:eastAsia="zh-CN"/>
              </w:rPr>
              <w:t>（</w:t>
            </w:r>
            <w:r>
              <w:rPr>
                <w:rFonts w:hint="eastAsia"/>
                <w:b/>
              </w:rPr>
              <w:t>编号、名称</w:t>
            </w:r>
            <w:r>
              <w:rPr>
                <w:rFonts w:hint="eastAsia"/>
                <w:b/>
                <w:lang w:eastAsia="zh-CN"/>
              </w:rPr>
              <w:t>）</w:t>
            </w:r>
            <w:r>
              <w:rPr>
                <w:rFonts w:hint="eastAsia"/>
                <w:b/>
              </w:rPr>
              <w:t>/污染源</w:t>
            </w:r>
          </w:p>
        </w:tc>
        <w:tc>
          <w:tcPr>
            <w:tcW w:w="1405" w:type="dxa"/>
            <w:vAlign w:val="center"/>
          </w:tcPr>
          <w:p w14:paraId="5B9E261F">
            <w:pPr>
              <w:pStyle w:val="49"/>
              <w:keepNext w:val="0"/>
              <w:keepLines w:val="0"/>
              <w:pageBreakBefore w:val="0"/>
              <w:widowControl w:val="0"/>
              <w:kinsoku/>
              <w:wordWrap/>
              <w:overflowPunct/>
              <w:topLinePunct w:val="0"/>
              <w:autoSpaceDE/>
              <w:autoSpaceDN/>
              <w:bidi w:val="0"/>
              <w:adjustRightInd/>
              <w:snapToGrid w:val="0"/>
              <w:textAlignment w:val="auto"/>
              <w:rPr>
                <w:b/>
              </w:rPr>
            </w:pPr>
            <w:r>
              <w:rPr>
                <w:rFonts w:hint="eastAsia"/>
                <w:b/>
              </w:rPr>
              <w:t>污染物项目</w:t>
            </w:r>
          </w:p>
        </w:tc>
        <w:tc>
          <w:tcPr>
            <w:tcW w:w="2140" w:type="dxa"/>
            <w:vAlign w:val="center"/>
          </w:tcPr>
          <w:p w14:paraId="70C83F35">
            <w:pPr>
              <w:pStyle w:val="49"/>
              <w:keepNext w:val="0"/>
              <w:keepLines w:val="0"/>
              <w:pageBreakBefore w:val="0"/>
              <w:widowControl w:val="0"/>
              <w:kinsoku/>
              <w:wordWrap/>
              <w:overflowPunct/>
              <w:topLinePunct w:val="0"/>
              <w:autoSpaceDE/>
              <w:autoSpaceDN/>
              <w:bidi w:val="0"/>
              <w:adjustRightInd/>
              <w:snapToGrid w:val="0"/>
              <w:textAlignment w:val="auto"/>
              <w:rPr>
                <w:b/>
              </w:rPr>
            </w:pPr>
            <w:r>
              <w:rPr>
                <w:rFonts w:hint="eastAsia"/>
                <w:b/>
              </w:rPr>
              <w:t>环境保护措施</w:t>
            </w:r>
          </w:p>
        </w:tc>
        <w:tc>
          <w:tcPr>
            <w:tcW w:w="2786" w:type="dxa"/>
            <w:gridSpan w:val="2"/>
            <w:vAlign w:val="center"/>
          </w:tcPr>
          <w:p w14:paraId="1F2F16BF">
            <w:pPr>
              <w:pStyle w:val="49"/>
              <w:keepNext w:val="0"/>
              <w:keepLines w:val="0"/>
              <w:pageBreakBefore w:val="0"/>
              <w:widowControl w:val="0"/>
              <w:kinsoku/>
              <w:wordWrap/>
              <w:overflowPunct/>
              <w:topLinePunct w:val="0"/>
              <w:autoSpaceDE/>
              <w:autoSpaceDN/>
              <w:bidi w:val="0"/>
              <w:adjustRightInd/>
              <w:snapToGrid w:val="0"/>
              <w:textAlignment w:val="auto"/>
              <w:rPr>
                <w:b/>
              </w:rPr>
            </w:pPr>
            <w:r>
              <w:rPr>
                <w:rFonts w:hint="eastAsia"/>
                <w:b/>
              </w:rPr>
              <w:t>执行标准</w:t>
            </w:r>
          </w:p>
        </w:tc>
      </w:tr>
      <w:tr w14:paraId="5CEA3A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90" w:type="dxa"/>
            <w:vMerge w:val="restart"/>
            <w:vAlign w:val="center"/>
          </w:tcPr>
          <w:p w14:paraId="15A62022">
            <w:pPr>
              <w:pStyle w:val="49"/>
              <w:keepNext w:val="0"/>
              <w:keepLines w:val="0"/>
              <w:pageBreakBefore w:val="0"/>
              <w:widowControl w:val="0"/>
              <w:kinsoku/>
              <w:wordWrap/>
              <w:overflowPunct/>
              <w:topLinePunct w:val="0"/>
              <w:autoSpaceDE/>
              <w:autoSpaceDN/>
              <w:bidi w:val="0"/>
              <w:adjustRightInd/>
              <w:snapToGrid w:val="0"/>
              <w:textAlignment w:val="auto"/>
            </w:pPr>
            <w:r>
              <w:rPr>
                <w:rFonts w:hint="eastAsia"/>
              </w:rPr>
              <w:t>大气环境</w:t>
            </w:r>
          </w:p>
        </w:tc>
        <w:tc>
          <w:tcPr>
            <w:tcW w:w="2141" w:type="dxa"/>
            <w:vAlign w:val="center"/>
          </w:tcPr>
          <w:p w14:paraId="5A86A889">
            <w:pPr>
              <w:pStyle w:val="49"/>
              <w:keepNext w:val="0"/>
              <w:keepLines w:val="0"/>
              <w:pageBreakBefore w:val="0"/>
              <w:widowControl w:val="0"/>
              <w:kinsoku/>
              <w:wordWrap/>
              <w:overflowPunct/>
              <w:topLinePunct w:val="0"/>
              <w:autoSpaceDE/>
              <w:autoSpaceDN/>
              <w:bidi w:val="0"/>
              <w:adjustRightInd/>
              <w:snapToGrid w:val="0"/>
              <w:textAlignment w:val="auto"/>
              <w:rPr>
                <w:rFonts w:hint="default" w:eastAsia="宋体"/>
                <w:lang w:val="en-US" w:eastAsia="zh-CN"/>
              </w:rPr>
            </w:pPr>
            <w:r>
              <w:rPr>
                <w:rFonts w:hint="eastAsia"/>
                <w:lang w:val="en-US" w:eastAsia="zh-CN"/>
              </w:rPr>
              <w:t>储油罐大小呼吸废气</w:t>
            </w:r>
          </w:p>
        </w:tc>
        <w:tc>
          <w:tcPr>
            <w:tcW w:w="1405" w:type="dxa"/>
            <w:vAlign w:val="center"/>
          </w:tcPr>
          <w:p w14:paraId="5B436F6E">
            <w:pPr>
              <w:pStyle w:val="49"/>
              <w:keepNext w:val="0"/>
              <w:keepLines w:val="0"/>
              <w:pageBreakBefore w:val="0"/>
              <w:widowControl w:val="0"/>
              <w:kinsoku/>
              <w:wordWrap/>
              <w:overflowPunct/>
              <w:topLinePunct w:val="0"/>
              <w:autoSpaceDE/>
              <w:autoSpaceDN/>
              <w:bidi w:val="0"/>
              <w:adjustRightInd/>
              <w:snapToGrid w:val="0"/>
              <w:textAlignment w:val="auto"/>
            </w:pPr>
            <w:r>
              <w:t>非甲烷总烃</w:t>
            </w:r>
          </w:p>
        </w:tc>
        <w:tc>
          <w:tcPr>
            <w:tcW w:w="2140" w:type="dxa"/>
            <w:vAlign w:val="center"/>
          </w:tcPr>
          <w:p w14:paraId="35A05657">
            <w:pPr>
              <w:pStyle w:val="49"/>
              <w:keepNext w:val="0"/>
              <w:keepLines w:val="0"/>
              <w:pageBreakBefore w:val="0"/>
              <w:widowControl w:val="0"/>
              <w:kinsoku/>
              <w:wordWrap/>
              <w:overflowPunct/>
              <w:topLinePunct w:val="0"/>
              <w:autoSpaceDE/>
              <w:autoSpaceDN/>
              <w:bidi w:val="0"/>
              <w:adjustRightInd/>
              <w:snapToGrid w:val="0"/>
              <w:textAlignment w:val="auto"/>
              <w:rPr>
                <w:rFonts w:hint="eastAsia" w:eastAsia="宋体"/>
                <w:lang w:val="en-US" w:eastAsia="zh-CN"/>
              </w:rPr>
            </w:pPr>
            <w:r>
              <w:rPr>
                <w:rFonts w:hint="eastAsia"/>
                <w:lang w:val="en-US" w:eastAsia="zh-CN"/>
              </w:rPr>
              <w:t>卸油</w:t>
            </w:r>
            <w:r>
              <w:t>油气回收</w:t>
            </w:r>
            <w:r>
              <w:rPr>
                <w:rFonts w:hint="eastAsia"/>
                <w:lang w:val="en-US" w:eastAsia="zh-CN"/>
              </w:rPr>
              <w:t>系统</w:t>
            </w:r>
          </w:p>
        </w:tc>
        <w:tc>
          <w:tcPr>
            <w:tcW w:w="2786" w:type="dxa"/>
            <w:gridSpan w:val="2"/>
            <w:vAlign w:val="center"/>
          </w:tcPr>
          <w:p w14:paraId="506B0314">
            <w:pPr>
              <w:pStyle w:val="49"/>
              <w:keepNext w:val="0"/>
              <w:keepLines w:val="0"/>
              <w:pageBreakBefore w:val="0"/>
              <w:widowControl w:val="0"/>
              <w:kinsoku/>
              <w:wordWrap/>
              <w:overflowPunct/>
              <w:topLinePunct w:val="0"/>
              <w:autoSpaceDE/>
              <w:autoSpaceDN/>
              <w:bidi w:val="0"/>
              <w:adjustRightInd/>
              <w:snapToGrid w:val="0"/>
              <w:textAlignment w:val="auto"/>
            </w:pPr>
            <w:r>
              <w:rPr>
                <w:rFonts w:hint="eastAsia"/>
                <w:color w:val="auto"/>
                <w:sz w:val="21"/>
                <w:szCs w:val="21"/>
              </w:rPr>
              <w:t>《加油站大气污染物排放标准》（</w:t>
            </w:r>
            <w:r>
              <w:rPr>
                <w:color w:val="auto"/>
                <w:sz w:val="21"/>
                <w:szCs w:val="21"/>
              </w:rPr>
              <w:t>GB20952-2020）</w:t>
            </w:r>
          </w:p>
        </w:tc>
      </w:tr>
      <w:tr w14:paraId="70C5A4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90" w:type="dxa"/>
            <w:vMerge w:val="continue"/>
            <w:vAlign w:val="center"/>
          </w:tcPr>
          <w:p w14:paraId="7408E998">
            <w:pPr>
              <w:pStyle w:val="49"/>
              <w:keepNext w:val="0"/>
              <w:keepLines w:val="0"/>
              <w:pageBreakBefore w:val="0"/>
              <w:widowControl w:val="0"/>
              <w:kinsoku/>
              <w:wordWrap/>
              <w:overflowPunct/>
              <w:topLinePunct w:val="0"/>
              <w:autoSpaceDE/>
              <w:autoSpaceDN/>
              <w:bidi w:val="0"/>
              <w:adjustRightInd/>
              <w:snapToGrid w:val="0"/>
              <w:textAlignment w:val="auto"/>
            </w:pPr>
          </w:p>
        </w:tc>
        <w:tc>
          <w:tcPr>
            <w:tcW w:w="2141" w:type="dxa"/>
            <w:vAlign w:val="center"/>
          </w:tcPr>
          <w:p w14:paraId="49C88B2C">
            <w:pPr>
              <w:pStyle w:val="49"/>
              <w:keepNext w:val="0"/>
              <w:keepLines w:val="0"/>
              <w:pageBreakBefore w:val="0"/>
              <w:widowControl w:val="0"/>
              <w:kinsoku/>
              <w:wordWrap/>
              <w:overflowPunct/>
              <w:topLinePunct w:val="0"/>
              <w:autoSpaceDE/>
              <w:autoSpaceDN/>
              <w:bidi w:val="0"/>
              <w:adjustRightInd/>
              <w:snapToGrid w:val="0"/>
              <w:textAlignment w:val="auto"/>
              <w:rPr>
                <w:rFonts w:hint="default"/>
                <w:lang w:val="en-US" w:eastAsia="zh-CN"/>
              </w:rPr>
            </w:pPr>
            <w:r>
              <w:rPr>
                <w:rFonts w:hint="eastAsia"/>
                <w:lang w:val="en-US" w:eastAsia="zh-CN"/>
              </w:rPr>
              <w:t>加油挥发油气</w:t>
            </w:r>
          </w:p>
        </w:tc>
        <w:tc>
          <w:tcPr>
            <w:tcW w:w="1405" w:type="dxa"/>
            <w:vAlign w:val="center"/>
          </w:tcPr>
          <w:p w14:paraId="6A1E87F9">
            <w:pPr>
              <w:pStyle w:val="49"/>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r>
              <w:t>非甲烷总烃</w:t>
            </w:r>
          </w:p>
        </w:tc>
        <w:tc>
          <w:tcPr>
            <w:tcW w:w="2140" w:type="dxa"/>
            <w:vAlign w:val="center"/>
          </w:tcPr>
          <w:p w14:paraId="253D3C3C">
            <w:pPr>
              <w:pStyle w:val="49"/>
              <w:keepNext w:val="0"/>
              <w:keepLines w:val="0"/>
              <w:pageBreakBefore w:val="0"/>
              <w:widowControl w:val="0"/>
              <w:kinsoku/>
              <w:wordWrap/>
              <w:overflowPunct/>
              <w:topLinePunct w:val="0"/>
              <w:autoSpaceDE/>
              <w:autoSpaceDN/>
              <w:bidi w:val="0"/>
              <w:adjustRightInd/>
              <w:snapToGrid w:val="0"/>
              <w:textAlignment w:val="auto"/>
              <w:rPr>
                <w:rFonts w:hint="default"/>
                <w:lang w:val="en-US" w:eastAsia="zh-CN"/>
              </w:rPr>
            </w:pPr>
            <w:r>
              <w:rPr>
                <w:rFonts w:hint="eastAsia"/>
                <w:lang w:val="en-US" w:eastAsia="zh-CN"/>
              </w:rPr>
              <w:t>加油油气回收系统</w:t>
            </w:r>
          </w:p>
        </w:tc>
        <w:tc>
          <w:tcPr>
            <w:tcW w:w="2786" w:type="dxa"/>
            <w:gridSpan w:val="2"/>
            <w:vAlign w:val="center"/>
          </w:tcPr>
          <w:p w14:paraId="5D7CD3A8">
            <w:pPr>
              <w:pStyle w:val="49"/>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r>
              <w:rPr>
                <w:rFonts w:hint="eastAsia"/>
                <w:color w:val="auto"/>
                <w:sz w:val="21"/>
                <w:szCs w:val="21"/>
              </w:rPr>
              <w:t>《加油站大气污染物排放标准》（</w:t>
            </w:r>
            <w:r>
              <w:rPr>
                <w:color w:val="auto"/>
                <w:sz w:val="21"/>
                <w:szCs w:val="21"/>
              </w:rPr>
              <w:t>GB20952-2020）</w:t>
            </w:r>
          </w:p>
        </w:tc>
      </w:tr>
      <w:tr w14:paraId="4C6542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90" w:type="dxa"/>
            <w:vMerge w:val="continue"/>
            <w:vAlign w:val="center"/>
          </w:tcPr>
          <w:p w14:paraId="73F76D36">
            <w:pPr>
              <w:pStyle w:val="49"/>
              <w:keepNext w:val="0"/>
              <w:keepLines w:val="0"/>
              <w:pageBreakBefore w:val="0"/>
              <w:widowControl w:val="0"/>
              <w:kinsoku/>
              <w:wordWrap/>
              <w:overflowPunct/>
              <w:topLinePunct w:val="0"/>
              <w:autoSpaceDE/>
              <w:autoSpaceDN/>
              <w:bidi w:val="0"/>
              <w:adjustRightInd/>
              <w:snapToGrid w:val="0"/>
              <w:textAlignment w:val="auto"/>
            </w:pPr>
          </w:p>
        </w:tc>
        <w:tc>
          <w:tcPr>
            <w:tcW w:w="2141" w:type="dxa"/>
            <w:vMerge w:val="restart"/>
            <w:vAlign w:val="center"/>
          </w:tcPr>
          <w:p w14:paraId="18D70132">
            <w:pPr>
              <w:pStyle w:val="49"/>
              <w:keepNext w:val="0"/>
              <w:keepLines w:val="0"/>
              <w:pageBreakBefore w:val="0"/>
              <w:widowControl w:val="0"/>
              <w:kinsoku/>
              <w:wordWrap/>
              <w:overflowPunct/>
              <w:topLinePunct w:val="0"/>
              <w:autoSpaceDE/>
              <w:autoSpaceDN/>
              <w:bidi w:val="0"/>
              <w:adjustRightInd/>
              <w:snapToGrid w:val="0"/>
              <w:textAlignment w:val="auto"/>
              <w:rPr>
                <w:rFonts w:hint="eastAsia" w:eastAsia="宋体"/>
                <w:lang w:val="en-US" w:eastAsia="zh-CN"/>
              </w:rPr>
            </w:pPr>
            <w:r>
              <w:t>汽车</w:t>
            </w:r>
            <w:r>
              <w:rPr>
                <w:rFonts w:hint="eastAsia"/>
                <w:lang w:val="en-US" w:eastAsia="zh-CN"/>
              </w:rPr>
              <w:t>尾气</w:t>
            </w:r>
          </w:p>
        </w:tc>
        <w:tc>
          <w:tcPr>
            <w:tcW w:w="1405" w:type="dxa"/>
            <w:vAlign w:val="center"/>
          </w:tcPr>
          <w:p w14:paraId="21D33A4E">
            <w:pPr>
              <w:pStyle w:val="49"/>
              <w:keepNext w:val="0"/>
              <w:keepLines w:val="0"/>
              <w:pageBreakBefore w:val="0"/>
              <w:widowControl w:val="0"/>
              <w:kinsoku/>
              <w:wordWrap/>
              <w:overflowPunct/>
              <w:topLinePunct w:val="0"/>
              <w:autoSpaceDE/>
              <w:autoSpaceDN/>
              <w:bidi w:val="0"/>
              <w:adjustRightInd/>
              <w:snapToGrid w:val="0"/>
              <w:textAlignment w:val="auto"/>
              <w:rPr>
                <w:rFonts w:hint="default" w:eastAsia="宋体"/>
                <w:bCs/>
                <w:kern w:val="44"/>
                <w:lang w:val="en-US" w:eastAsia="zh-CN"/>
              </w:rPr>
            </w:pPr>
            <w:r>
              <w:rPr>
                <w:rFonts w:hint="eastAsia"/>
                <w:lang w:val="en-US" w:eastAsia="zh-CN"/>
              </w:rPr>
              <w:t>CO</w:t>
            </w:r>
          </w:p>
        </w:tc>
        <w:tc>
          <w:tcPr>
            <w:tcW w:w="2140" w:type="dxa"/>
            <w:vMerge w:val="restart"/>
            <w:vAlign w:val="center"/>
          </w:tcPr>
          <w:p w14:paraId="5634A9E5">
            <w:pPr>
              <w:pStyle w:val="49"/>
              <w:keepNext w:val="0"/>
              <w:keepLines w:val="0"/>
              <w:pageBreakBefore w:val="0"/>
              <w:widowControl w:val="0"/>
              <w:kinsoku/>
              <w:wordWrap/>
              <w:overflowPunct/>
              <w:topLinePunct w:val="0"/>
              <w:autoSpaceDE/>
              <w:autoSpaceDN/>
              <w:bidi w:val="0"/>
              <w:adjustRightInd/>
              <w:snapToGrid w:val="0"/>
              <w:textAlignment w:val="auto"/>
            </w:pPr>
            <w:r>
              <w:rPr>
                <w:rFonts w:hint="eastAsia"/>
                <w:color w:val="auto"/>
                <w:sz w:val="21"/>
                <w:szCs w:val="21"/>
                <w:lang w:val="en-US" w:eastAsia="zh-CN"/>
              </w:rPr>
              <w:t>车辆管理和厂区绿化</w:t>
            </w:r>
          </w:p>
        </w:tc>
        <w:tc>
          <w:tcPr>
            <w:tcW w:w="2786" w:type="dxa"/>
            <w:gridSpan w:val="2"/>
            <w:vMerge w:val="restart"/>
            <w:vAlign w:val="center"/>
          </w:tcPr>
          <w:p w14:paraId="43F0E003">
            <w:pPr>
              <w:pStyle w:val="49"/>
              <w:keepNext w:val="0"/>
              <w:keepLines w:val="0"/>
              <w:pageBreakBefore w:val="0"/>
              <w:widowControl w:val="0"/>
              <w:kinsoku/>
              <w:wordWrap/>
              <w:overflowPunct/>
              <w:topLinePunct w:val="0"/>
              <w:autoSpaceDE/>
              <w:autoSpaceDN/>
              <w:bidi w:val="0"/>
              <w:adjustRightInd/>
              <w:snapToGrid w:val="0"/>
              <w:textAlignment w:val="auto"/>
              <w:rPr>
                <w:rFonts w:hint="eastAsia" w:eastAsia="宋体"/>
                <w:kern w:val="0"/>
                <w:lang w:val="en-US" w:eastAsia="zh-CN"/>
              </w:rPr>
            </w:pPr>
            <w:r>
              <w:rPr>
                <w:rFonts w:hint="eastAsia"/>
                <w:kern w:val="0"/>
                <w:lang w:val="en-US" w:eastAsia="zh-CN"/>
              </w:rPr>
              <w:t>/</w:t>
            </w:r>
          </w:p>
        </w:tc>
      </w:tr>
      <w:tr w14:paraId="04436B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90" w:type="dxa"/>
            <w:vMerge w:val="continue"/>
            <w:vAlign w:val="center"/>
          </w:tcPr>
          <w:p w14:paraId="1DE5080A">
            <w:pPr>
              <w:pStyle w:val="49"/>
              <w:keepNext w:val="0"/>
              <w:keepLines w:val="0"/>
              <w:pageBreakBefore w:val="0"/>
              <w:widowControl w:val="0"/>
              <w:kinsoku/>
              <w:wordWrap/>
              <w:overflowPunct/>
              <w:topLinePunct w:val="0"/>
              <w:autoSpaceDE/>
              <w:autoSpaceDN/>
              <w:bidi w:val="0"/>
              <w:adjustRightInd/>
              <w:snapToGrid w:val="0"/>
              <w:textAlignment w:val="auto"/>
            </w:pPr>
          </w:p>
        </w:tc>
        <w:tc>
          <w:tcPr>
            <w:tcW w:w="2141" w:type="dxa"/>
            <w:vMerge w:val="continue"/>
            <w:vAlign w:val="center"/>
          </w:tcPr>
          <w:p w14:paraId="4DED3524">
            <w:pPr>
              <w:pStyle w:val="49"/>
              <w:keepNext w:val="0"/>
              <w:keepLines w:val="0"/>
              <w:pageBreakBefore w:val="0"/>
              <w:widowControl w:val="0"/>
              <w:kinsoku/>
              <w:wordWrap/>
              <w:overflowPunct/>
              <w:topLinePunct w:val="0"/>
              <w:autoSpaceDE/>
              <w:autoSpaceDN/>
              <w:bidi w:val="0"/>
              <w:adjustRightInd/>
              <w:snapToGrid w:val="0"/>
              <w:textAlignment w:val="auto"/>
            </w:pPr>
          </w:p>
        </w:tc>
        <w:tc>
          <w:tcPr>
            <w:tcW w:w="1405" w:type="dxa"/>
            <w:vAlign w:val="center"/>
          </w:tcPr>
          <w:p w14:paraId="1645BEA8">
            <w:pPr>
              <w:pStyle w:val="49"/>
              <w:keepNext w:val="0"/>
              <w:keepLines w:val="0"/>
              <w:pageBreakBefore w:val="0"/>
              <w:widowControl w:val="0"/>
              <w:kinsoku/>
              <w:wordWrap/>
              <w:overflowPunct/>
              <w:topLinePunct w:val="0"/>
              <w:autoSpaceDE/>
              <w:autoSpaceDN/>
              <w:bidi w:val="0"/>
              <w:adjustRightInd/>
              <w:snapToGrid w:val="0"/>
              <w:textAlignment w:val="auto"/>
              <w:rPr>
                <w:rFonts w:hint="default" w:eastAsia="宋体"/>
                <w:lang w:val="en-US" w:eastAsia="zh-CN"/>
              </w:rPr>
            </w:pPr>
            <w:r>
              <w:rPr>
                <w:rFonts w:hint="eastAsia"/>
                <w:lang w:val="en-US" w:eastAsia="zh-CN"/>
              </w:rPr>
              <w:t>NOx</w:t>
            </w:r>
          </w:p>
        </w:tc>
        <w:tc>
          <w:tcPr>
            <w:tcW w:w="2140" w:type="dxa"/>
            <w:vMerge w:val="continue"/>
            <w:vAlign w:val="center"/>
          </w:tcPr>
          <w:p w14:paraId="381CABF6">
            <w:pPr>
              <w:pStyle w:val="49"/>
              <w:keepNext w:val="0"/>
              <w:keepLines w:val="0"/>
              <w:pageBreakBefore w:val="0"/>
              <w:widowControl w:val="0"/>
              <w:kinsoku/>
              <w:wordWrap/>
              <w:overflowPunct/>
              <w:topLinePunct w:val="0"/>
              <w:autoSpaceDE/>
              <w:autoSpaceDN/>
              <w:bidi w:val="0"/>
              <w:adjustRightInd/>
              <w:snapToGrid w:val="0"/>
              <w:textAlignment w:val="auto"/>
            </w:pPr>
          </w:p>
        </w:tc>
        <w:tc>
          <w:tcPr>
            <w:tcW w:w="2786" w:type="dxa"/>
            <w:gridSpan w:val="2"/>
            <w:vMerge w:val="continue"/>
            <w:vAlign w:val="center"/>
          </w:tcPr>
          <w:p w14:paraId="2C4C107C">
            <w:pPr>
              <w:pStyle w:val="49"/>
              <w:keepNext w:val="0"/>
              <w:keepLines w:val="0"/>
              <w:pageBreakBefore w:val="0"/>
              <w:widowControl w:val="0"/>
              <w:kinsoku/>
              <w:wordWrap/>
              <w:overflowPunct/>
              <w:topLinePunct w:val="0"/>
              <w:autoSpaceDE/>
              <w:autoSpaceDN/>
              <w:bidi w:val="0"/>
              <w:adjustRightInd/>
              <w:snapToGrid w:val="0"/>
              <w:textAlignment w:val="auto"/>
            </w:pPr>
          </w:p>
        </w:tc>
      </w:tr>
      <w:tr w14:paraId="79D8B8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90" w:type="dxa"/>
            <w:vMerge w:val="continue"/>
            <w:vAlign w:val="center"/>
          </w:tcPr>
          <w:p w14:paraId="1BCAD2DF">
            <w:pPr>
              <w:pStyle w:val="49"/>
              <w:keepNext w:val="0"/>
              <w:keepLines w:val="0"/>
              <w:pageBreakBefore w:val="0"/>
              <w:widowControl w:val="0"/>
              <w:kinsoku/>
              <w:wordWrap/>
              <w:overflowPunct/>
              <w:topLinePunct w:val="0"/>
              <w:autoSpaceDE/>
              <w:autoSpaceDN/>
              <w:bidi w:val="0"/>
              <w:adjustRightInd/>
              <w:snapToGrid w:val="0"/>
              <w:textAlignment w:val="auto"/>
            </w:pPr>
          </w:p>
        </w:tc>
        <w:tc>
          <w:tcPr>
            <w:tcW w:w="2141" w:type="dxa"/>
            <w:vMerge w:val="continue"/>
            <w:vAlign w:val="center"/>
          </w:tcPr>
          <w:p w14:paraId="468BCE54">
            <w:pPr>
              <w:pStyle w:val="49"/>
              <w:keepNext w:val="0"/>
              <w:keepLines w:val="0"/>
              <w:pageBreakBefore w:val="0"/>
              <w:widowControl w:val="0"/>
              <w:kinsoku/>
              <w:wordWrap/>
              <w:overflowPunct/>
              <w:topLinePunct w:val="0"/>
              <w:autoSpaceDE/>
              <w:autoSpaceDN/>
              <w:bidi w:val="0"/>
              <w:adjustRightInd/>
              <w:snapToGrid w:val="0"/>
              <w:textAlignment w:val="auto"/>
            </w:pPr>
          </w:p>
        </w:tc>
        <w:tc>
          <w:tcPr>
            <w:tcW w:w="1405" w:type="dxa"/>
            <w:vAlign w:val="center"/>
          </w:tcPr>
          <w:p w14:paraId="164C5078">
            <w:pPr>
              <w:pStyle w:val="49"/>
              <w:keepNext w:val="0"/>
              <w:keepLines w:val="0"/>
              <w:pageBreakBefore w:val="0"/>
              <w:widowControl w:val="0"/>
              <w:kinsoku/>
              <w:wordWrap/>
              <w:overflowPunct/>
              <w:topLinePunct w:val="0"/>
              <w:autoSpaceDE/>
              <w:autoSpaceDN/>
              <w:bidi w:val="0"/>
              <w:adjustRightInd/>
              <w:snapToGrid w:val="0"/>
              <w:textAlignment w:val="auto"/>
              <w:rPr>
                <w:rFonts w:hint="default" w:eastAsia="宋体"/>
                <w:lang w:val="en-US" w:eastAsia="zh-CN"/>
              </w:rPr>
            </w:pPr>
            <w:r>
              <w:rPr>
                <w:rFonts w:hint="eastAsia"/>
                <w:lang w:val="en-US" w:eastAsia="zh-CN"/>
              </w:rPr>
              <w:t>THC</w:t>
            </w:r>
          </w:p>
        </w:tc>
        <w:tc>
          <w:tcPr>
            <w:tcW w:w="2140" w:type="dxa"/>
            <w:vMerge w:val="continue"/>
            <w:vAlign w:val="center"/>
          </w:tcPr>
          <w:p w14:paraId="2F13E2E8">
            <w:pPr>
              <w:pStyle w:val="49"/>
              <w:keepNext w:val="0"/>
              <w:keepLines w:val="0"/>
              <w:pageBreakBefore w:val="0"/>
              <w:widowControl w:val="0"/>
              <w:kinsoku/>
              <w:wordWrap/>
              <w:overflowPunct/>
              <w:topLinePunct w:val="0"/>
              <w:autoSpaceDE/>
              <w:autoSpaceDN/>
              <w:bidi w:val="0"/>
              <w:adjustRightInd/>
              <w:snapToGrid w:val="0"/>
              <w:textAlignment w:val="auto"/>
            </w:pPr>
          </w:p>
        </w:tc>
        <w:tc>
          <w:tcPr>
            <w:tcW w:w="2786" w:type="dxa"/>
            <w:gridSpan w:val="2"/>
            <w:vMerge w:val="continue"/>
            <w:vAlign w:val="center"/>
          </w:tcPr>
          <w:p w14:paraId="650F0C54">
            <w:pPr>
              <w:pStyle w:val="49"/>
              <w:keepNext w:val="0"/>
              <w:keepLines w:val="0"/>
              <w:pageBreakBefore w:val="0"/>
              <w:widowControl w:val="0"/>
              <w:kinsoku/>
              <w:wordWrap/>
              <w:overflowPunct/>
              <w:topLinePunct w:val="0"/>
              <w:autoSpaceDE/>
              <w:autoSpaceDN/>
              <w:bidi w:val="0"/>
              <w:adjustRightInd/>
              <w:snapToGrid w:val="0"/>
              <w:textAlignment w:val="auto"/>
            </w:pPr>
          </w:p>
        </w:tc>
      </w:tr>
      <w:tr w14:paraId="0BB092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90" w:type="dxa"/>
            <w:vMerge w:val="restart"/>
            <w:vAlign w:val="center"/>
          </w:tcPr>
          <w:p w14:paraId="28324921">
            <w:pPr>
              <w:pStyle w:val="49"/>
              <w:keepNext w:val="0"/>
              <w:keepLines w:val="0"/>
              <w:pageBreakBefore w:val="0"/>
              <w:widowControl w:val="0"/>
              <w:kinsoku/>
              <w:wordWrap/>
              <w:overflowPunct/>
              <w:topLinePunct w:val="0"/>
              <w:autoSpaceDE/>
              <w:autoSpaceDN/>
              <w:bidi w:val="0"/>
              <w:adjustRightInd/>
              <w:snapToGrid w:val="0"/>
              <w:textAlignment w:val="auto"/>
            </w:pPr>
            <w:r>
              <w:rPr>
                <w:rFonts w:hint="eastAsia"/>
              </w:rPr>
              <w:t>地表水环境</w:t>
            </w:r>
          </w:p>
        </w:tc>
        <w:tc>
          <w:tcPr>
            <w:tcW w:w="2141" w:type="dxa"/>
            <w:vMerge w:val="restart"/>
            <w:vAlign w:val="center"/>
          </w:tcPr>
          <w:p w14:paraId="5C6FABFE">
            <w:pPr>
              <w:pStyle w:val="49"/>
              <w:keepNext w:val="0"/>
              <w:keepLines w:val="0"/>
              <w:pageBreakBefore w:val="0"/>
              <w:widowControl w:val="0"/>
              <w:kinsoku/>
              <w:wordWrap/>
              <w:overflowPunct/>
              <w:topLinePunct w:val="0"/>
              <w:autoSpaceDE/>
              <w:autoSpaceDN/>
              <w:bidi w:val="0"/>
              <w:adjustRightInd/>
              <w:snapToGrid w:val="0"/>
              <w:textAlignment w:val="auto"/>
              <w:rPr>
                <w:rFonts w:hint="default" w:eastAsia="宋体"/>
                <w:lang w:val="en-US" w:eastAsia="zh-CN"/>
              </w:rPr>
            </w:pPr>
            <w:r>
              <w:rPr>
                <w:rFonts w:hint="eastAsia"/>
                <w:lang w:val="en-US" w:eastAsia="zh-CN"/>
              </w:rPr>
              <w:t>生活污水</w:t>
            </w:r>
          </w:p>
        </w:tc>
        <w:tc>
          <w:tcPr>
            <w:tcW w:w="1405" w:type="dxa"/>
            <w:vAlign w:val="center"/>
          </w:tcPr>
          <w:p w14:paraId="34409B56">
            <w:pPr>
              <w:pStyle w:val="49"/>
              <w:keepNext w:val="0"/>
              <w:keepLines w:val="0"/>
              <w:pageBreakBefore w:val="0"/>
              <w:widowControl w:val="0"/>
              <w:kinsoku/>
              <w:wordWrap/>
              <w:overflowPunct/>
              <w:topLinePunct w:val="0"/>
              <w:autoSpaceDE/>
              <w:autoSpaceDN/>
              <w:bidi w:val="0"/>
              <w:adjustRightInd/>
              <w:snapToGrid w:val="0"/>
              <w:textAlignment w:val="auto"/>
            </w:pPr>
            <w:r>
              <w:t>pH</w:t>
            </w:r>
          </w:p>
        </w:tc>
        <w:tc>
          <w:tcPr>
            <w:tcW w:w="2140" w:type="dxa"/>
            <w:vMerge w:val="restart"/>
            <w:vAlign w:val="center"/>
          </w:tcPr>
          <w:p w14:paraId="24E788F2">
            <w:pPr>
              <w:pStyle w:val="49"/>
              <w:keepNext w:val="0"/>
              <w:keepLines w:val="0"/>
              <w:pageBreakBefore w:val="0"/>
              <w:widowControl w:val="0"/>
              <w:kinsoku/>
              <w:wordWrap/>
              <w:overflowPunct/>
              <w:topLinePunct w:val="0"/>
              <w:autoSpaceDE/>
              <w:autoSpaceDN/>
              <w:bidi w:val="0"/>
              <w:adjustRightInd/>
              <w:snapToGrid w:val="0"/>
              <w:textAlignment w:val="auto"/>
              <w:rPr>
                <w:rFonts w:hint="default" w:eastAsia="宋体"/>
                <w:sz w:val="28"/>
                <w:lang w:val="en-US" w:eastAsia="zh-CN"/>
              </w:rPr>
            </w:pPr>
            <w:r>
              <w:rPr>
                <w:rFonts w:hint="eastAsia"/>
                <w:lang w:val="en-US" w:eastAsia="zh-CN"/>
              </w:rPr>
              <w:t>油水分离器+化粪池</w:t>
            </w:r>
            <w:r>
              <w:rPr>
                <w:rFonts w:hint="eastAsia"/>
                <w:color w:val="FF0000"/>
                <w:lang w:val="en-US" w:eastAsia="zh-CN"/>
              </w:rPr>
              <w:t>（有效容积为5m</w:t>
            </w:r>
            <w:r>
              <w:rPr>
                <w:rFonts w:hint="eastAsia"/>
                <w:color w:val="FF0000"/>
                <w:vertAlign w:val="superscript"/>
                <w:lang w:val="en-US" w:eastAsia="zh-CN"/>
              </w:rPr>
              <w:t>3</w:t>
            </w:r>
            <w:r>
              <w:rPr>
                <w:rFonts w:hint="eastAsia"/>
                <w:color w:val="FF0000"/>
                <w:lang w:val="en-US" w:eastAsia="zh-CN"/>
              </w:rPr>
              <w:t>）</w:t>
            </w:r>
          </w:p>
        </w:tc>
        <w:tc>
          <w:tcPr>
            <w:tcW w:w="1393" w:type="dxa"/>
            <w:vAlign w:val="center"/>
          </w:tcPr>
          <w:p w14:paraId="387C15AE">
            <w:pPr>
              <w:pStyle w:val="49"/>
              <w:keepNext w:val="0"/>
              <w:keepLines w:val="0"/>
              <w:pageBreakBefore w:val="0"/>
              <w:widowControl w:val="0"/>
              <w:kinsoku/>
              <w:wordWrap/>
              <w:overflowPunct/>
              <w:topLinePunct w:val="0"/>
              <w:autoSpaceDE/>
              <w:autoSpaceDN/>
              <w:bidi w:val="0"/>
              <w:adjustRightInd/>
              <w:snapToGrid w:val="0"/>
              <w:textAlignment w:val="auto"/>
              <w:rPr>
                <w:rFonts w:hint="default" w:eastAsia="宋体"/>
                <w:color w:val="FF0000"/>
                <w:lang w:val="en-US" w:eastAsia="zh-CN"/>
              </w:rPr>
            </w:pPr>
            <w:r>
              <w:rPr>
                <w:rFonts w:hint="eastAsia"/>
                <w:color w:val="auto"/>
                <w:lang w:val="en-US" w:eastAsia="zh-CN"/>
              </w:rPr>
              <w:t>6-9</w:t>
            </w:r>
          </w:p>
        </w:tc>
        <w:tc>
          <w:tcPr>
            <w:tcW w:w="1393" w:type="dxa"/>
            <w:vMerge w:val="restart"/>
            <w:vAlign w:val="center"/>
          </w:tcPr>
          <w:p w14:paraId="234812E9">
            <w:pPr>
              <w:pStyle w:val="49"/>
              <w:keepNext w:val="0"/>
              <w:keepLines w:val="0"/>
              <w:pageBreakBefore w:val="0"/>
              <w:widowControl w:val="0"/>
              <w:kinsoku/>
              <w:wordWrap/>
              <w:overflowPunct/>
              <w:topLinePunct w:val="0"/>
              <w:autoSpaceDE/>
              <w:autoSpaceDN/>
              <w:bidi w:val="0"/>
              <w:adjustRightInd/>
              <w:snapToGrid w:val="0"/>
              <w:textAlignment w:val="auto"/>
              <w:rPr>
                <w:rFonts w:hint="default" w:eastAsia="宋体"/>
                <w:color w:val="FF0000"/>
                <w:lang w:val="en-US" w:eastAsia="zh-CN"/>
              </w:rPr>
            </w:pPr>
            <w:r>
              <w:rPr>
                <w:rFonts w:hint="eastAsia"/>
                <w:color w:val="auto"/>
                <w:lang w:val="en-US" w:eastAsia="zh-CN"/>
              </w:rPr>
              <w:t>红心村污水处理站接管标准</w:t>
            </w:r>
          </w:p>
        </w:tc>
      </w:tr>
      <w:tr w14:paraId="715B02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90" w:type="dxa"/>
            <w:vMerge w:val="continue"/>
            <w:vAlign w:val="center"/>
          </w:tcPr>
          <w:p w14:paraId="3E19782F">
            <w:pPr>
              <w:pStyle w:val="49"/>
              <w:keepNext w:val="0"/>
              <w:keepLines w:val="0"/>
              <w:pageBreakBefore w:val="0"/>
              <w:widowControl w:val="0"/>
              <w:kinsoku/>
              <w:wordWrap/>
              <w:overflowPunct/>
              <w:topLinePunct w:val="0"/>
              <w:autoSpaceDE/>
              <w:autoSpaceDN/>
              <w:bidi w:val="0"/>
              <w:adjustRightInd/>
              <w:snapToGrid w:val="0"/>
              <w:textAlignment w:val="auto"/>
            </w:pPr>
          </w:p>
        </w:tc>
        <w:tc>
          <w:tcPr>
            <w:tcW w:w="2141" w:type="dxa"/>
            <w:vMerge w:val="continue"/>
            <w:vAlign w:val="center"/>
          </w:tcPr>
          <w:p w14:paraId="29770CBE">
            <w:pPr>
              <w:pStyle w:val="49"/>
              <w:keepNext w:val="0"/>
              <w:keepLines w:val="0"/>
              <w:pageBreakBefore w:val="0"/>
              <w:widowControl w:val="0"/>
              <w:kinsoku/>
              <w:wordWrap/>
              <w:overflowPunct/>
              <w:topLinePunct w:val="0"/>
              <w:autoSpaceDE/>
              <w:autoSpaceDN/>
              <w:bidi w:val="0"/>
              <w:adjustRightInd/>
              <w:snapToGrid w:val="0"/>
              <w:textAlignment w:val="auto"/>
            </w:pPr>
          </w:p>
        </w:tc>
        <w:tc>
          <w:tcPr>
            <w:tcW w:w="1405" w:type="dxa"/>
            <w:vAlign w:val="center"/>
          </w:tcPr>
          <w:p w14:paraId="7429CBD5">
            <w:pPr>
              <w:pStyle w:val="49"/>
              <w:keepNext w:val="0"/>
              <w:keepLines w:val="0"/>
              <w:pageBreakBefore w:val="0"/>
              <w:widowControl w:val="0"/>
              <w:kinsoku/>
              <w:wordWrap/>
              <w:overflowPunct/>
              <w:topLinePunct w:val="0"/>
              <w:autoSpaceDE/>
              <w:autoSpaceDN/>
              <w:bidi w:val="0"/>
              <w:adjustRightInd/>
              <w:snapToGrid w:val="0"/>
              <w:textAlignment w:val="auto"/>
              <w:rPr>
                <w:rFonts w:hint="default" w:eastAsia="宋体"/>
                <w:lang w:val="en-US" w:eastAsia="zh-CN"/>
              </w:rPr>
            </w:pPr>
            <w:r>
              <w:rPr>
                <w:rFonts w:hint="eastAsia"/>
              </w:rPr>
              <w:t>COD</w:t>
            </w:r>
            <w:r>
              <w:rPr>
                <w:rFonts w:hint="eastAsia"/>
                <w:vertAlign w:val="subscript"/>
                <w:lang w:val="en-US" w:eastAsia="zh-CN"/>
              </w:rPr>
              <w:t>Cr</w:t>
            </w:r>
          </w:p>
        </w:tc>
        <w:tc>
          <w:tcPr>
            <w:tcW w:w="2140" w:type="dxa"/>
            <w:vMerge w:val="continue"/>
            <w:vAlign w:val="center"/>
          </w:tcPr>
          <w:p w14:paraId="70F588F8">
            <w:pPr>
              <w:pStyle w:val="49"/>
              <w:keepNext w:val="0"/>
              <w:keepLines w:val="0"/>
              <w:pageBreakBefore w:val="0"/>
              <w:widowControl w:val="0"/>
              <w:kinsoku/>
              <w:wordWrap/>
              <w:overflowPunct/>
              <w:topLinePunct w:val="0"/>
              <w:autoSpaceDE/>
              <w:autoSpaceDN/>
              <w:bidi w:val="0"/>
              <w:adjustRightInd/>
              <w:snapToGrid w:val="0"/>
              <w:textAlignment w:val="auto"/>
            </w:pPr>
          </w:p>
        </w:tc>
        <w:tc>
          <w:tcPr>
            <w:tcW w:w="1393" w:type="dxa"/>
            <w:vAlign w:val="center"/>
          </w:tcPr>
          <w:p w14:paraId="6C49626E">
            <w:pPr>
              <w:pStyle w:val="49"/>
              <w:keepNext w:val="0"/>
              <w:keepLines w:val="0"/>
              <w:pageBreakBefore w:val="0"/>
              <w:widowControl w:val="0"/>
              <w:kinsoku/>
              <w:wordWrap/>
              <w:overflowPunct/>
              <w:topLinePunct w:val="0"/>
              <w:autoSpaceDE/>
              <w:autoSpaceDN/>
              <w:bidi w:val="0"/>
              <w:adjustRightInd/>
              <w:snapToGrid w:val="0"/>
              <w:textAlignment w:val="auto"/>
              <w:rPr>
                <w:rFonts w:hint="default" w:eastAsia="宋体"/>
                <w:lang w:val="en-US" w:eastAsia="zh-CN"/>
              </w:rPr>
            </w:pPr>
            <w:r>
              <w:rPr>
                <w:rFonts w:hint="eastAsia"/>
                <w:lang w:val="en-US" w:eastAsia="zh-CN"/>
              </w:rPr>
              <w:t>220</w:t>
            </w:r>
          </w:p>
        </w:tc>
        <w:tc>
          <w:tcPr>
            <w:tcW w:w="1393" w:type="dxa"/>
            <w:vMerge w:val="continue"/>
            <w:vAlign w:val="center"/>
          </w:tcPr>
          <w:p w14:paraId="7D4EC7D6">
            <w:pPr>
              <w:pStyle w:val="49"/>
              <w:keepNext w:val="0"/>
              <w:keepLines w:val="0"/>
              <w:pageBreakBefore w:val="0"/>
              <w:widowControl w:val="0"/>
              <w:kinsoku/>
              <w:wordWrap/>
              <w:overflowPunct/>
              <w:topLinePunct w:val="0"/>
              <w:autoSpaceDE/>
              <w:autoSpaceDN/>
              <w:bidi w:val="0"/>
              <w:adjustRightInd/>
              <w:snapToGrid w:val="0"/>
              <w:textAlignment w:val="auto"/>
            </w:pPr>
          </w:p>
        </w:tc>
      </w:tr>
      <w:tr w14:paraId="053FD3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90" w:type="dxa"/>
            <w:vMerge w:val="continue"/>
            <w:vAlign w:val="center"/>
          </w:tcPr>
          <w:p w14:paraId="17B416DF">
            <w:pPr>
              <w:pStyle w:val="49"/>
              <w:keepNext w:val="0"/>
              <w:keepLines w:val="0"/>
              <w:pageBreakBefore w:val="0"/>
              <w:widowControl w:val="0"/>
              <w:kinsoku/>
              <w:wordWrap/>
              <w:overflowPunct/>
              <w:topLinePunct w:val="0"/>
              <w:autoSpaceDE/>
              <w:autoSpaceDN/>
              <w:bidi w:val="0"/>
              <w:adjustRightInd/>
              <w:snapToGrid w:val="0"/>
              <w:textAlignment w:val="auto"/>
            </w:pPr>
          </w:p>
        </w:tc>
        <w:tc>
          <w:tcPr>
            <w:tcW w:w="2141" w:type="dxa"/>
            <w:vMerge w:val="continue"/>
            <w:vAlign w:val="center"/>
          </w:tcPr>
          <w:p w14:paraId="1EB8F754">
            <w:pPr>
              <w:pStyle w:val="49"/>
              <w:keepNext w:val="0"/>
              <w:keepLines w:val="0"/>
              <w:pageBreakBefore w:val="0"/>
              <w:widowControl w:val="0"/>
              <w:kinsoku/>
              <w:wordWrap/>
              <w:overflowPunct/>
              <w:topLinePunct w:val="0"/>
              <w:autoSpaceDE/>
              <w:autoSpaceDN/>
              <w:bidi w:val="0"/>
              <w:adjustRightInd/>
              <w:snapToGrid w:val="0"/>
              <w:textAlignment w:val="auto"/>
            </w:pPr>
          </w:p>
        </w:tc>
        <w:tc>
          <w:tcPr>
            <w:tcW w:w="1405" w:type="dxa"/>
            <w:vAlign w:val="center"/>
          </w:tcPr>
          <w:p w14:paraId="4B984AAD">
            <w:pPr>
              <w:pStyle w:val="49"/>
              <w:keepNext w:val="0"/>
              <w:keepLines w:val="0"/>
              <w:pageBreakBefore w:val="0"/>
              <w:widowControl w:val="0"/>
              <w:kinsoku/>
              <w:wordWrap/>
              <w:overflowPunct/>
              <w:topLinePunct w:val="0"/>
              <w:autoSpaceDE/>
              <w:autoSpaceDN/>
              <w:bidi w:val="0"/>
              <w:adjustRightInd/>
              <w:snapToGrid w:val="0"/>
              <w:textAlignment w:val="auto"/>
            </w:pPr>
            <w:r>
              <w:t>BOD</w:t>
            </w:r>
            <w:r>
              <w:rPr>
                <w:vertAlign w:val="subscript"/>
              </w:rPr>
              <w:t>5</w:t>
            </w:r>
          </w:p>
        </w:tc>
        <w:tc>
          <w:tcPr>
            <w:tcW w:w="2140" w:type="dxa"/>
            <w:vMerge w:val="continue"/>
            <w:vAlign w:val="center"/>
          </w:tcPr>
          <w:p w14:paraId="54E80B9E">
            <w:pPr>
              <w:pStyle w:val="49"/>
              <w:keepNext w:val="0"/>
              <w:keepLines w:val="0"/>
              <w:pageBreakBefore w:val="0"/>
              <w:widowControl w:val="0"/>
              <w:kinsoku/>
              <w:wordWrap/>
              <w:overflowPunct/>
              <w:topLinePunct w:val="0"/>
              <w:autoSpaceDE/>
              <w:autoSpaceDN/>
              <w:bidi w:val="0"/>
              <w:adjustRightInd/>
              <w:snapToGrid w:val="0"/>
              <w:textAlignment w:val="auto"/>
            </w:pPr>
          </w:p>
        </w:tc>
        <w:tc>
          <w:tcPr>
            <w:tcW w:w="1393" w:type="dxa"/>
            <w:vAlign w:val="center"/>
          </w:tcPr>
          <w:p w14:paraId="23A0529F">
            <w:pPr>
              <w:pStyle w:val="49"/>
              <w:keepNext w:val="0"/>
              <w:keepLines w:val="0"/>
              <w:pageBreakBefore w:val="0"/>
              <w:widowControl w:val="0"/>
              <w:kinsoku/>
              <w:wordWrap/>
              <w:overflowPunct/>
              <w:topLinePunct w:val="0"/>
              <w:autoSpaceDE/>
              <w:autoSpaceDN/>
              <w:bidi w:val="0"/>
              <w:adjustRightInd/>
              <w:snapToGrid w:val="0"/>
              <w:textAlignment w:val="auto"/>
              <w:rPr>
                <w:rFonts w:hint="default" w:eastAsia="宋体"/>
                <w:lang w:val="en-US" w:eastAsia="zh-CN"/>
              </w:rPr>
            </w:pPr>
            <w:r>
              <w:rPr>
                <w:rFonts w:hint="eastAsia"/>
                <w:lang w:val="en-US" w:eastAsia="zh-CN"/>
              </w:rPr>
              <w:t>120</w:t>
            </w:r>
          </w:p>
        </w:tc>
        <w:tc>
          <w:tcPr>
            <w:tcW w:w="1393" w:type="dxa"/>
            <w:vMerge w:val="continue"/>
            <w:vAlign w:val="center"/>
          </w:tcPr>
          <w:p w14:paraId="78706936">
            <w:pPr>
              <w:pStyle w:val="49"/>
              <w:keepNext w:val="0"/>
              <w:keepLines w:val="0"/>
              <w:pageBreakBefore w:val="0"/>
              <w:widowControl w:val="0"/>
              <w:kinsoku/>
              <w:wordWrap/>
              <w:overflowPunct/>
              <w:topLinePunct w:val="0"/>
              <w:autoSpaceDE/>
              <w:autoSpaceDN/>
              <w:bidi w:val="0"/>
              <w:adjustRightInd/>
              <w:snapToGrid w:val="0"/>
              <w:textAlignment w:val="auto"/>
            </w:pPr>
          </w:p>
        </w:tc>
      </w:tr>
      <w:tr w14:paraId="0D6A37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90" w:type="dxa"/>
            <w:vMerge w:val="continue"/>
            <w:vAlign w:val="center"/>
          </w:tcPr>
          <w:p w14:paraId="1AD3A7AD">
            <w:pPr>
              <w:pStyle w:val="49"/>
              <w:keepNext w:val="0"/>
              <w:keepLines w:val="0"/>
              <w:pageBreakBefore w:val="0"/>
              <w:widowControl w:val="0"/>
              <w:kinsoku/>
              <w:wordWrap/>
              <w:overflowPunct/>
              <w:topLinePunct w:val="0"/>
              <w:autoSpaceDE/>
              <w:autoSpaceDN/>
              <w:bidi w:val="0"/>
              <w:adjustRightInd/>
              <w:snapToGrid w:val="0"/>
              <w:textAlignment w:val="auto"/>
            </w:pPr>
          </w:p>
        </w:tc>
        <w:tc>
          <w:tcPr>
            <w:tcW w:w="2141" w:type="dxa"/>
            <w:vMerge w:val="continue"/>
            <w:vAlign w:val="center"/>
          </w:tcPr>
          <w:p w14:paraId="7C5FED2C">
            <w:pPr>
              <w:pStyle w:val="49"/>
              <w:keepNext w:val="0"/>
              <w:keepLines w:val="0"/>
              <w:pageBreakBefore w:val="0"/>
              <w:widowControl w:val="0"/>
              <w:kinsoku/>
              <w:wordWrap/>
              <w:overflowPunct/>
              <w:topLinePunct w:val="0"/>
              <w:autoSpaceDE/>
              <w:autoSpaceDN/>
              <w:bidi w:val="0"/>
              <w:adjustRightInd/>
              <w:snapToGrid w:val="0"/>
              <w:textAlignment w:val="auto"/>
            </w:pPr>
          </w:p>
        </w:tc>
        <w:tc>
          <w:tcPr>
            <w:tcW w:w="1405" w:type="dxa"/>
            <w:vAlign w:val="center"/>
          </w:tcPr>
          <w:p w14:paraId="45936DCB">
            <w:pPr>
              <w:pStyle w:val="49"/>
              <w:keepNext w:val="0"/>
              <w:keepLines w:val="0"/>
              <w:pageBreakBefore w:val="0"/>
              <w:widowControl w:val="0"/>
              <w:kinsoku/>
              <w:wordWrap/>
              <w:overflowPunct/>
              <w:topLinePunct w:val="0"/>
              <w:autoSpaceDE/>
              <w:autoSpaceDN/>
              <w:bidi w:val="0"/>
              <w:adjustRightInd/>
              <w:snapToGrid w:val="0"/>
              <w:textAlignment w:val="auto"/>
              <w:rPr>
                <w:rFonts w:hint="default" w:eastAsia="宋体"/>
                <w:lang w:val="en-US" w:eastAsia="zh-CN"/>
              </w:rPr>
            </w:pPr>
            <w:r>
              <w:rPr>
                <w:rFonts w:hint="eastAsia"/>
                <w:lang w:val="en-US" w:eastAsia="zh-CN"/>
              </w:rPr>
              <w:t>SS</w:t>
            </w:r>
          </w:p>
        </w:tc>
        <w:tc>
          <w:tcPr>
            <w:tcW w:w="2140" w:type="dxa"/>
            <w:vMerge w:val="continue"/>
            <w:vAlign w:val="center"/>
          </w:tcPr>
          <w:p w14:paraId="19D7D55C">
            <w:pPr>
              <w:pStyle w:val="49"/>
              <w:keepNext w:val="0"/>
              <w:keepLines w:val="0"/>
              <w:pageBreakBefore w:val="0"/>
              <w:widowControl w:val="0"/>
              <w:kinsoku/>
              <w:wordWrap/>
              <w:overflowPunct/>
              <w:topLinePunct w:val="0"/>
              <w:autoSpaceDE/>
              <w:autoSpaceDN/>
              <w:bidi w:val="0"/>
              <w:adjustRightInd/>
              <w:snapToGrid w:val="0"/>
              <w:textAlignment w:val="auto"/>
            </w:pPr>
          </w:p>
        </w:tc>
        <w:tc>
          <w:tcPr>
            <w:tcW w:w="1393" w:type="dxa"/>
            <w:vAlign w:val="center"/>
          </w:tcPr>
          <w:p w14:paraId="1330D10A">
            <w:pPr>
              <w:pStyle w:val="49"/>
              <w:keepNext w:val="0"/>
              <w:keepLines w:val="0"/>
              <w:pageBreakBefore w:val="0"/>
              <w:widowControl w:val="0"/>
              <w:kinsoku/>
              <w:wordWrap/>
              <w:overflowPunct/>
              <w:topLinePunct w:val="0"/>
              <w:autoSpaceDE/>
              <w:autoSpaceDN/>
              <w:bidi w:val="0"/>
              <w:adjustRightInd/>
              <w:snapToGrid w:val="0"/>
              <w:textAlignment w:val="auto"/>
              <w:rPr>
                <w:rFonts w:hint="default" w:eastAsia="宋体"/>
                <w:lang w:val="en-US" w:eastAsia="zh-CN"/>
              </w:rPr>
            </w:pPr>
            <w:r>
              <w:rPr>
                <w:rFonts w:hint="eastAsia"/>
                <w:lang w:val="en-US" w:eastAsia="zh-CN"/>
              </w:rPr>
              <w:t>200</w:t>
            </w:r>
          </w:p>
        </w:tc>
        <w:tc>
          <w:tcPr>
            <w:tcW w:w="1393" w:type="dxa"/>
            <w:vMerge w:val="continue"/>
            <w:vAlign w:val="center"/>
          </w:tcPr>
          <w:p w14:paraId="3E15E500">
            <w:pPr>
              <w:pStyle w:val="49"/>
              <w:keepNext w:val="0"/>
              <w:keepLines w:val="0"/>
              <w:pageBreakBefore w:val="0"/>
              <w:widowControl w:val="0"/>
              <w:kinsoku/>
              <w:wordWrap/>
              <w:overflowPunct/>
              <w:topLinePunct w:val="0"/>
              <w:autoSpaceDE/>
              <w:autoSpaceDN/>
              <w:bidi w:val="0"/>
              <w:adjustRightInd/>
              <w:snapToGrid w:val="0"/>
              <w:textAlignment w:val="auto"/>
            </w:pPr>
          </w:p>
        </w:tc>
      </w:tr>
      <w:tr w14:paraId="6ABEA2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90" w:type="dxa"/>
            <w:vMerge w:val="continue"/>
            <w:vAlign w:val="center"/>
          </w:tcPr>
          <w:p w14:paraId="2B301247">
            <w:pPr>
              <w:pStyle w:val="49"/>
              <w:keepNext w:val="0"/>
              <w:keepLines w:val="0"/>
              <w:pageBreakBefore w:val="0"/>
              <w:widowControl w:val="0"/>
              <w:kinsoku/>
              <w:wordWrap/>
              <w:overflowPunct/>
              <w:topLinePunct w:val="0"/>
              <w:autoSpaceDE/>
              <w:autoSpaceDN/>
              <w:bidi w:val="0"/>
              <w:adjustRightInd/>
              <w:snapToGrid w:val="0"/>
              <w:textAlignment w:val="auto"/>
            </w:pPr>
          </w:p>
        </w:tc>
        <w:tc>
          <w:tcPr>
            <w:tcW w:w="2141" w:type="dxa"/>
            <w:vMerge w:val="continue"/>
            <w:vAlign w:val="center"/>
          </w:tcPr>
          <w:p w14:paraId="22898462">
            <w:pPr>
              <w:pStyle w:val="49"/>
              <w:keepNext w:val="0"/>
              <w:keepLines w:val="0"/>
              <w:pageBreakBefore w:val="0"/>
              <w:widowControl w:val="0"/>
              <w:kinsoku/>
              <w:wordWrap/>
              <w:overflowPunct/>
              <w:topLinePunct w:val="0"/>
              <w:autoSpaceDE/>
              <w:autoSpaceDN/>
              <w:bidi w:val="0"/>
              <w:adjustRightInd/>
              <w:snapToGrid w:val="0"/>
              <w:textAlignment w:val="auto"/>
            </w:pPr>
          </w:p>
        </w:tc>
        <w:tc>
          <w:tcPr>
            <w:tcW w:w="1405" w:type="dxa"/>
            <w:vAlign w:val="center"/>
          </w:tcPr>
          <w:p w14:paraId="0B248796">
            <w:pPr>
              <w:pStyle w:val="49"/>
              <w:keepNext w:val="0"/>
              <w:keepLines w:val="0"/>
              <w:pageBreakBefore w:val="0"/>
              <w:widowControl w:val="0"/>
              <w:kinsoku/>
              <w:wordWrap/>
              <w:overflowPunct/>
              <w:topLinePunct w:val="0"/>
              <w:autoSpaceDE/>
              <w:autoSpaceDN/>
              <w:bidi w:val="0"/>
              <w:adjustRightInd/>
              <w:snapToGrid w:val="0"/>
              <w:textAlignment w:val="auto"/>
              <w:rPr>
                <w:rFonts w:hint="default" w:eastAsia="宋体"/>
                <w:lang w:val="en-US" w:eastAsia="zh-CN"/>
              </w:rPr>
            </w:pPr>
            <w:r>
              <w:rPr>
                <w:rFonts w:hint="eastAsia"/>
                <w:lang w:val="en-US" w:eastAsia="zh-CN"/>
              </w:rPr>
              <w:t>NH</w:t>
            </w:r>
            <w:r>
              <w:rPr>
                <w:rFonts w:hint="eastAsia"/>
                <w:vertAlign w:val="subscript"/>
                <w:lang w:val="en-US" w:eastAsia="zh-CN"/>
              </w:rPr>
              <w:t>3</w:t>
            </w:r>
            <w:r>
              <w:rPr>
                <w:rFonts w:hint="eastAsia"/>
                <w:lang w:val="en-US" w:eastAsia="zh-CN"/>
              </w:rPr>
              <w:t>-N</w:t>
            </w:r>
          </w:p>
        </w:tc>
        <w:tc>
          <w:tcPr>
            <w:tcW w:w="2140" w:type="dxa"/>
            <w:vMerge w:val="continue"/>
            <w:vAlign w:val="center"/>
          </w:tcPr>
          <w:p w14:paraId="537517D1">
            <w:pPr>
              <w:pStyle w:val="49"/>
              <w:keepNext w:val="0"/>
              <w:keepLines w:val="0"/>
              <w:pageBreakBefore w:val="0"/>
              <w:widowControl w:val="0"/>
              <w:kinsoku/>
              <w:wordWrap/>
              <w:overflowPunct/>
              <w:topLinePunct w:val="0"/>
              <w:autoSpaceDE/>
              <w:autoSpaceDN/>
              <w:bidi w:val="0"/>
              <w:adjustRightInd/>
              <w:snapToGrid w:val="0"/>
              <w:textAlignment w:val="auto"/>
            </w:pPr>
          </w:p>
        </w:tc>
        <w:tc>
          <w:tcPr>
            <w:tcW w:w="1393" w:type="dxa"/>
            <w:vAlign w:val="center"/>
          </w:tcPr>
          <w:p w14:paraId="4E56EE36">
            <w:pPr>
              <w:pStyle w:val="49"/>
              <w:keepNext w:val="0"/>
              <w:keepLines w:val="0"/>
              <w:pageBreakBefore w:val="0"/>
              <w:widowControl w:val="0"/>
              <w:kinsoku/>
              <w:wordWrap/>
              <w:overflowPunct/>
              <w:topLinePunct w:val="0"/>
              <w:autoSpaceDE/>
              <w:autoSpaceDN/>
              <w:bidi w:val="0"/>
              <w:adjustRightInd/>
              <w:snapToGrid w:val="0"/>
              <w:textAlignment w:val="auto"/>
              <w:rPr>
                <w:rFonts w:hint="default" w:eastAsia="宋体"/>
                <w:lang w:val="en-US" w:eastAsia="zh-CN"/>
              </w:rPr>
            </w:pPr>
            <w:r>
              <w:rPr>
                <w:rFonts w:hint="eastAsia"/>
                <w:lang w:val="en-US" w:eastAsia="zh-CN"/>
              </w:rPr>
              <w:t>25</w:t>
            </w:r>
          </w:p>
        </w:tc>
        <w:tc>
          <w:tcPr>
            <w:tcW w:w="1393" w:type="dxa"/>
            <w:vMerge w:val="continue"/>
            <w:vAlign w:val="center"/>
          </w:tcPr>
          <w:p w14:paraId="2D530BD9">
            <w:pPr>
              <w:pStyle w:val="49"/>
              <w:keepNext w:val="0"/>
              <w:keepLines w:val="0"/>
              <w:pageBreakBefore w:val="0"/>
              <w:widowControl w:val="0"/>
              <w:kinsoku/>
              <w:wordWrap/>
              <w:overflowPunct/>
              <w:topLinePunct w:val="0"/>
              <w:autoSpaceDE/>
              <w:autoSpaceDN/>
              <w:bidi w:val="0"/>
              <w:adjustRightInd/>
              <w:snapToGrid w:val="0"/>
              <w:textAlignment w:val="auto"/>
            </w:pPr>
          </w:p>
        </w:tc>
      </w:tr>
      <w:tr w14:paraId="146280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90" w:type="dxa"/>
            <w:vMerge w:val="continue"/>
            <w:vAlign w:val="center"/>
          </w:tcPr>
          <w:p w14:paraId="073CD870">
            <w:pPr>
              <w:pStyle w:val="49"/>
              <w:keepNext w:val="0"/>
              <w:keepLines w:val="0"/>
              <w:pageBreakBefore w:val="0"/>
              <w:widowControl w:val="0"/>
              <w:kinsoku/>
              <w:wordWrap/>
              <w:overflowPunct/>
              <w:topLinePunct w:val="0"/>
              <w:autoSpaceDE/>
              <w:autoSpaceDN/>
              <w:bidi w:val="0"/>
              <w:adjustRightInd/>
              <w:snapToGrid w:val="0"/>
              <w:textAlignment w:val="auto"/>
            </w:pPr>
          </w:p>
        </w:tc>
        <w:tc>
          <w:tcPr>
            <w:tcW w:w="2141" w:type="dxa"/>
            <w:vMerge w:val="continue"/>
            <w:vAlign w:val="center"/>
          </w:tcPr>
          <w:p w14:paraId="7DA52346">
            <w:pPr>
              <w:pStyle w:val="49"/>
              <w:keepNext w:val="0"/>
              <w:keepLines w:val="0"/>
              <w:pageBreakBefore w:val="0"/>
              <w:widowControl w:val="0"/>
              <w:kinsoku/>
              <w:wordWrap/>
              <w:overflowPunct/>
              <w:topLinePunct w:val="0"/>
              <w:autoSpaceDE/>
              <w:autoSpaceDN/>
              <w:bidi w:val="0"/>
              <w:adjustRightInd/>
              <w:snapToGrid w:val="0"/>
              <w:textAlignment w:val="auto"/>
            </w:pPr>
          </w:p>
        </w:tc>
        <w:tc>
          <w:tcPr>
            <w:tcW w:w="1405" w:type="dxa"/>
            <w:vAlign w:val="center"/>
          </w:tcPr>
          <w:p w14:paraId="05F7F971">
            <w:pPr>
              <w:pStyle w:val="49"/>
              <w:keepNext w:val="0"/>
              <w:keepLines w:val="0"/>
              <w:pageBreakBefore w:val="0"/>
              <w:widowControl w:val="0"/>
              <w:kinsoku/>
              <w:wordWrap/>
              <w:overflowPunct/>
              <w:topLinePunct w:val="0"/>
              <w:autoSpaceDE/>
              <w:autoSpaceDN/>
              <w:bidi w:val="0"/>
              <w:adjustRightInd/>
              <w:snapToGrid w:val="0"/>
              <w:textAlignment w:val="auto"/>
            </w:pPr>
            <w:r>
              <w:t>TP</w:t>
            </w:r>
          </w:p>
        </w:tc>
        <w:tc>
          <w:tcPr>
            <w:tcW w:w="2140" w:type="dxa"/>
            <w:vMerge w:val="continue"/>
            <w:vAlign w:val="center"/>
          </w:tcPr>
          <w:p w14:paraId="7C8CEB16">
            <w:pPr>
              <w:pStyle w:val="49"/>
              <w:keepNext w:val="0"/>
              <w:keepLines w:val="0"/>
              <w:pageBreakBefore w:val="0"/>
              <w:widowControl w:val="0"/>
              <w:kinsoku/>
              <w:wordWrap/>
              <w:overflowPunct/>
              <w:topLinePunct w:val="0"/>
              <w:autoSpaceDE/>
              <w:autoSpaceDN/>
              <w:bidi w:val="0"/>
              <w:adjustRightInd/>
              <w:snapToGrid w:val="0"/>
              <w:textAlignment w:val="auto"/>
            </w:pPr>
          </w:p>
        </w:tc>
        <w:tc>
          <w:tcPr>
            <w:tcW w:w="1393" w:type="dxa"/>
            <w:vAlign w:val="center"/>
          </w:tcPr>
          <w:p w14:paraId="1FCADA8C">
            <w:pPr>
              <w:pStyle w:val="49"/>
              <w:keepNext w:val="0"/>
              <w:keepLines w:val="0"/>
              <w:pageBreakBefore w:val="0"/>
              <w:widowControl w:val="0"/>
              <w:kinsoku/>
              <w:wordWrap/>
              <w:overflowPunct/>
              <w:topLinePunct w:val="0"/>
              <w:autoSpaceDE/>
              <w:autoSpaceDN/>
              <w:bidi w:val="0"/>
              <w:adjustRightInd/>
              <w:snapToGrid w:val="0"/>
              <w:textAlignment w:val="auto"/>
              <w:rPr>
                <w:rFonts w:hint="default" w:eastAsia="宋体"/>
                <w:lang w:val="en-US" w:eastAsia="zh-CN"/>
              </w:rPr>
            </w:pPr>
            <w:r>
              <w:rPr>
                <w:rFonts w:hint="eastAsia"/>
                <w:lang w:val="en-US" w:eastAsia="zh-CN"/>
              </w:rPr>
              <w:t>3</w:t>
            </w:r>
          </w:p>
        </w:tc>
        <w:tc>
          <w:tcPr>
            <w:tcW w:w="1393" w:type="dxa"/>
            <w:vMerge w:val="continue"/>
            <w:vAlign w:val="center"/>
          </w:tcPr>
          <w:p w14:paraId="10657415">
            <w:pPr>
              <w:pStyle w:val="49"/>
              <w:keepNext w:val="0"/>
              <w:keepLines w:val="0"/>
              <w:pageBreakBefore w:val="0"/>
              <w:widowControl w:val="0"/>
              <w:kinsoku/>
              <w:wordWrap/>
              <w:overflowPunct/>
              <w:topLinePunct w:val="0"/>
              <w:autoSpaceDE/>
              <w:autoSpaceDN/>
              <w:bidi w:val="0"/>
              <w:adjustRightInd/>
              <w:snapToGrid w:val="0"/>
              <w:textAlignment w:val="auto"/>
            </w:pPr>
          </w:p>
        </w:tc>
      </w:tr>
      <w:tr w14:paraId="7755D7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90" w:type="dxa"/>
            <w:vMerge w:val="continue"/>
            <w:vAlign w:val="center"/>
          </w:tcPr>
          <w:p w14:paraId="5BF1B9CC">
            <w:pPr>
              <w:pStyle w:val="49"/>
              <w:keepNext w:val="0"/>
              <w:keepLines w:val="0"/>
              <w:pageBreakBefore w:val="0"/>
              <w:widowControl w:val="0"/>
              <w:kinsoku/>
              <w:wordWrap/>
              <w:overflowPunct/>
              <w:topLinePunct w:val="0"/>
              <w:autoSpaceDE/>
              <w:autoSpaceDN/>
              <w:bidi w:val="0"/>
              <w:adjustRightInd/>
              <w:snapToGrid w:val="0"/>
              <w:textAlignment w:val="auto"/>
            </w:pPr>
          </w:p>
        </w:tc>
        <w:tc>
          <w:tcPr>
            <w:tcW w:w="2141" w:type="dxa"/>
            <w:vMerge w:val="continue"/>
            <w:vAlign w:val="center"/>
          </w:tcPr>
          <w:p w14:paraId="61641618">
            <w:pPr>
              <w:pStyle w:val="49"/>
              <w:keepNext w:val="0"/>
              <w:keepLines w:val="0"/>
              <w:pageBreakBefore w:val="0"/>
              <w:widowControl w:val="0"/>
              <w:kinsoku/>
              <w:wordWrap/>
              <w:overflowPunct/>
              <w:topLinePunct w:val="0"/>
              <w:autoSpaceDE/>
              <w:autoSpaceDN/>
              <w:bidi w:val="0"/>
              <w:adjustRightInd/>
              <w:snapToGrid w:val="0"/>
              <w:textAlignment w:val="auto"/>
            </w:pPr>
          </w:p>
        </w:tc>
        <w:tc>
          <w:tcPr>
            <w:tcW w:w="1405" w:type="dxa"/>
            <w:vAlign w:val="center"/>
          </w:tcPr>
          <w:p w14:paraId="1799EC80">
            <w:pPr>
              <w:pStyle w:val="49"/>
              <w:keepNext w:val="0"/>
              <w:keepLines w:val="0"/>
              <w:pageBreakBefore w:val="0"/>
              <w:widowControl w:val="0"/>
              <w:kinsoku/>
              <w:wordWrap/>
              <w:overflowPunct/>
              <w:topLinePunct w:val="0"/>
              <w:autoSpaceDE/>
              <w:autoSpaceDN/>
              <w:bidi w:val="0"/>
              <w:adjustRightInd/>
              <w:snapToGrid w:val="0"/>
              <w:textAlignment w:val="auto"/>
            </w:pPr>
            <w:r>
              <w:t>TN</w:t>
            </w:r>
          </w:p>
        </w:tc>
        <w:tc>
          <w:tcPr>
            <w:tcW w:w="2140" w:type="dxa"/>
            <w:vMerge w:val="continue"/>
            <w:vAlign w:val="center"/>
          </w:tcPr>
          <w:p w14:paraId="34F875DC">
            <w:pPr>
              <w:pStyle w:val="49"/>
              <w:keepNext w:val="0"/>
              <w:keepLines w:val="0"/>
              <w:pageBreakBefore w:val="0"/>
              <w:widowControl w:val="0"/>
              <w:kinsoku/>
              <w:wordWrap/>
              <w:overflowPunct/>
              <w:topLinePunct w:val="0"/>
              <w:autoSpaceDE/>
              <w:autoSpaceDN/>
              <w:bidi w:val="0"/>
              <w:adjustRightInd/>
              <w:snapToGrid w:val="0"/>
              <w:textAlignment w:val="auto"/>
            </w:pPr>
          </w:p>
        </w:tc>
        <w:tc>
          <w:tcPr>
            <w:tcW w:w="1393" w:type="dxa"/>
            <w:vAlign w:val="center"/>
          </w:tcPr>
          <w:p w14:paraId="04E40773">
            <w:pPr>
              <w:pStyle w:val="49"/>
              <w:keepNext w:val="0"/>
              <w:keepLines w:val="0"/>
              <w:pageBreakBefore w:val="0"/>
              <w:widowControl w:val="0"/>
              <w:kinsoku/>
              <w:wordWrap/>
              <w:overflowPunct/>
              <w:topLinePunct w:val="0"/>
              <w:autoSpaceDE/>
              <w:autoSpaceDN/>
              <w:bidi w:val="0"/>
              <w:adjustRightInd/>
              <w:snapToGrid w:val="0"/>
              <w:textAlignment w:val="auto"/>
              <w:rPr>
                <w:rFonts w:hint="default" w:eastAsia="宋体"/>
                <w:lang w:val="en-US" w:eastAsia="zh-CN"/>
              </w:rPr>
            </w:pPr>
            <w:r>
              <w:rPr>
                <w:rFonts w:hint="eastAsia"/>
                <w:lang w:val="en-US" w:eastAsia="zh-CN"/>
              </w:rPr>
              <w:t>35</w:t>
            </w:r>
          </w:p>
        </w:tc>
        <w:tc>
          <w:tcPr>
            <w:tcW w:w="1393" w:type="dxa"/>
            <w:vMerge w:val="continue"/>
            <w:vAlign w:val="center"/>
          </w:tcPr>
          <w:p w14:paraId="3ACF604D">
            <w:pPr>
              <w:pStyle w:val="49"/>
              <w:keepNext w:val="0"/>
              <w:keepLines w:val="0"/>
              <w:pageBreakBefore w:val="0"/>
              <w:widowControl w:val="0"/>
              <w:kinsoku/>
              <w:wordWrap/>
              <w:overflowPunct/>
              <w:topLinePunct w:val="0"/>
              <w:autoSpaceDE/>
              <w:autoSpaceDN/>
              <w:bidi w:val="0"/>
              <w:adjustRightInd/>
              <w:snapToGrid w:val="0"/>
              <w:textAlignment w:val="auto"/>
            </w:pPr>
          </w:p>
        </w:tc>
      </w:tr>
      <w:tr w14:paraId="4F14C4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90" w:type="dxa"/>
            <w:vMerge w:val="continue"/>
            <w:vAlign w:val="center"/>
          </w:tcPr>
          <w:p w14:paraId="5378A689">
            <w:pPr>
              <w:pStyle w:val="49"/>
              <w:keepNext w:val="0"/>
              <w:keepLines w:val="0"/>
              <w:pageBreakBefore w:val="0"/>
              <w:widowControl w:val="0"/>
              <w:kinsoku/>
              <w:wordWrap/>
              <w:overflowPunct/>
              <w:topLinePunct w:val="0"/>
              <w:autoSpaceDE/>
              <w:autoSpaceDN/>
              <w:bidi w:val="0"/>
              <w:adjustRightInd/>
              <w:snapToGrid w:val="0"/>
              <w:textAlignment w:val="auto"/>
            </w:pPr>
          </w:p>
        </w:tc>
        <w:tc>
          <w:tcPr>
            <w:tcW w:w="2141" w:type="dxa"/>
            <w:vMerge w:val="continue"/>
            <w:vAlign w:val="center"/>
          </w:tcPr>
          <w:p w14:paraId="1274D620">
            <w:pPr>
              <w:pStyle w:val="49"/>
              <w:keepNext w:val="0"/>
              <w:keepLines w:val="0"/>
              <w:pageBreakBefore w:val="0"/>
              <w:widowControl w:val="0"/>
              <w:kinsoku/>
              <w:wordWrap/>
              <w:overflowPunct/>
              <w:topLinePunct w:val="0"/>
              <w:autoSpaceDE/>
              <w:autoSpaceDN/>
              <w:bidi w:val="0"/>
              <w:adjustRightInd/>
              <w:snapToGrid w:val="0"/>
              <w:textAlignment w:val="auto"/>
            </w:pPr>
          </w:p>
        </w:tc>
        <w:tc>
          <w:tcPr>
            <w:tcW w:w="1405" w:type="dxa"/>
            <w:vAlign w:val="center"/>
          </w:tcPr>
          <w:p w14:paraId="1D2113CD">
            <w:pPr>
              <w:pStyle w:val="49"/>
              <w:keepNext w:val="0"/>
              <w:keepLines w:val="0"/>
              <w:pageBreakBefore w:val="0"/>
              <w:widowControl w:val="0"/>
              <w:kinsoku/>
              <w:wordWrap/>
              <w:overflowPunct/>
              <w:topLinePunct w:val="0"/>
              <w:autoSpaceDE/>
              <w:autoSpaceDN/>
              <w:bidi w:val="0"/>
              <w:adjustRightInd/>
              <w:snapToGrid w:val="0"/>
              <w:textAlignment w:val="auto"/>
              <w:rPr>
                <w:rFonts w:hint="default" w:eastAsia="宋体"/>
                <w:lang w:val="en-US" w:eastAsia="zh-CN"/>
              </w:rPr>
            </w:pPr>
            <w:r>
              <w:rPr>
                <w:rFonts w:hint="eastAsia"/>
                <w:lang w:val="en-US" w:eastAsia="zh-CN"/>
              </w:rPr>
              <w:t>动植物油</w:t>
            </w:r>
          </w:p>
        </w:tc>
        <w:tc>
          <w:tcPr>
            <w:tcW w:w="2140" w:type="dxa"/>
            <w:vMerge w:val="continue"/>
            <w:vAlign w:val="center"/>
          </w:tcPr>
          <w:p w14:paraId="3351B279">
            <w:pPr>
              <w:pStyle w:val="49"/>
              <w:keepNext w:val="0"/>
              <w:keepLines w:val="0"/>
              <w:pageBreakBefore w:val="0"/>
              <w:widowControl w:val="0"/>
              <w:kinsoku/>
              <w:wordWrap/>
              <w:overflowPunct/>
              <w:topLinePunct w:val="0"/>
              <w:autoSpaceDE/>
              <w:autoSpaceDN/>
              <w:bidi w:val="0"/>
              <w:adjustRightInd/>
              <w:snapToGrid w:val="0"/>
              <w:textAlignment w:val="auto"/>
            </w:pPr>
          </w:p>
        </w:tc>
        <w:tc>
          <w:tcPr>
            <w:tcW w:w="1393" w:type="dxa"/>
            <w:vAlign w:val="center"/>
          </w:tcPr>
          <w:p w14:paraId="4781FD86">
            <w:pPr>
              <w:pStyle w:val="49"/>
              <w:keepNext w:val="0"/>
              <w:keepLines w:val="0"/>
              <w:pageBreakBefore w:val="0"/>
              <w:widowControl w:val="0"/>
              <w:kinsoku/>
              <w:wordWrap/>
              <w:overflowPunct/>
              <w:topLinePunct w:val="0"/>
              <w:autoSpaceDE/>
              <w:autoSpaceDN/>
              <w:bidi w:val="0"/>
              <w:adjustRightInd/>
              <w:snapToGrid w:val="0"/>
              <w:textAlignment w:val="auto"/>
              <w:rPr>
                <w:rFonts w:hint="eastAsia" w:eastAsia="宋体"/>
                <w:lang w:val="en-US" w:eastAsia="zh-CN"/>
              </w:rPr>
            </w:pPr>
            <w:r>
              <w:rPr>
                <w:rFonts w:hint="eastAsia"/>
                <w:lang w:val="en-US" w:eastAsia="zh-CN"/>
              </w:rPr>
              <w:t>8</w:t>
            </w:r>
          </w:p>
        </w:tc>
        <w:tc>
          <w:tcPr>
            <w:tcW w:w="1393" w:type="dxa"/>
            <w:vMerge w:val="continue"/>
            <w:vAlign w:val="center"/>
          </w:tcPr>
          <w:p w14:paraId="610FCB1E">
            <w:pPr>
              <w:pStyle w:val="49"/>
              <w:keepNext w:val="0"/>
              <w:keepLines w:val="0"/>
              <w:pageBreakBefore w:val="0"/>
              <w:widowControl w:val="0"/>
              <w:kinsoku/>
              <w:wordWrap/>
              <w:overflowPunct/>
              <w:topLinePunct w:val="0"/>
              <w:autoSpaceDE/>
              <w:autoSpaceDN/>
              <w:bidi w:val="0"/>
              <w:adjustRightInd/>
              <w:snapToGrid w:val="0"/>
              <w:textAlignment w:val="auto"/>
            </w:pPr>
          </w:p>
        </w:tc>
      </w:tr>
      <w:tr w14:paraId="00EC56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1490" w:type="dxa"/>
            <w:vMerge w:val="continue"/>
            <w:vAlign w:val="center"/>
          </w:tcPr>
          <w:p w14:paraId="3A5E763D">
            <w:pPr>
              <w:pStyle w:val="49"/>
              <w:keepNext w:val="0"/>
              <w:keepLines w:val="0"/>
              <w:pageBreakBefore w:val="0"/>
              <w:widowControl w:val="0"/>
              <w:kinsoku/>
              <w:wordWrap/>
              <w:overflowPunct/>
              <w:topLinePunct w:val="0"/>
              <w:autoSpaceDE/>
              <w:autoSpaceDN/>
              <w:bidi w:val="0"/>
              <w:adjustRightInd/>
              <w:snapToGrid w:val="0"/>
              <w:textAlignment w:val="auto"/>
            </w:pPr>
          </w:p>
        </w:tc>
        <w:tc>
          <w:tcPr>
            <w:tcW w:w="2141" w:type="dxa"/>
            <w:vMerge w:val="restart"/>
            <w:vAlign w:val="center"/>
          </w:tcPr>
          <w:p w14:paraId="2901CF98">
            <w:pPr>
              <w:pStyle w:val="49"/>
              <w:keepNext w:val="0"/>
              <w:keepLines w:val="0"/>
              <w:pageBreakBefore w:val="0"/>
              <w:widowControl w:val="0"/>
              <w:kinsoku/>
              <w:wordWrap/>
              <w:overflowPunct/>
              <w:topLinePunct w:val="0"/>
              <w:autoSpaceDE/>
              <w:autoSpaceDN/>
              <w:bidi w:val="0"/>
              <w:adjustRightInd/>
              <w:snapToGrid w:val="0"/>
              <w:textAlignment w:val="auto"/>
            </w:pPr>
            <w:r>
              <w:t>地面冲洗</w:t>
            </w:r>
            <w:r>
              <w:rPr>
                <w:rFonts w:hint="eastAsia"/>
                <w:lang w:val="en-US" w:eastAsia="zh-CN"/>
              </w:rPr>
              <w:t>废水</w:t>
            </w:r>
          </w:p>
        </w:tc>
        <w:tc>
          <w:tcPr>
            <w:tcW w:w="1405" w:type="dxa"/>
            <w:vAlign w:val="center"/>
          </w:tcPr>
          <w:p w14:paraId="3E791892">
            <w:pPr>
              <w:pStyle w:val="49"/>
              <w:keepNext w:val="0"/>
              <w:keepLines w:val="0"/>
              <w:pageBreakBefore w:val="0"/>
              <w:widowControl w:val="0"/>
              <w:kinsoku/>
              <w:wordWrap/>
              <w:overflowPunct/>
              <w:topLinePunct w:val="0"/>
              <w:autoSpaceDE/>
              <w:autoSpaceDN/>
              <w:bidi w:val="0"/>
              <w:adjustRightInd/>
              <w:snapToGrid w:val="0"/>
              <w:textAlignment w:val="auto"/>
              <w:rPr>
                <w:rFonts w:hint="eastAsia" w:eastAsia="宋体"/>
                <w:lang w:val="en-US" w:eastAsia="zh-CN"/>
              </w:rPr>
            </w:pPr>
            <w:r>
              <w:rPr>
                <w:rFonts w:hint="eastAsia"/>
                <w:lang w:val="en-US" w:eastAsia="zh-CN"/>
              </w:rPr>
              <w:t>SS</w:t>
            </w:r>
          </w:p>
        </w:tc>
        <w:tc>
          <w:tcPr>
            <w:tcW w:w="2140" w:type="dxa"/>
            <w:vMerge w:val="restart"/>
            <w:vAlign w:val="center"/>
          </w:tcPr>
          <w:p w14:paraId="659AB633">
            <w:pPr>
              <w:pStyle w:val="49"/>
              <w:keepNext w:val="0"/>
              <w:keepLines w:val="0"/>
              <w:pageBreakBefore w:val="0"/>
              <w:widowControl w:val="0"/>
              <w:kinsoku/>
              <w:wordWrap/>
              <w:overflowPunct/>
              <w:topLinePunct w:val="0"/>
              <w:autoSpaceDE/>
              <w:autoSpaceDN/>
              <w:bidi w:val="0"/>
              <w:adjustRightInd/>
              <w:snapToGrid w:val="0"/>
              <w:textAlignment w:val="auto"/>
              <w:rPr>
                <w:rFonts w:hint="default" w:eastAsia="宋体"/>
                <w:lang w:val="en-US" w:eastAsia="zh-CN"/>
              </w:rPr>
            </w:pPr>
            <w:r>
              <w:rPr>
                <w:rFonts w:hint="default"/>
                <w:color w:val="auto"/>
                <w:sz w:val="21"/>
                <w:szCs w:val="21"/>
                <w:lang w:val="en-US" w:eastAsia="zh-CN"/>
              </w:rPr>
              <w:t>地面冲洗废水经隔油池</w:t>
            </w:r>
            <w:r>
              <w:rPr>
                <w:rFonts w:hint="eastAsia"/>
                <w:color w:val="FF0000"/>
                <w:lang w:val="en-US" w:eastAsia="zh-CN"/>
              </w:rPr>
              <w:t>（有效容积为6m</w:t>
            </w:r>
            <w:r>
              <w:rPr>
                <w:rFonts w:hint="eastAsia"/>
                <w:color w:val="FF0000"/>
                <w:vertAlign w:val="superscript"/>
                <w:lang w:val="en-US" w:eastAsia="zh-CN"/>
              </w:rPr>
              <w:t>3</w:t>
            </w:r>
            <w:r>
              <w:rPr>
                <w:rFonts w:hint="eastAsia"/>
                <w:color w:val="FF0000"/>
                <w:lang w:val="en-US" w:eastAsia="zh-CN"/>
              </w:rPr>
              <w:t>）</w:t>
            </w:r>
            <w:r>
              <w:rPr>
                <w:rFonts w:hint="default"/>
                <w:color w:val="auto"/>
                <w:sz w:val="21"/>
                <w:szCs w:val="21"/>
                <w:lang w:val="en-US" w:eastAsia="zh-CN"/>
              </w:rPr>
              <w:t>隔油预处理后，和洗车废水一起排入厂区一体化（MBR）洗车废水处理设施</w:t>
            </w:r>
            <w:r>
              <w:rPr>
                <w:rFonts w:hint="eastAsia"/>
                <w:color w:val="FF0000"/>
                <w:sz w:val="21"/>
                <w:szCs w:val="21"/>
                <w:lang w:val="en-US" w:eastAsia="zh-CN"/>
              </w:rPr>
              <w:t>（设计处理规模为1m</w:t>
            </w:r>
            <w:r>
              <w:rPr>
                <w:rFonts w:hint="eastAsia"/>
                <w:color w:val="FF0000"/>
                <w:sz w:val="21"/>
                <w:szCs w:val="21"/>
                <w:vertAlign w:val="superscript"/>
                <w:lang w:val="en-US" w:eastAsia="zh-CN"/>
              </w:rPr>
              <w:t>3</w:t>
            </w:r>
            <w:r>
              <w:rPr>
                <w:rFonts w:hint="eastAsia"/>
                <w:color w:val="FF0000"/>
                <w:sz w:val="21"/>
                <w:szCs w:val="21"/>
                <w:lang w:val="en-US" w:eastAsia="zh-CN"/>
              </w:rPr>
              <w:t>/d）</w:t>
            </w:r>
            <w:r>
              <w:rPr>
                <w:rFonts w:hint="default"/>
                <w:color w:val="auto"/>
                <w:sz w:val="21"/>
                <w:szCs w:val="21"/>
                <w:lang w:val="en-US" w:eastAsia="zh-CN"/>
              </w:rPr>
              <w:t>进一步处理</w:t>
            </w:r>
          </w:p>
        </w:tc>
        <w:tc>
          <w:tcPr>
            <w:tcW w:w="2786" w:type="dxa"/>
            <w:gridSpan w:val="2"/>
            <w:vMerge w:val="restart"/>
            <w:vAlign w:val="center"/>
          </w:tcPr>
          <w:p w14:paraId="47617623">
            <w:pPr>
              <w:pStyle w:val="49"/>
              <w:keepNext w:val="0"/>
              <w:keepLines w:val="0"/>
              <w:pageBreakBefore w:val="0"/>
              <w:widowControl w:val="0"/>
              <w:kinsoku/>
              <w:wordWrap/>
              <w:overflowPunct/>
              <w:topLinePunct w:val="0"/>
              <w:autoSpaceDE/>
              <w:autoSpaceDN/>
              <w:bidi w:val="0"/>
              <w:adjustRightInd/>
              <w:snapToGrid w:val="0"/>
              <w:textAlignment w:val="auto"/>
            </w:pPr>
            <w:r>
              <w:rPr>
                <w:rFonts w:hint="eastAsia"/>
                <w:color w:val="auto"/>
                <w:sz w:val="21"/>
                <w:szCs w:val="21"/>
                <w:lang w:val="en-US" w:eastAsia="zh-CN"/>
              </w:rPr>
              <w:t>满足《城市污水再生利用</w:t>
            </w:r>
            <w:r>
              <w:rPr>
                <w:rFonts w:hint="default"/>
                <w:color w:val="auto"/>
                <w:sz w:val="21"/>
                <w:szCs w:val="21"/>
                <w:lang w:val="en-US" w:eastAsia="zh-CN"/>
              </w:rPr>
              <w:t>·</w:t>
            </w:r>
            <w:r>
              <w:rPr>
                <w:rFonts w:hint="eastAsia"/>
                <w:color w:val="auto"/>
                <w:sz w:val="21"/>
                <w:szCs w:val="21"/>
                <w:lang w:val="en-US" w:eastAsia="zh-CN"/>
              </w:rPr>
              <w:t>城市杂用水水质》（GB/T18920-2020）中车辆冲洗水质标准要求后回用于洗车，不外排</w:t>
            </w:r>
          </w:p>
        </w:tc>
      </w:tr>
      <w:tr w14:paraId="4B561D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1490" w:type="dxa"/>
            <w:vMerge w:val="continue"/>
            <w:vAlign w:val="center"/>
          </w:tcPr>
          <w:p w14:paraId="346DED5C">
            <w:pPr>
              <w:pStyle w:val="49"/>
              <w:keepNext w:val="0"/>
              <w:keepLines w:val="0"/>
              <w:pageBreakBefore w:val="0"/>
              <w:widowControl w:val="0"/>
              <w:kinsoku/>
              <w:wordWrap/>
              <w:overflowPunct/>
              <w:topLinePunct w:val="0"/>
              <w:autoSpaceDE/>
              <w:autoSpaceDN/>
              <w:bidi w:val="0"/>
              <w:adjustRightInd/>
              <w:snapToGrid w:val="0"/>
              <w:textAlignment w:val="auto"/>
            </w:pPr>
          </w:p>
        </w:tc>
        <w:tc>
          <w:tcPr>
            <w:tcW w:w="2141" w:type="dxa"/>
            <w:vMerge w:val="continue"/>
            <w:vAlign w:val="center"/>
          </w:tcPr>
          <w:p w14:paraId="096FD02B">
            <w:pPr>
              <w:pStyle w:val="49"/>
              <w:keepNext w:val="0"/>
              <w:keepLines w:val="0"/>
              <w:pageBreakBefore w:val="0"/>
              <w:widowControl w:val="0"/>
              <w:kinsoku/>
              <w:wordWrap/>
              <w:overflowPunct/>
              <w:topLinePunct w:val="0"/>
              <w:autoSpaceDE/>
              <w:autoSpaceDN/>
              <w:bidi w:val="0"/>
              <w:adjustRightInd/>
              <w:snapToGrid w:val="0"/>
              <w:textAlignment w:val="auto"/>
            </w:pPr>
          </w:p>
        </w:tc>
        <w:tc>
          <w:tcPr>
            <w:tcW w:w="1405" w:type="dxa"/>
            <w:vAlign w:val="center"/>
          </w:tcPr>
          <w:p w14:paraId="3990B989">
            <w:pPr>
              <w:pStyle w:val="49"/>
              <w:keepNext w:val="0"/>
              <w:keepLines w:val="0"/>
              <w:pageBreakBefore w:val="0"/>
              <w:widowControl w:val="0"/>
              <w:kinsoku/>
              <w:wordWrap/>
              <w:overflowPunct/>
              <w:topLinePunct w:val="0"/>
              <w:autoSpaceDE/>
              <w:autoSpaceDN/>
              <w:bidi w:val="0"/>
              <w:adjustRightInd/>
              <w:snapToGrid w:val="0"/>
              <w:textAlignment w:val="auto"/>
              <w:rPr>
                <w:rFonts w:hint="default"/>
                <w:lang w:val="en-US" w:eastAsia="zh-CN"/>
              </w:rPr>
            </w:pPr>
            <w:r>
              <w:rPr>
                <w:rFonts w:hint="eastAsia"/>
                <w:lang w:val="en-US" w:eastAsia="zh-CN"/>
              </w:rPr>
              <w:t>石油类</w:t>
            </w:r>
          </w:p>
        </w:tc>
        <w:tc>
          <w:tcPr>
            <w:tcW w:w="2140" w:type="dxa"/>
            <w:vMerge w:val="continue"/>
            <w:vAlign w:val="center"/>
          </w:tcPr>
          <w:p w14:paraId="598C929E">
            <w:pPr>
              <w:pStyle w:val="49"/>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p>
        </w:tc>
        <w:tc>
          <w:tcPr>
            <w:tcW w:w="2786" w:type="dxa"/>
            <w:gridSpan w:val="2"/>
            <w:vMerge w:val="continue"/>
            <w:vAlign w:val="center"/>
          </w:tcPr>
          <w:p w14:paraId="2E67DD13">
            <w:pPr>
              <w:pStyle w:val="49"/>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p>
        </w:tc>
      </w:tr>
      <w:tr w14:paraId="7F0845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1490" w:type="dxa"/>
            <w:vMerge w:val="continue"/>
            <w:vAlign w:val="center"/>
          </w:tcPr>
          <w:p w14:paraId="7F9F947C">
            <w:pPr>
              <w:pStyle w:val="49"/>
              <w:keepNext w:val="0"/>
              <w:keepLines w:val="0"/>
              <w:pageBreakBefore w:val="0"/>
              <w:widowControl w:val="0"/>
              <w:kinsoku/>
              <w:wordWrap/>
              <w:overflowPunct/>
              <w:topLinePunct w:val="0"/>
              <w:autoSpaceDE/>
              <w:autoSpaceDN/>
              <w:bidi w:val="0"/>
              <w:adjustRightInd/>
              <w:snapToGrid w:val="0"/>
              <w:textAlignment w:val="auto"/>
            </w:pPr>
          </w:p>
        </w:tc>
        <w:tc>
          <w:tcPr>
            <w:tcW w:w="2141" w:type="dxa"/>
            <w:vMerge w:val="restart"/>
            <w:vAlign w:val="center"/>
          </w:tcPr>
          <w:p w14:paraId="67910EA9">
            <w:pPr>
              <w:pStyle w:val="49"/>
              <w:keepNext w:val="0"/>
              <w:keepLines w:val="0"/>
              <w:pageBreakBefore w:val="0"/>
              <w:widowControl w:val="0"/>
              <w:kinsoku/>
              <w:wordWrap/>
              <w:overflowPunct/>
              <w:topLinePunct w:val="0"/>
              <w:autoSpaceDE/>
              <w:autoSpaceDN/>
              <w:bidi w:val="0"/>
              <w:adjustRightInd/>
              <w:snapToGrid w:val="0"/>
              <w:textAlignment w:val="auto"/>
            </w:pPr>
            <w:r>
              <w:rPr>
                <w:rFonts w:hint="eastAsia"/>
                <w:lang w:val="en-US" w:eastAsia="zh-CN"/>
              </w:rPr>
              <w:t>洗车废水</w:t>
            </w:r>
          </w:p>
        </w:tc>
        <w:tc>
          <w:tcPr>
            <w:tcW w:w="1405" w:type="dxa"/>
            <w:vAlign w:val="center"/>
          </w:tcPr>
          <w:p w14:paraId="5E04FBE5">
            <w:pPr>
              <w:pStyle w:val="49"/>
              <w:keepNext w:val="0"/>
              <w:keepLines w:val="0"/>
              <w:pageBreakBefore w:val="0"/>
              <w:widowControl w:val="0"/>
              <w:kinsoku/>
              <w:wordWrap/>
              <w:overflowPunct/>
              <w:topLinePunct w:val="0"/>
              <w:autoSpaceDE/>
              <w:autoSpaceDN/>
              <w:bidi w:val="0"/>
              <w:adjustRightInd/>
              <w:snapToGrid w:val="0"/>
              <w:textAlignment w:val="auto"/>
            </w:pPr>
            <w:r>
              <w:t>pH</w:t>
            </w:r>
          </w:p>
        </w:tc>
        <w:tc>
          <w:tcPr>
            <w:tcW w:w="2140" w:type="dxa"/>
            <w:vMerge w:val="continue"/>
            <w:vAlign w:val="center"/>
          </w:tcPr>
          <w:p w14:paraId="63CEECAA">
            <w:pPr>
              <w:pStyle w:val="49"/>
              <w:keepNext w:val="0"/>
              <w:keepLines w:val="0"/>
              <w:pageBreakBefore w:val="0"/>
              <w:widowControl w:val="0"/>
              <w:kinsoku/>
              <w:wordWrap/>
              <w:overflowPunct/>
              <w:topLinePunct w:val="0"/>
              <w:autoSpaceDE/>
              <w:autoSpaceDN/>
              <w:bidi w:val="0"/>
              <w:adjustRightInd/>
              <w:snapToGrid w:val="0"/>
              <w:textAlignment w:val="auto"/>
            </w:pPr>
          </w:p>
        </w:tc>
        <w:tc>
          <w:tcPr>
            <w:tcW w:w="2786" w:type="dxa"/>
            <w:gridSpan w:val="2"/>
            <w:vMerge w:val="continue"/>
            <w:vAlign w:val="center"/>
          </w:tcPr>
          <w:p w14:paraId="23D1D5A5">
            <w:pPr>
              <w:pStyle w:val="49"/>
              <w:keepNext w:val="0"/>
              <w:keepLines w:val="0"/>
              <w:pageBreakBefore w:val="0"/>
              <w:widowControl w:val="0"/>
              <w:kinsoku/>
              <w:wordWrap/>
              <w:overflowPunct/>
              <w:topLinePunct w:val="0"/>
              <w:autoSpaceDE/>
              <w:autoSpaceDN/>
              <w:bidi w:val="0"/>
              <w:adjustRightInd/>
              <w:snapToGrid w:val="0"/>
              <w:textAlignment w:val="auto"/>
            </w:pPr>
          </w:p>
        </w:tc>
      </w:tr>
      <w:tr w14:paraId="70EDBC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1490" w:type="dxa"/>
            <w:vMerge w:val="continue"/>
            <w:vAlign w:val="center"/>
          </w:tcPr>
          <w:p w14:paraId="296BF094">
            <w:pPr>
              <w:pStyle w:val="49"/>
              <w:keepNext w:val="0"/>
              <w:keepLines w:val="0"/>
              <w:pageBreakBefore w:val="0"/>
              <w:widowControl w:val="0"/>
              <w:kinsoku/>
              <w:wordWrap/>
              <w:overflowPunct/>
              <w:topLinePunct w:val="0"/>
              <w:autoSpaceDE/>
              <w:autoSpaceDN/>
              <w:bidi w:val="0"/>
              <w:adjustRightInd/>
              <w:snapToGrid w:val="0"/>
              <w:textAlignment w:val="auto"/>
            </w:pPr>
          </w:p>
        </w:tc>
        <w:tc>
          <w:tcPr>
            <w:tcW w:w="2141" w:type="dxa"/>
            <w:vMerge w:val="continue"/>
            <w:vAlign w:val="center"/>
          </w:tcPr>
          <w:p w14:paraId="188F6C9F">
            <w:pPr>
              <w:pStyle w:val="49"/>
              <w:keepNext w:val="0"/>
              <w:keepLines w:val="0"/>
              <w:pageBreakBefore w:val="0"/>
              <w:widowControl w:val="0"/>
              <w:kinsoku/>
              <w:wordWrap/>
              <w:overflowPunct/>
              <w:topLinePunct w:val="0"/>
              <w:autoSpaceDE/>
              <w:autoSpaceDN/>
              <w:bidi w:val="0"/>
              <w:adjustRightInd/>
              <w:snapToGrid w:val="0"/>
              <w:textAlignment w:val="auto"/>
            </w:pPr>
          </w:p>
        </w:tc>
        <w:tc>
          <w:tcPr>
            <w:tcW w:w="1405" w:type="dxa"/>
            <w:vAlign w:val="center"/>
          </w:tcPr>
          <w:p w14:paraId="66355584">
            <w:pPr>
              <w:pStyle w:val="49"/>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r>
              <w:rPr>
                <w:rFonts w:hint="eastAsia"/>
              </w:rPr>
              <w:t>COD</w:t>
            </w:r>
            <w:r>
              <w:rPr>
                <w:rFonts w:hint="eastAsia"/>
                <w:vertAlign w:val="subscript"/>
                <w:lang w:val="en-US" w:eastAsia="zh-CN"/>
              </w:rPr>
              <w:t>Cr</w:t>
            </w:r>
          </w:p>
        </w:tc>
        <w:tc>
          <w:tcPr>
            <w:tcW w:w="2140" w:type="dxa"/>
            <w:vMerge w:val="continue"/>
            <w:vAlign w:val="center"/>
          </w:tcPr>
          <w:p w14:paraId="731D472B">
            <w:pPr>
              <w:pStyle w:val="49"/>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p>
        </w:tc>
        <w:tc>
          <w:tcPr>
            <w:tcW w:w="2786" w:type="dxa"/>
            <w:gridSpan w:val="2"/>
            <w:vMerge w:val="continue"/>
            <w:vAlign w:val="center"/>
          </w:tcPr>
          <w:p w14:paraId="5468ACE7">
            <w:pPr>
              <w:pStyle w:val="49"/>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p>
        </w:tc>
      </w:tr>
      <w:tr w14:paraId="708D08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1490" w:type="dxa"/>
            <w:vMerge w:val="continue"/>
            <w:vAlign w:val="center"/>
          </w:tcPr>
          <w:p w14:paraId="67A2B2F1">
            <w:pPr>
              <w:pStyle w:val="49"/>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p>
        </w:tc>
        <w:tc>
          <w:tcPr>
            <w:tcW w:w="2141" w:type="dxa"/>
            <w:vMerge w:val="continue"/>
            <w:vAlign w:val="center"/>
          </w:tcPr>
          <w:p w14:paraId="688689F5">
            <w:pPr>
              <w:pStyle w:val="49"/>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p>
        </w:tc>
        <w:tc>
          <w:tcPr>
            <w:tcW w:w="1405" w:type="dxa"/>
            <w:vAlign w:val="center"/>
          </w:tcPr>
          <w:p w14:paraId="3E5FBC9A">
            <w:pPr>
              <w:pStyle w:val="49"/>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r>
              <w:t>BOD</w:t>
            </w:r>
            <w:r>
              <w:rPr>
                <w:vertAlign w:val="subscript"/>
              </w:rPr>
              <w:t>5</w:t>
            </w:r>
          </w:p>
        </w:tc>
        <w:tc>
          <w:tcPr>
            <w:tcW w:w="2140" w:type="dxa"/>
            <w:vMerge w:val="continue"/>
            <w:vAlign w:val="center"/>
          </w:tcPr>
          <w:p w14:paraId="2C288353">
            <w:pPr>
              <w:pStyle w:val="49"/>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p>
        </w:tc>
        <w:tc>
          <w:tcPr>
            <w:tcW w:w="2786" w:type="dxa"/>
            <w:gridSpan w:val="2"/>
            <w:vMerge w:val="continue"/>
            <w:vAlign w:val="center"/>
          </w:tcPr>
          <w:p w14:paraId="1FF7277B">
            <w:pPr>
              <w:pStyle w:val="49"/>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p>
        </w:tc>
      </w:tr>
      <w:tr w14:paraId="56AD29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1490" w:type="dxa"/>
            <w:vMerge w:val="continue"/>
            <w:vAlign w:val="center"/>
          </w:tcPr>
          <w:p w14:paraId="362DDECA">
            <w:pPr>
              <w:pStyle w:val="49"/>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p>
        </w:tc>
        <w:tc>
          <w:tcPr>
            <w:tcW w:w="2141" w:type="dxa"/>
            <w:vMerge w:val="continue"/>
            <w:vAlign w:val="center"/>
          </w:tcPr>
          <w:p w14:paraId="1C8A275A">
            <w:pPr>
              <w:pStyle w:val="49"/>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p>
        </w:tc>
        <w:tc>
          <w:tcPr>
            <w:tcW w:w="1405" w:type="dxa"/>
            <w:vAlign w:val="center"/>
          </w:tcPr>
          <w:p w14:paraId="56C25EC4">
            <w:pPr>
              <w:pStyle w:val="49"/>
              <w:keepNext w:val="0"/>
              <w:keepLines w:val="0"/>
              <w:pageBreakBefore w:val="0"/>
              <w:widowControl w:val="0"/>
              <w:kinsoku/>
              <w:wordWrap/>
              <w:overflowPunct/>
              <w:topLinePunct w:val="0"/>
              <w:autoSpaceDE/>
              <w:autoSpaceDN/>
              <w:bidi w:val="0"/>
              <w:adjustRightInd/>
              <w:snapToGrid w:val="0"/>
              <w:textAlignment w:val="auto"/>
              <w:rPr>
                <w:rFonts w:hint="default"/>
                <w:lang w:val="en-US" w:eastAsia="zh-CN"/>
              </w:rPr>
            </w:pPr>
            <w:r>
              <w:rPr>
                <w:rFonts w:hint="eastAsia"/>
                <w:lang w:val="en-US" w:eastAsia="zh-CN"/>
              </w:rPr>
              <w:t>SS</w:t>
            </w:r>
          </w:p>
        </w:tc>
        <w:tc>
          <w:tcPr>
            <w:tcW w:w="2140" w:type="dxa"/>
            <w:vMerge w:val="continue"/>
            <w:vAlign w:val="center"/>
          </w:tcPr>
          <w:p w14:paraId="6F75A5D8">
            <w:pPr>
              <w:pStyle w:val="49"/>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p>
        </w:tc>
        <w:tc>
          <w:tcPr>
            <w:tcW w:w="2786" w:type="dxa"/>
            <w:gridSpan w:val="2"/>
            <w:vMerge w:val="continue"/>
            <w:vAlign w:val="center"/>
          </w:tcPr>
          <w:p w14:paraId="729C72AF">
            <w:pPr>
              <w:pStyle w:val="49"/>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p>
        </w:tc>
      </w:tr>
      <w:tr w14:paraId="2ED606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1490" w:type="dxa"/>
            <w:vMerge w:val="continue"/>
            <w:vAlign w:val="center"/>
          </w:tcPr>
          <w:p w14:paraId="6D3B5F09">
            <w:pPr>
              <w:pStyle w:val="49"/>
              <w:keepNext w:val="0"/>
              <w:keepLines w:val="0"/>
              <w:pageBreakBefore w:val="0"/>
              <w:widowControl w:val="0"/>
              <w:kinsoku/>
              <w:wordWrap/>
              <w:overflowPunct/>
              <w:topLinePunct w:val="0"/>
              <w:autoSpaceDE/>
              <w:autoSpaceDN/>
              <w:bidi w:val="0"/>
              <w:adjustRightInd/>
              <w:snapToGrid w:val="0"/>
              <w:textAlignment w:val="auto"/>
            </w:pPr>
          </w:p>
        </w:tc>
        <w:tc>
          <w:tcPr>
            <w:tcW w:w="2141" w:type="dxa"/>
            <w:vMerge w:val="continue"/>
            <w:vAlign w:val="center"/>
          </w:tcPr>
          <w:p w14:paraId="74704E41">
            <w:pPr>
              <w:pStyle w:val="49"/>
              <w:keepNext w:val="0"/>
              <w:keepLines w:val="0"/>
              <w:pageBreakBefore w:val="0"/>
              <w:widowControl w:val="0"/>
              <w:kinsoku/>
              <w:wordWrap/>
              <w:overflowPunct/>
              <w:topLinePunct w:val="0"/>
              <w:autoSpaceDE/>
              <w:autoSpaceDN/>
              <w:bidi w:val="0"/>
              <w:adjustRightInd/>
              <w:snapToGrid w:val="0"/>
              <w:textAlignment w:val="auto"/>
            </w:pPr>
          </w:p>
        </w:tc>
        <w:tc>
          <w:tcPr>
            <w:tcW w:w="1405" w:type="dxa"/>
            <w:vAlign w:val="center"/>
          </w:tcPr>
          <w:p w14:paraId="1B89CC5B">
            <w:pPr>
              <w:pStyle w:val="49"/>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r>
              <w:rPr>
                <w:rFonts w:hint="eastAsia"/>
              </w:rPr>
              <w:t>石油类</w:t>
            </w:r>
          </w:p>
        </w:tc>
        <w:tc>
          <w:tcPr>
            <w:tcW w:w="2140" w:type="dxa"/>
            <w:vMerge w:val="continue"/>
            <w:vAlign w:val="center"/>
          </w:tcPr>
          <w:p w14:paraId="07858640">
            <w:pPr>
              <w:pStyle w:val="49"/>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p>
        </w:tc>
        <w:tc>
          <w:tcPr>
            <w:tcW w:w="2786" w:type="dxa"/>
            <w:gridSpan w:val="2"/>
            <w:vMerge w:val="continue"/>
            <w:vAlign w:val="center"/>
          </w:tcPr>
          <w:p w14:paraId="59BE12D3">
            <w:pPr>
              <w:pStyle w:val="49"/>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p>
        </w:tc>
      </w:tr>
      <w:tr w14:paraId="0596A8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1490" w:type="dxa"/>
            <w:vMerge w:val="continue"/>
            <w:vAlign w:val="center"/>
          </w:tcPr>
          <w:p w14:paraId="043FAD44">
            <w:pPr>
              <w:pStyle w:val="49"/>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p>
        </w:tc>
        <w:tc>
          <w:tcPr>
            <w:tcW w:w="2141" w:type="dxa"/>
            <w:vMerge w:val="continue"/>
            <w:vAlign w:val="center"/>
          </w:tcPr>
          <w:p w14:paraId="3EB582DB">
            <w:pPr>
              <w:pStyle w:val="49"/>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p>
        </w:tc>
        <w:tc>
          <w:tcPr>
            <w:tcW w:w="1405" w:type="dxa"/>
            <w:vAlign w:val="center"/>
          </w:tcPr>
          <w:p w14:paraId="632C745F">
            <w:pPr>
              <w:pStyle w:val="49"/>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r>
              <w:rPr>
                <w:rFonts w:hint="eastAsia"/>
                <w:lang w:val="en-US" w:eastAsia="zh-CN"/>
              </w:rPr>
              <w:t>LAS</w:t>
            </w:r>
          </w:p>
        </w:tc>
        <w:tc>
          <w:tcPr>
            <w:tcW w:w="2140" w:type="dxa"/>
            <w:vMerge w:val="continue"/>
            <w:vAlign w:val="center"/>
          </w:tcPr>
          <w:p w14:paraId="3BA6314D">
            <w:pPr>
              <w:pStyle w:val="49"/>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p>
        </w:tc>
        <w:tc>
          <w:tcPr>
            <w:tcW w:w="2786" w:type="dxa"/>
            <w:gridSpan w:val="2"/>
            <w:vMerge w:val="continue"/>
            <w:vAlign w:val="center"/>
          </w:tcPr>
          <w:p w14:paraId="30EC5902">
            <w:pPr>
              <w:pStyle w:val="49"/>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p>
        </w:tc>
      </w:tr>
      <w:tr w14:paraId="26C794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90" w:type="dxa"/>
            <w:vAlign w:val="center"/>
          </w:tcPr>
          <w:p w14:paraId="28AEA7BD">
            <w:pPr>
              <w:pStyle w:val="49"/>
              <w:keepNext w:val="0"/>
              <w:keepLines w:val="0"/>
              <w:pageBreakBefore w:val="0"/>
              <w:widowControl w:val="0"/>
              <w:kinsoku/>
              <w:wordWrap/>
              <w:overflowPunct/>
              <w:topLinePunct w:val="0"/>
              <w:autoSpaceDE/>
              <w:autoSpaceDN/>
              <w:bidi w:val="0"/>
              <w:adjustRightInd/>
              <w:snapToGrid w:val="0"/>
              <w:textAlignment w:val="auto"/>
            </w:pPr>
            <w:r>
              <w:rPr>
                <w:rFonts w:hint="eastAsia"/>
              </w:rPr>
              <w:t>声环境</w:t>
            </w:r>
          </w:p>
        </w:tc>
        <w:tc>
          <w:tcPr>
            <w:tcW w:w="2141" w:type="dxa"/>
            <w:vAlign w:val="center"/>
          </w:tcPr>
          <w:p w14:paraId="0EEC7B47">
            <w:pPr>
              <w:pStyle w:val="49"/>
              <w:keepNext w:val="0"/>
              <w:keepLines w:val="0"/>
              <w:pageBreakBefore w:val="0"/>
              <w:widowControl w:val="0"/>
              <w:kinsoku/>
              <w:wordWrap/>
              <w:overflowPunct/>
              <w:topLinePunct w:val="0"/>
              <w:autoSpaceDE/>
              <w:autoSpaceDN/>
              <w:bidi w:val="0"/>
              <w:adjustRightInd/>
              <w:snapToGrid w:val="0"/>
              <w:textAlignment w:val="auto"/>
              <w:rPr>
                <w:rFonts w:eastAsia="Calibri"/>
              </w:rPr>
            </w:pPr>
            <w:r>
              <w:rPr>
                <w:rFonts w:hint="eastAsia"/>
              </w:rPr>
              <w:t>机械设备</w:t>
            </w:r>
          </w:p>
        </w:tc>
        <w:tc>
          <w:tcPr>
            <w:tcW w:w="1405" w:type="dxa"/>
            <w:vAlign w:val="center"/>
          </w:tcPr>
          <w:p w14:paraId="30A80B15">
            <w:pPr>
              <w:pStyle w:val="49"/>
              <w:keepNext w:val="0"/>
              <w:keepLines w:val="0"/>
              <w:pageBreakBefore w:val="0"/>
              <w:widowControl w:val="0"/>
              <w:kinsoku/>
              <w:wordWrap/>
              <w:overflowPunct/>
              <w:topLinePunct w:val="0"/>
              <w:autoSpaceDE/>
              <w:autoSpaceDN/>
              <w:bidi w:val="0"/>
              <w:adjustRightInd/>
              <w:snapToGrid w:val="0"/>
              <w:textAlignment w:val="auto"/>
            </w:pPr>
            <w:r>
              <w:t>等效</w:t>
            </w:r>
            <w:r>
              <w:rPr>
                <w:rFonts w:hint="eastAsia"/>
                <w:lang w:val="en-US" w:eastAsia="zh-CN"/>
              </w:rPr>
              <w:t>连续</w:t>
            </w:r>
            <w:r>
              <w:rPr>
                <w:rFonts w:eastAsia="Times New Roman"/>
              </w:rPr>
              <w:t>A</w:t>
            </w:r>
            <w:r>
              <w:t>声级</w:t>
            </w:r>
          </w:p>
        </w:tc>
        <w:tc>
          <w:tcPr>
            <w:tcW w:w="2140" w:type="dxa"/>
            <w:vAlign w:val="center"/>
          </w:tcPr>
          <w:p w14:paraId="10F22663">
            <w:pPr>
              <w:pStyle w:val="49"/>
              <w:keepNext w:val="0"/>
              <w:keepLines w:val="0"/>
              <w:pageBreakBefore w:val="0"/>
              <w:widowControl w:val="0"/>
              <w:kinsoku/>
              <w:wordWrap/>
              <w:overflowPunct/>
              <w:topLinePunct w:val="0"/>
              <w:autoSpaceDE/>
              <w:autoSpaceDN/>
              <w:bidi w:val="0"/>
              <w:adjustRightInd/>
              <w:snapToGrid w:val="0"/>
              <w:textAlignment w:val="auto"/>
              <w:rPr>
                <w:rFonts w:hint="default" w:eastAsia="宋体"/>
                <w:lang w:val="en-US" w:eastAsia="zh-CN"/>
              </w:rPr>
            </w:pPr>
            <w:r>
              <w:t>选取低噪声设备</w:t>
            </w:r>
            <w:r>
              <w:rPr>
                <w:rFonts w:hint="eastAsia"/>
              </w:rPr>
              <w:t>、</w:t>
            </w:r>
            <w:r>
              <w:t>高噪声设备基础减振</w:t>
            </w:r>
            <w:r>
              <w:rPr>
                <w:rFonts w:hint="eastAsia"/>
                <w:lang w:eastAsia="zh-CN"/>
              </w:rPr>
              <w:t>、</w:t>
            </w:r>
            <w:r>
              <w:rPr>
                <w:rFonts w:hint="eastAsia"/>
                <w:lang w:val="en-US" w:eastAsia="zh-CN"/>
              </w:rPr>
              <w:t>厂房隔声</w:t>
            </w:r>
          </w:p>
        </w:tc>
        <w:tc>
          <w:tcPr>
            <w:tcW w:w="2786" w:type="dxa"/>
            <w:gridSpan w:val="2"/>
            <w:vAlign w:val="center"/>
          </w:tcPr>
          <w:p w14:paraId="4EBA1E2B">
            <w:pPr>
              <w:pStyle w:val="49"/>
              <w:keepNext w:val="0"/>
              <w:keepLines w:val="0"/>
              <w:pageBreakBefore w:val="0"/>
              <w:widowControl w:val="0"/>
              <w:kinsoku/>
              <w:wordWrap/>
              <w:overflowPunct/>
              <w:topLinePunct w:val="0"/>
              <w:autoSpaceDE/>
              <w:autoSpaceDN/>
              <w:bidi w:val="0"/>
              <w:adjustRightInd/>
              <w:snapToGrid w:val="0"/>
              <w:textAlignment w:val="auto"/>
            </w:pPr>
            <w:r>
              <w:rPr>
                <w:kern w:val="0"/>
              </w:rPr>
              <w:t>《工业企业厂界环境噪声排放标准》（GB12348-2008）中</w:t>
            </w:r>
            <w:r>
              <w:rPr>
                <w:rFonts w:hint="eastAsia"/>
                <w:kern w:val="0"/>
              </w:rPr>
              <w:t>2</w:t>
            </w:r>
            <w:r>
              <w:rPr>
                <w:kern w:val="0"/>
              </w:rPr>
              <w:t>类</w:t>
            </w:r>
            <w:r>
              <w:rPr>
                <w:rFonts w:hint="eastAsia"/>
                <w:kern w:val="0"/>
                <w:lang w:eastAsia="zh-CN"/>
              </w:rPr>
              <w:t>、</w:t>
            </w:r>
            <w:r>
              <w:rPr>
                <w:rFonts w:hint="eastAsia"/>
                <w:kern w:val="0"/>
                <w:lang w:val="en-US" w:eastAsia="zh-CN"/>
              </w:rPr>
              <w:t>4类</w:t>
            </w:r>
            <w:r>
              <w:rPr>
                <w:kern w:val="0"/>
              </w:rPr>
              <w:t>标准</w:t>
            </w:r>
          </w:p>
        </w:tc>
      </w:tr>
      <w:tr w14:paraId="185000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90" w:type="dxa"/>
            <w:vAlign w:val="center"/>
          </w:tcPr>
          <w:p w14:paraId="3345BEA4">
            <w:pPr>
              <w:pStyle w:val="49"/>
              <w:keepNext w:val="0"/>
              <w:keepLines w:val="0"/>
              <w:pageBreakBefore w:val="0"/>
              <w:widowControl w:val="0"/>
              <w:kinsoku/>
              <w:wordWrap/>
              <w:overflowPunct/>
              <w:topLinePunct w:val="0"/>
              <w:autoSpaceDE/>
              <w:autoSpaceDN/>
              <w:bidi w:val="0"/>
              <w:adjustRightInd/>
              <w:snapToGrid w:val="0"/>
              <w:textAlignment w:val="auto"/>
            </w:pPr>
            <w:r>
              <w:rPr>
                <w:rFonts w:hint="eastAsia"/>
              </w:rPr>
              <w:t>电磁辐射</w:t>
            </w:r>
          </w:p>
        </w:tc>
        <w:tc>
          <w:tcPr>
            <w:tcW w:w="2141" w:type="dxa"/>
            <w:vAlign w:val="center"/>
          </w:tcPr>
          <w:p w14:paraId="52B7ADC2">
            <w:pPr>
              <w:pStyle w:val="49"/>
              <w:keepNext w:val="0"/>
              <w:keepLines w:val="0"/>
              <w:pageBreakBefore w:val="0"/>
              <w:widowControl w:val="0"/>
              <w:kinsoku/>
              <w:wordWrap/>
              <w:overflowPunct/>
              <w:topLinePunct w:val="0"/>
              <w:autoSpaceDE/>
              <w:autoSpaceDN/>
              <w:bidi w:val="0"/>
              <w:adjustRightInd/>
              <w:snapToGrid w:val="0"/>
              <w:textAlignment w:val="auto"/>
            </w:pPr>
            <w:r>
              <w:rPr>
                <w:rFonts w:hint="eastAsia"/>
              </w:rPr>
              <w:t>/</w:t>
            </w:r>
          </w:p>
        </w:tc>
        <w:tc>
          <w:tcPr>
            <w:tcW w:w="1405" w:type="dxa"/>
            <w:vAlign w:val="center"/>
          </w:tcPr>
          <w:p w14:paraId="3D793111">
            <w:pPr>
              <w:pStyle w:val="49"/>
              <w:keepNext w:val="0"/>
              <w:keepLines w:val="0"/>
              <w:pageBreakBefore w:val="0"/>
              <w:widowControl w:val="0"/>
              <w:kinsoku/>
              <w:wordWrap/>
              <w:overflowPunct/>
              <w:topLinePunct w:val="0"/>
              <w:autoSpaceDE/>
              <w:autoSpaceDN/>
              <w:bidi w:val="0"/>
              <w:adjustRightInd/>
              <w:snapToGrid w:val="0"/>
              <w:textAlignment w:val="auto"/>
            </w:pPr>
            <w:r>
              <w:rPr>
                <w:rFonts w:hint="eastAsia"/>
              </w:rPr>
              <w:t>/</w:t>
            </w:r>
          </w:p>
        </w:tc>
        <w:tc>
          <w:tcPr>
            <w:tcW w:w="2140" w:type="dxa"/>
            <w:vAlign w:val="center"/>
          </w:tcPr>
          <w:p w14:paraId="185046CC">
            <w:pPr>
              <w:pStyle w:val="49"/>
              <w:keepNext w:val="0"/>
              <w:keepLines w:val="0"/>
              <w:pageBreakBefore w:val="0"/>
              <w:widowControl w:val="0"/>
              <w:kinsoku/>
              <w:wordWrap/>
              <w:overflowPunct/>
              <w:topLinePunct w:val="0"/>
              <w:autoSpaceDE/>
              <w:autoSpaceDN/>
              <w:bidi w:val="0"/>
              <w:adjustRightInd/>
              <w:snapToGrid w:val="0"/>
              <w:textAlignment w:val="auto"/>
            </w:pPr>
            <w:r>
              <w:rPr>
                <w:rFonts w:hint="eastAsia"/>
              </w:rPr>
              <w:t>/</w:t>
            </w:r>
          </w:p>
        </w:tc>
        <w:tc>
          <w:tcPr>
            <w:tcW w:w="2786" w:type="dxa"/>
            <w:gridSpan w:val="2"/>
            <w:vAlign w:val="center"/>
          </w:tcPr>
          <w:p w14:paraId="1AA66EB8">
            <w:pPr>
              <w:pStyle w:val="49"/>
              <w:keepNext w:val="0"/>
              <w:keepLines w:val="0"/>
              <w:pageBreakBefore w:val="0"/>
              <w:widowControl w:val="0"/>
              <w:kinsoku/>
              <w:wordWrap/>
              <w:overflowPunct/>
              <w:topLinePunct w:val="0"/>
              <w:autoSpaceDE/>
              <w:autoSpaceDN/>
              <w:bidi w:val="0"/>
              <w:adjustRightInd/>
              <w:snapToGrid w:val="0"/>
              <w:textAlignment w:val="auto"/>
              <w:rPr>
                <w:rFonts w:ascii="..ì." w:hAnsi="Calibri" w:eastAsia="..ì." w:cs="..ì."/>
              </w:rPr>
            </w:pPr>
            <w:r>
              <w:rPr>
                <w:rFonts w:hint="default" w:ascii="Times New Roman" w:hAnsi="Times New Roman" w:eastAsia="..ì." w:cs="Times New Roman"/>
              </w:rPr>
              <w:t>/</w:t>
            </w:r>
          </w:p>
        </w:tc>
      </w:tr>
      <w:tr w14:paraId="4DCF40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490" w:type="dxa"/>
            <w:vMerge w:val="restart"/>
            <w:vAlign w:val="center"/>
          </w:tcPr>
          <w:p w14:paraId="67416A29">
            <w:pPr>
              <w:pStyle w:val="49"/>
              <w:keepNext w:val="0"/>
              <w:keepLines w:val="0"/>
              <w:pageBreakBefore w:val="0"/>
              <w:widowControl w:val="0"/>
              <w:kinsoku/>
              <w:wordWrap/>
              <w:overflowPunct/>
              <w:topLinePunct w:val="0"/>
              <w:autoSpaceDE/>
              <w:autoSpaceDN/>
              <w:bidi w:val="0"/>
              <w:adjustRightInd/>
              <w:snapToGrid w:val="0"/>
              <w:textAlignment w:val="auto"/>
            </w:pPr>
            <w:r>
              <w:rPr>
                <w:rFonts w:hint="eastAsia"/>
              </w:rPr>
              <w:t>固体废物</w:t>
            </w:r>
          </w:p>
        </w:tc>
        <w:tc>
          <w:tcPr>
            <w:tcW w:w="2141" w:type="dxa"/>
            <w:vMerge w:val="restart"/>
            <w:vAlign w:val="center"/>
          </w:tcPr>
          <w:p w14:paraId="63190BFD">
            <w:pPr>
              <w:pStyle w:val="49"/>
              <w:keepNext w:val="0"/>
              <w:keepLines w:val="0"/>
              <w:pageBreakBefore w:val="0"/>
              <w:widowControl w:val="0"/>
              <w:kinsoku/>
              <w:wordWrap/>
              <w:overflowPunct/>
              <w:topLinePunct w:val="0"/>
              <w:autoSpaceDE/>
              <w:autoSpaceDN/>
              <w:bidi w:val="0"/>
              <w:adjustRightInd/>
              <w:snapToGrid w:val="0"/>
              <w:textAlignment w:val="auto"/>
            </w:pPr>
            <w:r>
              <w:t>生产</w:t>
            </w:r>
          </w:p>
        </w:tc>
        <w:tc>
          <w:tcPr>
            <w:tcW w:w="1405" w:type="dxa"/>
            <w:vAlign w:val="center"/>
          </w:tcPr>
          <w:p w14:paraId="599AC2EB">
            <w:pPr>
              <w:pStyle w:val="49"/>
              <w:keepNext w:val="0"/>
              <w:keepLines w:val="0"/>
              <w:pageBreakBefore w:val="0"/>
              <w:widowControl w:val="0"/>
              <w:kinsoku/>
              <w:wordWrap/>
              <w:overflowPunct/>
              <w:topLinePunct w:val="0"/>
              <w:autoSpaceDE/>
              <w:autoSpaceDN/>
              <w:bidi w:val="0"/>
              <w:adjustRightInd/>
              <w:snapToGrid w:val="0"/>
              <w:textAlignment w:val="auto"/>
            </w:pPr>
            <w:r>
              <w:rPr>
                <w:rFonts w:hint="eastAsia"/>
              </w:rPr>
              <w:t>清罐废液</w:t>
            </w:r>
          </w:p>
        </w:tc>
        <w:tc>
          <w:tcPr>
            <w:tcW w:w="2140" w:type="dxa"/>
            <w:vMerge w:val="restart"/>
            <w:vAlign w:val="center"/>
          </w:tcPr>
          <w:p w14:paraId="7A03FCF4">
            <w:pPr>
              <w:pStyle w:val="49"/>
              <w:keepNext w:val="0"/>
              <w:keepLines w:val="0"/>
              <w:pageBreakBefore w:val="0"/>
              <w:widowControl w:val="0"/>
              <w:kinsoku/>
              <w:wordWrap/>
              <w:overflowPunct/>
              <w:topLinePunct w:val="0"/>
              <w:autoSpaceDE/>
              <w:autoSpaceDN/>
              <w:bidi w:val="0"/>
              <w:adjustRightInd/>
              <w:snapToGrid w:val="0"/>
              <w:textAlignment w:val="auto"/>
            </w:pPr>
            <w:r>
              <w:rPr>
                <w:rFonts w:hint="eastAsia"/>
                <w:lang w:val="en-US" w:eastAsia="zh-CN"/>
              </w:rPr>
              <w:t>由委托的具有危险废物处理资质的单位带走处置</w:t>
            </w:r>
          </w:p>
        </w:tc>
        <w:tc>
          <w:tcPr>
            <w:tcW w:w="2786" w:type="dxa"/>
            <w:gridSpan w:val="2"/>
            <w:vMerge w:val="restart"/>
            <w:vAlign w:val="center"/>
          </w:tcPr>
          <w:p w14:paraId="49F4BB65">
            <w:pPr>
              <w:pStyle w:val="49"/>
              <w:keepNext w:val="0"/>
              <w:keepLines w:val="0"/>
              <w:pageBreakBefore w:val="0"/>
              <w:widowControl w:val="0"/>
              <w:kinsoku/>
              <w:wordWrap/>
              <w:overflowPunct/>
              <w:topLinePunct w:val="0"/>
              <w:autoSpaceDE/>
              <w:autoSpaceDN/>
              <w:bidi w:val="0"/>
              <w:adjustRightInd/>
              <w:snapToGrid w:val="0"/>
              <w:textAlignment w:val="auto"/>
              <w:rPr>
                <w:rFonts w:hint="default" w:ascii="..ì." w:hAnsi="Calibri" w:eastAsia="..ì." w:cs="..ì."/>
                <w:lang w:val="en-US" w:eastAsia="zh-CN"/>
              </w:rPr>
            </w:pPr>
            <w:r>
              <w:rPr>
                <w:rFonts w:hint="eastAsia" w:ascii="..ì." w:hAnsi="Calibri" w:eastAsia="..ì." w:cs="..ì."/>
                <w:lang w:val="en-US" w:eastAsia="zh-CN"/>
              </w:rPr>
              <w:t>不在厂区内暂存</w:t>
            </w:r>
          </w:p>
        </w:tc>
      </w:tr>
      <w:tr w14:paraId="18C336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490" w:type="dxa"/>
            <w:vMerge w:val="continue"/>
            <w:vAlign w:val="center"/>
          </w:tcPr>
          <w:p w14:paraId="49D9C33A">
            <w:pPr>
              <w:pStyle w:val="49"/>
              <w:keepNext w:val="0"/>
              <w:keepLines w:val="0"/>
              <w:pageBreakBefore w:val="0"/>
              <w:widowControl w:val="0"/>
              <w:kinsoku/>
              <w:wordWrap/>
              <w:overflowPunct/>
              <w:topLinePunct w:val="0"/>
              <w:autoSpaceDE/>
              <w:autoSpaceDN/>
              <w:bidi w:val="0"/>
              <w:adjustRightInd/>
              <w:snapToGrid w:val="0"/>
              <w:textAlignment w:val="auto"/>
            </w:pPr>
          </w:p>
        </w:tc>
        <w:tc>
          <w:tcPr>
            <w:tcW w:w="2141" w:type="dxa"/>
            <w:vMerge w:val="continue"/>
            <w:vAlign w:val="center"/>
          </w:tcPr>
          <w:p w14:paraId="3540EDED">
            <w:pPr>
              <w:pStyle w:val="49"/>
              <w:keepNext w:val="0"/>
              <w:keepLines w:val="0"/>
              <w:pageBreakBefore w:val="0"/>
              <w:widowControl w:val="0"/>
              <w:kinsoku/>
              <w:wordWrap/>
              <w:overflowPunct/>
              <w:topLinePunct w:val="0"/>
              <w:autoSpaceDE/>
              <w:autoSpaceDN/>
              <w:bidi w:val="0"/>
              <w:adjustRightInd/>
              <w:snapToGrid w:val="0"/>
              <w:textAlignment w:val="auto"/>
            </w:pPr>
          </w:p>
        </w:tc>
        <w:tc>
          <w:tcPr>
            <w:tcW w:w="1405" w:type="dxa"/>
            <w:vAlign w:val="center"/>
          </w:tcPr>
          <w:p w14:paraId="7464EC5E">
            <w:pPr>
              <w:pStyle w:val="49"/>
              <w:keepNext w:val="0"/>
              <w:keepLines w:val="0"/>
              <w:pageBreakBefore w:val="0"/>
              <w:widowControl w:val="0"/>
              <w:kinsoku/>
              <w:wordWrap/>
              <w:overflowPunct/>
              <w:topLinePunct w:val="0"/>
              <w:autoSpaceDE/>
              <w:autoSpaceDN/>
              <w:bidi w:val="0"/>
              <w:adjustRightInd/>
              <w:snapToGrid w:val="0"/>
              <w:textAlignment w:val="auto"/>
              <w:rPr>
                <w:rFonts w:hint="eastAsia" w:eastAsia="宋体"/>
                <w:lang w:eastAsia="zh-CN"/>
              </w:rPr>
            </w:pPr>
            <w:r>
              <w:rPr>
                <w:rFonts w:hint="eastAsia"/>
              </w:rPr>
              <w:t>含油</w:t>
            </w:r>
            <w:r>
              <w:rPr>
                <w:rFonts w:hint="eastAsia"/>
                <w:lang w:val="en-US" w:eastAsia="zh-CN"/>
              </w:rPr>
              <w:t>污泥</w:t>
            </w:r>
          </w:p>
        </w:tc>
        <w:tc>
          <w:tcPr>
            <w:tcW w:w="2140" w:type="dxa"/>
            <w:vMerge w:val="continue"/>
            <w:vAlign w:val="center"/>
          </w:tcPr>
          <w:p w14:paraId="6CA7B038">
            <w:pPr>
              <w:pStyle w:val="49"/>
              <w:keepNext w:val="0"/>
              <w:keepLines w:val="0"/>
              <w:pageBreakBefore w:val="0"/>
              <w:widowControl w:val="0"/>
              <w:kinsoku/>
              <w:wordWrap/>
              <w:overflowPunct/>
              <w:topLinePunct w:val="0"/>
              <w:autoSpaceDE/>
              <w:autoSpaceDN/>
              <w:bidi w:val="0"/>
              <w:adjustRightInd/>
              <w:snapToGrid w:val="0"/>
              <w:textAlignment w:val="auto"/>
            </w:pPr>
          </w:p>
        </w:tc>
        <w:tc>
          <w:tcPr>
            <w:tcW w:w="2786" w:type="dxa"/>
            <w:gridSpan w:val="2"/>
            <w:vMerge w:val="continue"/>
            <w:vAlign w:val="center"/>
          </w:tcPr>
          <w:p w14:paraId="31E482E9">
            <w:pPr>
              <w:pStyle w:val="49"/>
              <w:keepNext w:val="0"/>
              <w:keepLines w:val="0"/>
              <w:pageBreakBefore w:val="0"/>
              <w:widowControl w:val="0"/>
              <w:kinsoku/>
              <w:wordWrap/>
              <w:overflowPunct/>
              <w:topLinePunct w:val="0"/>
              <w:autoSpaceDE/>
              <w:autoSpaceDN/>
              <w:bidi w:val="0"/>
              <w:adjustRightInd/>
              <w:snapToGrid w:val="0"/>
              <w:textAlignment w:val="auto"/>
              <w:rPr>
                <w:rFonts w:ascii="..ì." w:hAnsi="Calibri" w:eastAsia="..ì." w:cs="..ì."/>
              </w:rPr>
            </w:pPr>
          </w:p>
        </w:tc>
      </w:tr>
      <w:tr w14:paraId="3591DD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490" w:type="dxa"/>
            <w:vMerge w:val="continue"/>
            <w:vAlign w:val="center"/>
          </w:tcPr>
          <w:p w14:paraId="5DDE9DC2">
            <w:pPr>
              <w:pStyle w:val="49"/>
              <w:keepNext w:val="0"/>
              <w:keepLines w:val="0"/>
              <w:pageBreakBefore w:val="0"/>
              <w:widowControl w:val="0"/>
              <w:kinsoku/>
              <w:wordWrap/>
              <w:overflowPunct/>
              <w:topLinePunct w:val="0"/>
              <w:autoSpaceDE/>
              <w:autoSpaceDN/>
              <w:bidi w:val="0"/>
              <w:adjustRightInd/>
              <w:snapToGrid w:val="0"/>
              <w:textAlignment w:val="auto"/>
            </w:pPr>
          </w:p>
        </w:tc>
        <w:tc>
          <w:tcPr>
            <w:tcW w:w="2141" w:type="dxa"/>
            <w:vMerge w:val="continue"/>
            <w:vAlign w:val="center"/>
          </w:tcPr>
          <w:p w14:paraId="78DA0998">
            <w:pPr>
              <w:pStyle w:val="49"/>
              <w:keepNext w:val="0"/>
              <w:keepLines w:val="0"/>
              <w:pageBreakBefore w:val="0"/>
              <w:widowControl w:val="0"/>
              <w:kinsoku/>
              <w:wordWrap/>
              <w:overflowPunct/>
              <w:topLinePunct w:val="0"/>
              <w:autoSpaceDE/>
              <w:autoSpaceDN/>
              <w:bidi w:val="0"/>
              <w:adjustRightInd/>
              <w:snapToGrid w:val="0"/>
              <w:textAlignment w:val="auto"/>
            </w:pPr>
          </w:p>
        </w:tc>
        <w:tc>
          <w:tcPr>
            <w:tcW w:w="1405" w:type="dxa"/>
            <w:vAlign w:val="center"/>
          </w:tcPr>
          <w:p w14:paraId="1AFBA84F">
            <w:pPr>
              <w:pStyle w:val="49"/>
              <w:keepNext w:val="0"/>
              <w:keepLines w:val="0"/>
              <w:pageBreakBefore w:val="0"/>
              <w:widowControl w:val="0"/>
              <w:kinsoku/>
              <w:wordWrap/>
              <w:overflowPunct/>
              <w:topLinePunct w:val="0"/>
              <w:autoSpaceDE/>
              <w:autoSpaceDN/>
              <w:bidi w:val="0"/>
              <w:adjustRightInd/>
              <w:snapToGrid w:val="0"/>
              <w:textAlignment w:val="auto"/>
              <w:rPr>
                <w:rFonts w:hint="default" w:eastAsia="宋体"/>
                <w:lang w:val="en-US" w:eastAsia="zh-CN"/>
              </w:rPr>
            </w:pPr>
            <w:r>
              <w:rPr>
                <w:rFonts w:hint="eastAsia"/>
                <w:lang w:val="en-US" w:eastAsia="zh-CN"/>
              </w:rPr>
              <w:t>化粪池污泥</w:t>
            </w:r>
          </w:p>
        </w:tc>
        <w:tc>
          <w:tcPr>
            <w:tcW w:w="2140" w:type="dxa"/>
            <w:vAlign w:val="center"/>
          </w:tcPr>
          <w:p w14:paraId="4ECA43FB">
            <w:pPr>
              <w:pStyle w:val="49"/>
              <w:keepNext w:val="0"/>
              <w:keepLines w:val="0"/>
              <w:pageBreakBefore w:val="0"/>
              <w:widowControl w:val="0"/>
              <w:kinsoku/>
              <w:wordWrap/>
              <w:overflowPunct/>
              <w:topLinePunct w:val="0"/>
              <w:autoSpaceDE/>
              <w:autoSpaceDN/>
              <w:bidi w:val="0"/>
              <w:adjustRightInd/>
              <w:snapToGrid w:val="0"/>
              <w:textAlignment w:val="auto"/>
              <w:rPr>
                <w:rFonts w:hint="eastAsia"/>
              </w:rPr>
            </w:pPr>
            <w:r>
              <w:rPr>
                <w:rFonts w:hint="eastAsia"/>
                <w:color w:val="auto"/>
                <w:spacing w:val="4"/>
                <w:kern w:val="0"/>
                <w:sz w:val="21"/>
                <w:szCs w:val="21"/>
                <w:lang w:val="en-US" w:eastAsia="zh-CN"/>
              </w:rPr>
              <w:t>委托环卫部门定期清掏，带走处置</w:t>
            </w:r>
          </w:p>
        </w:tc>
        <w:tc>
          <w:tcPr>
            <w:tcW w:w="2786" w:type="dxa"/>
            <w:gridSpan w:val="2"/>
            <w:vAlign w:val="center"/>
          </w:tcPr>
          <w:p w14:paraId="496FB63C">
            <w:pPr>
              <w:pStyle w:val="49"/>
              <w:keepNext w:val="0"/>
              <w:keepLines w:val="0"/>
              <w:pageBreakBefore w:val="0"/>
              <w:widowControl w:val="0"/>
              <w:kinsoku/>
              <w:wordWrap/>
              <w:overflowPunct/>
              <w:topLinePunct w:val="0"/>
              <w:autoSpaceDE/>
              <w:autoSpaceDN/>
              <w:bidi w:val="0"/>
              <w:adjustRightInd/>
              <w:snapToGrid w:val="0"/>
              <w:textAlignment w:val="auto"/>
              <w:rPr>
                <w:rFonts w:hint="eastAsia"/>
              </w:rPr>
            </w:pPr>
            <w:r>
              <w:rPr>
                <w:rFonts w:hint="eastAsia" w:ascii="..ì." w:hAnsi="Calibri" w:eastAsia="..ì." w:cs="..ì."/>
                <w:lang w:val="en-US" w:eastAsia="zh-CN"/>
              </w:rPr>
              <w:t>不在厂区内暂存</w:t>
            </w:r>
          </w:p>
        </w:tc>
      </w:tr>
      <w:tr w14:paraId="2A4C49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490" w:type="dxa"/>
            <w:vMerge w:val="continue"/>
            <w:vAlign w:val="center"/>
          </w:tcPr>
          <w:p w14:paraId="2E96D0CC">
            <w:pPr>
              <w:pStyle w:val="49"/>
              <w:keepNext w:val="0"/>
              <w:keepLines w:val="0"/>
              <w:pageBreakBefore w:val="0"/>
              <w:widowControl w:val="0"/>
              <w:kinsoku/>
              <w:wordWrap/>
              <w:overflowPunct/>
              <w:topLinePunct w:val="0"/>
              <w:autoSpaceDE/>
              <w:autoSpaceDN/>
              <w:bidi w:val="0"/>
              <w:adjustRightInd/>
              <w:snapToGrid w:val="0"/>
              <w:textAlignment w:val="auto"/>
            </w:pPr>
          </w:p>
        </w:tc>
        <w:tc>
          <w:tcPr>
            <w:tcW w:w="2141" w:type="dxa"/>
            <w:vMerge w:val="continue"/>
            <w:vAlign w:val="center"/>
          </w:tcPr>
          <w:p w14:paraId="19025F1A">
            <w:pPr>
              <w:pStyle w:val="49"/>
              <w:keepNext w:val="0"/>
              <w:keepLines w:val="0"/>
              <w:pageBreakBefore w:val="0"/>
              <w:widowControl w:val="0"/>
              <w:kinsoku/>
              <w:wordWrap/>
              <w:overflowPunct/>
              <w:topLinePunct w:val="0"/>
              <w:autoSpaceDE/>
              <w:autoSpaceDN/>
              <w:bidi w:val="0"/>
              <w:adjustRightInd/>
              <w:snapToGrid w:val="0"/>
              <w:textAlignment w:val="auto"/>
            </w:pPr>
          </w:p>
        </w:tc>
        <w:tc>
          <w:tcPr>
            <w:tcW w:w="1405" w:type="dxa"/>
            <w:vAlign w:val="center"/>
          </w:tcPr>
          <w:p w14:paraId="03EDF4CE">
            <w:pPr>
              <w:pStyle w:val="49"/>
              <w:keepNext w:val="0"/>
              <w:keepLines w:val="0"/>
              <w:pageBreakBefore w:val="0"/>
              <w:widowControl w:val="0"/>
              <w:kinsoku/>
              <w:wordWrap/>
              <w:overflowPunct/>
              <w:topLinePunct w:val="0"/>
              <w:autoSpaceDE/>
              <w:autoSpaceDN/>
              <w:bidi w:val="0"/>
              <w:adjustRightInd/>
              <w:snapToGrid w:val="0"/>
              <w:textAlignment w:val="auto"/>
              <w:rPr>
                <w:rFonts w:hint="eastAsia" w:eastAsia="宋体"/>
                <w:lang w:val="en-US" w:eastAsia="zh-CN"/>
              </w:rPr>
            </w:pPr>
            <w:r>
              <w:rPr>
                <w:rFonts w:hint="eastAsia"/>
              </w:rPr>
              <w:t>废</w:t>
            </w:r>
            <w:r>
              <w:rPr>
                <w:rFonts w:hint="eastAsia"/>
                <w:lang w:val="en-US" w:eastAsia="zh-CN"/>
              </w:rPr>
              <w:t>吸油毡</w:t>
            </w:r>
          </w:p>
        </w:tc>
        <w:tc>
          <w:tcPr>
            <w:tcW w:w="2140" w:type="dxa"/>
            <w:vMerge w:val="restart"/>
            <w:vAlign w:val="center"/>
          </w:tcPr>
          <w:p w14:paraId="2EC44498">
            <w:pPr>
              <w:pStyle w:val="49"/>
              <w:keepNext w:val="0"/>
              <w:keepLines w:val="0"/>
              <w:pageBreakBefore w:val="0"/>
              <w:widowControl w:val="0"/>
              <w:kinsoku/>
              <w:wordWrap/>
              <w:overflowPunct/>
              <w:topLinePunct w:val="0"/>
              <w:autoSpaceDE/>
              <w:autoSpaceDN/>
              <w:bidi w:val="0"/>
              <w:adjustRightInd/>
              <w:snapToGrid w:val="0"/>
              <w:textAlignment w:val="auto"/>
            </w:pPr>
            <w:r>
              <w:rPr>
                <w:szCs w:val="21"/>
              </w:rPr>
              <w:t>危</w:t>
            </w:r>
            <w:r>
              <w:rPr>
                <w:rFonts w:hint="eastAsia"/>
                <w:szCs w:val="21"/>
              </w:rPr>
              <w:t>险</w:t>
            </w:r>
            <w:r>
              <w:rPr>
                <w:szCs w:val="21"/>
              </w:rPr>
              <w:t>废</w:t>
            </w:r>
            <w:r>
              <w:rPr>
                <w:rFonts w:hint="eastAsia"/>
                <w:szCs w:val="21"/>
              </w:rPr>
              <w:t>物</w:t>
            </w:r>
            <w:r>
              <w:rPr>
                <w:szCs w:val="21"/>
              </w:rPr>
              <w:t>暂存</w:t>
            </w:r>
            <w:r>
              <w:rPr>
                <w:rFonts w:hint="eastAsia"/>
                <w:color w:val="auto"/>
                <w:sz w:val="21"/>
                <w:szCs w:val="21"/>
                <w:lang w:val="en-US" w:eastAsia="zh-CN"/>
              </w:rPr>
              <w:t>箱</w:t>
            </w:r>
            <w:r>
              <w:rPr>
                <w:rFonts w:hint="eastAsia"/>
                <w:color w:val="FF0000"/>
                <w:sz w:val="21"/>
                <w:szCs w:val="21"/>
                <w:lang w:val="en-US" w:eastAsia="zh-CN"/>
              </w:rPr>
              <w:t>（</w:t>
            </w:r>
            <w:r>
              <w:rPr>
                <w:rFonts w:hint="eastAsia"/>
                <w:color w:val="FF0000"/>
                <w:highlight w:val="none"/>
                <w:lang w:val="en-US" w:eastAsia="zh-CN"/>
              </w:rPr>
              <w:t>贮存能力为2.5t</w:t>
            </w:r>
            <w:r>
              <w:rPr>
                <w:rFonts w:hint="eastAsia"/>
                <w:color w:val="FF0000"/>
                <w:sz w:val="21"/>
                <w:szCs w:val="21"/>
                <w:lang w:val="en-US" w:eastAsia="zh-CN"/>
              </w:rPr>
              <w:t>）</w:t>
            </w:r>
            <w:r>
              <w:rPr>
                <w:rFonts w:hint="eastAsia"/>
                <w:szCs w:val="21"/>
              </w:rPr>
              <w:t>暂存</w:t>
            </w:r>
            <w:r>
              <w:rPr>
                <w:szCs w:val="21"/>
              </w:rPr>
              <w:t>，</w:t>
            </w:r>
            <w:r>
              <w:rPr>
                <w:rFonts w:hint="eastAsia"/>
                <w:color w:val="auto"/>
                <w:szCs w:val="21"/>
                <w:highlight w:val="none"/>
              </w:rPr>
              <w:t>委托</w:t>
            </w:r>
            <w:r>
              <w:rPr>
                <w:rFonts w:hint="eastAsia"/>
                <w:color w:val="auto"/>
                <w:szCs w:val="21"/>
                <w:highlight w:val="none"/>
                <w:lang w:val="en-US" w:eastAsia="zh-CN"/>
              </w:rPr>
              <w:t>具</w:t>
            </w:r>
            <w:r>
              <w:rPr>
                <w:rFonts w:hint="eastAsia"/>
                <w:color w:val="auto"/>
                <w:szCs w:val="21"/>
                <w:highlight w:val="none"/>
              </w:rPr>
              <w:t>有危险废物</w:t>
            </w:r>
            <w:r>
              <w:rPr>
                <w:rFonts w:hint="eastAsia"/>
                <w:color w:val="auto"/>
                <w:szCs w:val="21"/>
                <w:highlight w:val="none"/>
                <w:lang w:val="en-US" w:eastAsia="zh-CN"/>
              </w:rPr>
              <w:t>处理</w:t>
            </w:r>
            <w:r>
              <w:rPr>
                <w:rFonts w:hint="eastAsia"/>
                <w:color w:val="auto"/>
                <w:szCs w:val="21"/>
                <w:highlight w:val="none"/>
              </w:rPr>
              <w:t>资质的单位处置</w:t>
            </w:r>
          </w:p>
        </w:tc>
        <w:tc>
          <w:tcPr>
            <w:tcW w:w="2786" w:type="dxa"/>
            <w:gridSpan w:val="2"/>
            <w:vMerge w:val="restart"/>
            <w:vAlign w:val="center"/>
          </w:tcPr>
          <w:p w14:paraId="183F68FE">
            <w:pPr>
              <w:pStyle w:val="49"/>
              <w:keepNext w:val="0"/>
              <w:keepLines w:val="0"/>
              <w:pageBreakBefore w:val="0"/>
              <w:widowControl w:val="0"/>
              <w:kinsoku/>
              <w:wordWrap/>
              <w:overflowPunct/>
              <w:topLinePunct w:val="0"/>
              <w:autoSpaceDE/>
              <w:autoSpaceDN/>
              <w:bidi w:val="0"/>
              <w:adjustRightInd/>
              <w:snapToGrid w:val="0"/>
              <w:textAlignment w:val="auto"/>
              <w:rPr>
                <w:rFonts w:ascii="..ì." w:hAnsi="Calibri" w:eastAsia="..ì." w:cs="..ì."/>
              </w:rPr>
            </w:pPr>
            <w:r>
              <w:rPr>
                <w:szCs w:val="21"/>
              </w:rPr>
              <w:t>《危险废物贮存污染控制标准》（GB18597-20</w:t>
            </w:r>
            <w:r>
              <w:rPr>
                <w:rFonts w:hint="eastAsia"/>
                <w:szCs w:val="21"/>
              </w:rPr>
              <w:t>23</w:t>
            </w:r>
            <w:r>
              <w:rPr>
                <w:szCs w:val="21"/>
              </w:rPr>
              <w:t>）</w:t>
            </w:r>
          </w:p>
        </w:tc>
      </w:tr>
      <w:tr w14:paraId="422709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490" w:type="dxa"/>
            <w:vMerge w:val="continue"/>
            <w:vAlign w:val="center"/>
          </w:tcPr>
          <w:p w14:paraId="1A1D4108">
            <w:pPr>
              <w:pStyle w:val="49"/>
              <w:keepNext w:val="0"/>
              <w:keepLines w:val="0"/>
              <w:pageBreakBefore w:val="0"/>
              <w:widowControl w:val="0"/>
              <w:kinsoku/>
              <w:wordWrap/>
              <w:overflowPunct/>
              <w:topLinePunct w:val="0"/>
              <w:autoSpaceDE/>
              <w:autoSpaceDN/>
              <w:bidi w:val="0"/>
              <w:adjustRightInd/>
              <w:snapToGrid w:val="0"/>
              <w:textAlignment w:val="auto"/>
            </w:pPr>
          </w:p>
        </w:tc>
        <w:tc>
          <w:tcPr>
            <w:tcW w:w="2141" w:type="dxa"/>
            <w:vMerge w:val="continue"/>
            <w:vAlign w:val="center"/>
          </w:tcPr>
          <w:p w14:paraId="4E130735">
            <w:pPr>
              <w:pStyle w:val="49"/>
              <w:keepNext w:val="0"/>
              <w:keepLines w:val="0"/>
              <w:pageBreakBefore w:val="0"/>
              <w:widowControl w:val="0"/>
              <w:kinsoku/>
              <w:wordWrap/>
              <w:overflowPunct/>
              <w:topLinePunct w:val="0"/>
              <w:autoSpaceDE/>
              <w:autoSpaceDN/>
              <w:bidi w:val="0"/>
              <w:adjustRightInd/>
              <w:snapToGrid w:val="0"/>
              <w:textAlignment w:val="auto"/>
            </w:pPr>
          </w:p>
        </w:tc>
        <w:tc>
          <w:tcPr>
            <w:tcW w:w="1405" w:type="dxa"/>
            <w:vAlign w:val="center"/>
          </w:tcPr>
          <w:p w14:paraId="58088863">
            <w:pPr>
              <w:pStyle w:val="49"/>
              <w:keepNext w:val="0"/>
              <w:keepLines w:val="0"/>
              <w:pageBreakBefore w:val="0"/>
              <w:widowControl w:val="0"/>
              <w:kinsoku/>
              <w:wordWrap/>
              <w:overflowPunct/>
              <w:topLinePunct w:val="0"/>
              <w:autoSpaceDE/>
              <w:autoSpaceDN/>
              <w:bidi w:val="0"/>
              <w:adjustRightInd/>
              <w:snapToGrid w:val="0"/>
              <w:textAlignment w:val="auto"/>
              <w:rPr>
                <w:rFonts w:hint="default" w:eastAsia="宋体"/>
                <w:lang w:val="en-US" w:eastAsia="zh-CN"/>
              </w:rPr>
            </w:pPr>
            <w:r>
              <w:rPr>
                <w:rFonts w:hint="eastAsia"/>
                <w:lang w:val="en-US" w:eastAsia="zh-CN"/>
              </w:rPr>
              <w:t>废滤芯</w:t>
            </w:r>
          </w:p>
        </w:tc>
        <w:tc>
          <w:tcPr>
            <w:tcW w:w="2140" w:type="dxa"/>
            <w:vMerge w:val="continue"/>
            <w:vAlign w:val="center"/>
          </w:tcPr>
          <w:p w14:paraId="7FB999F7">
            <w:pPr>
              <w:pStyle w:val="49"/>
              <w:keepNext w:val="0"/>
              <w:keepLines w:val="0"/>
              <w:pageBreakBefore w:val="0"/>
              <w:widowControl w:val="0"/>
              <w:kinsoku/>
              <w:wordWrap/>
              <w:overflowPunct/>
              <w:topLinePunct w:val="0"/>
              <w:autoSpaceDE/>
              <w:autoSpaceDN/>
              <w:bidi w:val="0"/>
              <w:adjustRightInd/>
              <w:snapToGrid w:val="0"/>
              <w:textAlignment w:val="auto"/>
              <w:rPr>
                <w:rFonts w:hint="eastAsia"/>
              </w:rPr>
            </w:pPr>
          </w:p>
        </w:tc>
        <w:tc>
          <w:tcPr>
            <w:tcW w:w="2786" w:type="dxa"/>
            <w:gridSpan w:val="2"/>
            <w:vMerge w:val="continue"/>
            <w:vAlign w:val="center"/>
          </w:tcPr>
          <w:p w14:paraId="6BB2052D">
            <w:pPr>
              <w:pStyle w:val="49"/>
              <w:keepNext w:val="0"/>
              <w:keepLines w:val="0"/>
              <w:pageBreakBefore w:val="0"/>
              <w:widowControl w:val="0"/>
              <w:kinsoku/>
              <w:wordWrap/>
              <w:overflowPunct/>
              <w:topLinePunct w:val="0"/>
              <w:autoSpaceDE/>
              <w:autoSpaceDN/>
              <w:bidi w:val="0"/>
              <w:adjustRightInd/>
              <w:snapToGrid w:val="0"/>
              <w:textAlignment w:val="auto"/>
              <w:rPr>
                <w:rFonts w:hint="eastAsia"/>
              </w:rPr>
            </w:pPr>
          </w:p>
        </w:tc>
      </w:tr>
      <w:tr w14:paraId="37FD6C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490" w:type="dxa"/>
            <w:vMerge w:val="continue"/>
            <w:vAlign w:val="center"/>
          </w:tcPr>
          <w:p w14:paraId="54DAF435">
            <w:pPr>
              <w:pStyle w:val="49"/>
              <w:keepNext w:val="0"/>
              <w:keepLines w:val="0"/>
              <w:pageBreakBefore w:val="0"/>
              <w:widowControl w:val="0"/>
              <w:kinsoku/>
              <w:wordWrap/>
              <w:overflowPunct/>
              <w:topLinePunct w:val="0"/>
              <w:autoSpaceDE/>
              <w:autoSpaceDN/>
              <w:bidi w:val="0"/>
              <w:adjustRightInd/>
              <w:snapToGrid w:val="0"/>
              <w:textAlignment w:val="auto"/>
            </w:pPr>
          </w:p>
        </w:tc>
        <w:tc>
          <w:tcPr>
            <w:tcW w:w="2141" w:type="dxa"/>
            <w:vMerge w:val="continue"/>
            <w:vAlign w:val="center"/>
          </w:tcPr>
          <w:p w14:paraId="62B316F5">
            <w:pPr>
              <w:pStyle w:val="49"/>
              <w:keepNext w:val="0"/>
              <w:keepLines w:val="0"/>
              <w:pageBreakBefore w:val="0"/>
              <w:widowControl w:val="0"/>
              <w:kinsoku/>
              <w:wordWrap/>
              <w:overflowPunct/>
              <w:topLinePunct w:val="0"/>
              <w:autoSpaceDE/>
              <w:autoSpaceDN/>
              <w:bidi w:val="0"/>
              <w:adjustRightInd/>
              <w:snapToGrid w:val="0"/>
              <w:textAlignment w:val="auto"/>
            </w:pPr>
          </w:p>
        </w:tc>
        <w:tc>
          <w:tcPr>
            <w:tcW w:w="1405" w:type="dxa"/>
            <w:vAlign w:val="center"/>
          </w:tcPr>
          <w:p w14:paraId="5A3E1EC5">
            <w:pPr>
              <w:pStyle w:val="49"/>
              <w:keepNext w:val="0"/>
              <w:keepLines w:val="0"/>
              <w:pageBreakBefore w:val="0"/>
              <w:widowControl w:val="0"/>
              <w:kinsoku/>
              <w:wordWrap/>
              <w:overflowPunct/>
              <w:topLinePunct w:val="0"/>
              <w:autoSpaceDE/>
              <w:autoSpaceDN/>
              <w:bidi w:val="0"/>
              <w:adjustRightInd/>
              <w:snapToGrid w:val="0"/>
              <w:textAlignment w:val="auto"/>
              <w:rPr>
                <w:rFonts w:hint="default"/>
                <w:lang w:val="en-US" w:eastAsia="zh-CN"/>
              </w:rPr>
            </w:pPr>
            <w:r>
              <w:rPr>
                <w:rFonts w:hint="eastAsia"/>
                <w:lang w:val="en-US" w:eastAsia="zh-CN"/>
              </w:rPr>
              <w:t>废含油抹布手套</w:t>
            </w:r>
          </w:p>
        </w:tc>
        <w:tc>
          <w:tcPr>
            <w:tcW w:w="2140" w:type="dxa"/>
            <w:vMerge w:val="continue"/>
            <w:vAlign w:val="center"/>
          </w:tcPr>
          <w:p w14:paraId="25665065">
            <w:pPr>
              <w:pStyle w:val="49"/>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p>
        </w:tc>
        <w:tc>
          <w:tcPr>
            <w:tcW w:w="2786" w:type="dxa"/>
            <w:gridSpan w:val="2"/>
            <w:vMerge w:val="continue"/>
            <w:vAlign w:val="center"/>
          </w:tcPr>
          <w:p w14:paraId="02D15343">
            <w:pPr>
              <w:pStyle w:val="49"/>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p>
        </w:tc>
      </w:tr>
      <w:tr w14:paraId="38CA3C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90" w:type="dxa"/>
            <w:vMerge w:val="continue"/>
            <w:vAlign w:val="center"/>
          </w:tcPr>
          <w:p w14:paraId="106AEFC0">
            <w:pPr>
              <w:pStyle w:val="49"/>
              <w:keepNext w:val="0"/>
              <w:keepLines w:val="0"/>
              <w:pageBreakBefore w:val="0"/>
              <w:widowControl w:val="0"/>
              <w:kinsoku/>
              <w:wordWrap/>
              <w:overflowPunct/>
              <w:topLinePunct w:val="0"/>
              <w:autoSpaceDE/>
              <w:autoSpaceDN/>
              <w:bidi w:val="0"/>
              <w:adjustRightInd/>
              <w:snapToGrid w:val="0"/>
              <w:textAlignment w:val="auto"/>
            </w:pPr>
          </w:p>
        </w:tc>
        <w:tc>
          <w:tcPr>
            <w:tcW w:w="2141" w:type="dxa"/>
            <w:vAlign w:val="center"/>
          </w:tcPr>
          <w:p w14:paraId="5E9BF546">
            <w:pPr>
              <w:pStyle w:val="49"/>
              <w:keepNext w:val="0"/>
              <w:keepLines w:val="0"/>
              <w:pageBreakBefore w:val="0"/>
              <w:widowControl w:val="0"/>
              <w:kinsoku/>
              <w:wordWrap/>
              <w:overflowPunct/>
              <w:topLinePunct w:val="0"/>
              <w:autoSpaceDE/>
              <w:autoSpaceDN/>
              <w:bidi w:val="0"/>
              <w:adjustRightInd/>
              <w:snapToGrid w:val="0"/>
              <w:textAlignment w:val="auto"/>
            </w:pPr>
            <w:r>
              <w:t>生活</w:t>
            </w:r>
          </w:p>
        </w:tc>
        <w:tc>
          <w:tcPr>
            <w:tcW w:w="1405" w:type="dxa"/>
            <w:vAlign w:val="center"/>
          </w:tcPr>
          <w:p w14:paraId="4DAC9324">
            <w:pPr>
              <w:pStyle w:val="49"/>
              <w:keepNext w:val="0"/>
              <w:keepLines w:val="0"/>
              <w:pageBreakBefore w:val="0"/>
              <w:widowControl w:val="0"/>
              <w:kinsoku/>
              <w:wordWrap/>
              <w:overflowPunct/>
              <w:topLinePunct w:val="0"/>
              <w:autoSpaceDE/>
              <w:autoSpaceDN/>
              <w:bidi w:val="0"/>
              <w:adjustRightInd/>
              <w:snapToGrid w:val="0"/>
              <w:textAlignment w:val="auto"/>
            </w:pPr>
            <w:r>
              <w:t>生活垃圾</w:t>
            </w:r>
          </w:p>
        </w:tc>
        <w:tc>
          <w:tcPr>
            <w:tcW w:w="2140" w:type="dxa"/>
            <w:vAlign w:val="center"/>
          </w:tcPr>
          <w:p w14:paraId="5D462998">
            <w:pPr>
              <w:pStyle w:val="49"/>
              <w:keepNext w:val="0"/>
              <w:keepLines w:val="0"/>
              <w:pageBreakBefore w:val="0"/>
              <w:widowControl w:val="0"/>
              <w:kinsoku/>
              <w:wordWrap/>
              <w:overflowPunct/>
              <w:topLinePunct w:val="0"/>
              <w:autoSpaceDE/>
              <w:autoSpaceDN/>
              <w:bidi w:val="0"/>
              <w:adjustRightInd/>
              <w:snapToGrid w:val="0"/>
              <w:textAlignment w:val="auto"/>
              <w:rPr>
                <w:rFonts w:eastAsia="黑体"/>
              </w:rPr>
            </w:pPr>
            <w:r>
              <w:rPr>
                <w:rFonts w:hint="eastAsia"/>
                <w:color w:val="auto"/>
                <w:sz w:val="21"/>
                <w:szCs w:val="21"/>
                <w:lang w:val="en-US" w:eastAsia="zh-CN"/>
              </w:rPr>
              <w:t>委托</w:t>
            </w:r>
            <w:r>
              <w:rPr>
                <w:rFonts w:hint="eastAsia"/>
                <w:color w:val="auto"/>
                <w:sz w:val="21"/>
                <w:szCs w:val="21"/>
              </w:rPr>
              <w:t>环卫部门处置</w:t>
            </w:r>
          </w:p>
        </w:tc>
        <w:tc>
          <w:tcPr>
            <w:tcW w:w="2786" w:type="dxa"/>
            <w:gridSpan w:val="2"/>
            <w:vAlign w:val="center"/>
          </w:tcPr>
          <w:p w14:paraId="67D8B81F">
            <w:pPr>
              <w:pStyle w:val="49"/>
              <w:keepNext w:val="0"/>
              <w:keepLines w:val="0"/>
              <w:pageBreakBefore w:val="0"/>
              <w:widowControl w:val="0"/>
              <w:kinsoku/>
              <w:wordWrap/>
              <w:overflowPunct/>
              <w:topLinePunct w:val="0"/>
              <w:autoSpaceDE/>
              <w:autoSpaceDN/>
              <w:bidi w:val="0"/>
              <w:adjustRightInd/>
              <w:snapToGrid w:val="0"/>
              <w:textAlignment w:val="auto"/>
              <w:rPr>
                <w:rFonts w:ascii="..ì." w:hAnsi="Calibri" w:eastAsia="..ì." w:cs="..ì."/>
              </w:rPr>
            </w:pPr>
            <w:r>
              <w:rPr>
                <w:szCs w:val="21"/>
              </w:rPr>
              <w:t>《中华人民共和国固体废物污染环境防治法》（2020年修订）</w:t>
            </w:r>
          </w:p>
        </w:tc>
      </w:tr>
      <w:tr w14:paraId="0C9636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90" w:type="dxa"/>
            <w:vAlign w:val="center"/>
          </w:tcPr>
          <w:p w14:paraId="6D6A1F7D">
            <w:pPr>
              <w:pStyle w:val="49"/>
              <w:keepNext w:val="0"/>
              <w:keepLines w:val="0"/>
              <w:pageBreakBefore w:val="0"/>
              <w:widowControl w:val="0"/>
              <w:kinsoku/>
              <w:wordWrap/>
              <w:overflowPunct/>
              <w:topLinePunct w:val="0"/>
              <w:autoSpaceDE/>
              <w:autoSpaceDN/>
              <w:bidi w:val="0"/>
              <w:adjustRightInd/>
              <w:snapToGrid w:val="0"/>
              <w:textAlignment w:val="auto"/>
            </w:pPr>
            <w:r>
              <w:rPr>
                <w:rFonts w:hint="eastAsia"/>
              </w:rPr>
              <w:t>土壤及地下水污染防治措施</w:t>
            </w:r>
          </w:p>
        </w:tc>
        <w:tc>
          <w:tcPr>
            <w:tcW w:w="8472" w:type="dxa"/>
            <w:gridSpan w:val="5"/>
            <w:vAlign w:val="center"/>
          </w:tcPr>
          <w:p w14:paraId="5619F4A7">
            <w:pPr>
              <w:pStyle w:val="49"/>
              <w:keepNext w:val="0"/>
              <w:keepLines w:val="0"/>
              <w:pageBreakBefore w:val="0"/>
              <w:widowControl w:val="0"/>
              <w:kinsoku/>
              <w:wordWrap/>
              <w:overflowPunct/>
              <w:topLinePunct w:val="0"/>
              <w:autoSpaceDE/>
              <w:autoSpaceDN/>
              <w:bidi w:val="0"/>
              <w:adjustRightInd/>
              <w:snapToGrid w:val="0"/>
              <w:ind w:firstLine="420" w:firstLineChars="200"/>
              <w:jc w:val="both"/>
              <w:textAlignment w:val="auto"/>
              <w:rPr>
                <w:rFonts w:hint="eastAsia" w:eastAsia="宋体"/>
                <w:lang w:eastAsia="zh-CN"/>
              </w:rPr>
            </w:pPr>
            <w:r>
              <w:rPr>
                <w:rFonts w:hint="eastAsia" w:cs="宋体"/>
                <w:color w:val="auto"/>
                <w:kern w:val="0"/>
                <w:szCs w:val="21"/>
              </w:rPr>
              <w:t>重点防渗区：危</w:t>
            </w:r>
            <w:r>
              <w:rPr>
                <w:rFonts w:hint="eastAsia" w:cs="宋体"/>
                <w:color w:val="auto"/>
                <w:kern w:val="0"/>
                <w:szCs w:val="21"/>
                <w:lang w:val="en-US" w:eastAsia="zh-CN"/>
              </w:rPr>
              <w:t>险</w:t>
            </w:r>
            <w:r>
              <w:rPr>
                <w:rFonts w:hint="eastAsia" w:cs="宋体"/>
                <w:color w:val="auto"/>
                <w:kern w:val="0"/>
                <w:szCs w:val="21"/>
              </w:rPr>
              <w:t>废</w:t>
            </w:r>
            <w:r>
              <w:rPr>
                <w:rFonts w:hint="eastAsia" w:cs="宋体"/>
                <w:color w:val="auto"/>
                <w:kern w:val="0"/>
                <w:szCs w:val="21"/>
                <w:lang w:val="en-US" w:eastAsia="zh-CN"/>
              </w:rPr>
              <w:t>物暂存</w:t>
            </w:r>
            <w:r>
              <w:rPr>
                <w:rFonts w:hint="eastAsia"/>
                <w:color w:val="auto"/>
                <w:sz w:val="21"/>
                <w:szCs w:val="21"/>
                <w:lang w:val="en-US" w:eastAsia="zh-CN"/>
              </w:rPr>
              <w:t>箱</w:t>
            </w:r>
            <w:r>
              <w:rPr>
                <w:rFonts w:hint="eastAsia" w:cs="宋体"/>
                <w:color w:val="auto"/>
                <w:kern w:val="0"/>
                <w:szCs w:val="21"/>
              </w:rPr>
              <w:t>、</w:t>
            </w:r>
            <w:r>
              <w:rPr>
                <w:rFonts w:hint="eastAsia" w:cs="宋体"/>
                <w:color w:val="auto"/>
                <w:kern w:val="0"/>
                <w:szCs w:val="21"/>
                <w:lang w:val="en-US" w:eastAsia="zh-CN"/>
              </w:rPr>
              <w:t>储</w:t>
            </w:r>
            <w:r>
              <w:rPr>
                <w:rFonts w:hint="eastAsia" w:cs="宋体"/>
                <w:color w:val="auto"/>
                <w:kern w:val="0"/>
                <w:szCs w:val="21"/>
              </w:rPr>
              <w:t>罐区、卸油区、加油区、输油管</w:t>
            </w:r>
            <w:r>
              <w:rPr>
                <w:rFonts w:hint="eastAsia" w:cs="宋体"/>
                <w:color w:val="auto"/>
                <w:kern w:val="0"/>
                <w:szCs w:val="21"/>
                <w:lang w:val="en-US" w:eastAsia="zh-CN"/>
              </w:rPr>
              <w:t>线区</w:t>
            </w:r>
            <w:r>
              <w:rPr>
                <w:rFonts w:hint="eastAsia" w:cs="宋体"/>
                <w:color w:val="auto"/>
                <w:kern w:val="0"/>
                <w:szCs w:val="21"/>
              </w:rPr>
              <w:t>等；一般防渗区：排水渠、化粪池、洗车区、隔油池</w:t>
            </w:r>
            <w:r>
              <w:rPr>
                <w:rFonts w:hint="eastAsia" w:cs="宋体"/>
                <w:color w:val="auto"/>
                <w:kern w:val="0"/>
                <w:szCs w:val="21"/>
                <w:lang w:eastAsia="zh-CN"/>
              </w:rPr>
              <w:t>、</w:t>
            </w:r>
            <w:r>
              <w:rPr>
                <w:rFonts w:hint="eastAsia" w:cs="宋体"/>
                <w:color w:val="auto"/>
                <w:kern w:val="0"/>
                <w:szCs w:val="21"/>
                <w:lang w:val="en-US" w:eastAsia="zh-CN"/>
              </w:rPr>
              <w:t>一体化（MBR）洗车废水处理设施</w:t>
            </w:r>
            <w:r>
              <w:rPr>
                <w:rFonts w:hint="eastAsia" w:cs="宋体"/>
                <w:color w:val="auto"/>
                <w:kern w:val="0"/>
                <w:szCs w:val="21"/>
              </w:rPr>
              <w:t>等；简单防渗区：站房室内地面、站内道路</w:t>
            </w:r>
            <w:r>
              <w:rPr>
                <w:rFonts w:hint="eastAsia" w:cs="宋体"/>
                <w:color w:val="auto"/>
                <w:kern w:val="0"/>
                <w:szCs w:val="21"/>
                <w:lang w:eastAsia="zh-CN"/>
              </w:rPr>
              <w:t>。</w:t>
            </w:r>
          </w:p>
        </w:tc>
      </w:tr>
      <w:tr w14:paraId="11E39B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90" w:type="dxa"/>
            <w:vAlign w:val="center"/>
          </w:tcPr>
          <w:p w14:paraId="76D52F8D">
            <w:pPr>
              <w:pStyle w:val="49"/>
              <w:keepNext w:val="0"/>
              <w:keepLines w:val="0"/>
              <w:pageBreakBefore w:val="0"/>
              <w:widowControl w:val="0"/>
              <w:kinsoku/>
              <w:wordWrap/>
              <w:overflowPunct/>
              <w:topLinePunct w:val="0"/>
              <w:autoSpaceDE/>
              <w:autoSpaceDN/>
              <w:bidi w:val="0"/>
              <w:adjustRightInd/>
              <w:snapToGrid w:val="0"/>
              <w:textAlignment w:val="auto"/>
            </w:pPr>
            <w:r>
              <w:rPr>
                <w:rFonts w:hint="eastAsia"/>
              </w:rPr>
              <w:t>生态保护措施</w:t>
            </w:r>
          </w:p>
        </w:tc>
        <w:tc>
          <w:tcPr>
            <w:tcW w:w="8472" w:type="dxa"/>
            <w:gridSpan w:val="5"/>
            <w:vAlign w:val="center"/>
          </w:tcPr>
          <w:p w14:paraId="2610C288">
            <w:pPr>
              <w:pStyle w:val="49"/>
              <w:keepNext w:val="0"/>
              <w:keepLines w:val="0"/>
              <w:pageBreakBefore w:val="0"/>
              <w:widowControl w:val="0"/>
              <w:kinsoku/>
              <w:wordWrap/>
              <w:overflowPunct/>
              <w:topLinePunct w:val="0"/>
              <w:autoSpaceDE/>
              <w:autoSpaceDN/>
              <w:bidi w:val="0"/>
              <w:adjustRightInd/>
              <w:snapToGrid w:val="0"/>
              <w:textAlignment w:val="auto"/>
              <w:rPr>
                <w:rFonts w:hint="eastAsia" w:eastAsia="宋体"/>
                <w:lang w:eastAsia="zh-CN"/>
              </w:rPr>
            </w:pPr>
            <w:r>
              <w:rPr>
                <w:rFonts w:hint="eastAsia"/>
              </w:rPr>
              <w:t>不涉及</w:t>
            </w:r>
            <w:r>
              <w:rPr>
                <w:rFonts w:hint="eastAsia"/>
                <w:lang w:eastAsia="zh-CN"/>
              </w:rPr>
              <w:t>。</w:t>
            </w:r>
          </w:p>
        </w:tc>
      </w:tr>
      <w:tr w14:paraId="4003A9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90" w:type="dxa"/>
            <w:vAlign w:val="center"/>
          </w:tcPr>
          <w:p w14:paraId="47CFA11E">
            <w:pPr>
              <w:pStyle w:val="49"/>
              <w:keepNext w:val="0"/>
              <w:keepLines w:val="0"/>
              <w:pageBreakBefore w:val="0"/>
              <w:widowControl w:val="0"/>
              <w:kinsoku/>
              <w:wordWrap/>
              <w:overflowPunct/>
              <w:topLinePunct w:val="0"/>
              <w:autoSpaceDE/>
              <w:autoSpaceDN/>
              <w:bidi w:val="0"/>
              <w:adjustRightInd/>
              <w:snapToGrid w:val="0"/>
              <w:textAlignment w:val="auto"/>
              <w:rPr>
                <w:spacing w:val="-8"/>
              </w:rPr>
            </w:pPr>
            <w:r>
              <w:rPr>
                <w:rFonts w:hint="eastAsia"/>
                <w:spacing w:val="-8"/>
              </w:rPr>
              <w:t>环境风险防范措施</w:t>
            </w:r>
          </w:p>
        </w:tc>
        <w:tc>
          <w:tcPr>
            <w:tcW w:w="8472" w:type="dxa"/>
            <w:gridSpan w:val="5"/>
            <w:vAlign w:val="center"/>
          </w:tcPr>
          <w:p w14:paraId="7B338941">
            <w:pPr>
              <w:pStyle w:val="49"/>
              <w:keepNext w:val="0"/>
              <w:keepLines w:val="0"/>
              <w:pageBreakBefore w:val="0"/>
              <w:widowControl w:val="0"/>
              <w:kinsoku/>
              <w:wordWrap/>
              <w:overflowPunct/>
              <w:topLinePunct w:val="0"/>
              <w:autoSpaceDE/>
              <w:autoSpaceDN/>
              <w:bidi w:val="0"/>
              <w:adjustRightInd/>
              <w:snapToGrid w:val="0"/>
              <w:ind w:firstLine="420" w:firstLineChars="200"/>
              <w:jc w:val="both"/>
              <w:textAlignment w:val="auto"/>
              <w:rPr>
                <w:rFonts w:hint="eastAsia" w:eastAsia="宋体"/>
                <w:lang w:eastAsia="zh-CN"/>
              </w:rPr>
            </w:pPr>
            <w:r>
              <w:rPr>
                <w:rFonts w:cs="宋体"/>
                <w:color w:val="auto"/>
                <w:kern w:val="0"/>
                <w:sz w:val="21"/>
                <w:szCs w:val="21"/>
              </w:rPr>
              <w:t>灭火毯</w:t>
            </w:r>
            <w:r>
              <w:rPr>
                <w:rFonts w:hint="eastAsia" w:cs="宋体"/>
                <w:color w:val="auto"/>
                <w:kern w:val="0"/>
                <w:sz w:val="21"/>
                <w:szCs w:val="21"/>
              </w:rPr>
              <w:t>5块</w:t>
            </w:r>
            <w:r>
              <w:rPr>
                <w:rFonts w:hint="eastAsia" w:cs="宋体"/>
                <w:color w:val="auto"/>
                <w:kern w:val="0"/>
                <w:sz w:val="21"/>
                <w:szCs w:val="21"/>
                <w:lang w:eastAsia="zh-CN"/>
              </w:rPr>
              <w:t>、</w:t>
            </w:r>
            <w:r>
              <w:rPr>
                <w:rFonts w:hint="eastAsia" w:cs="宋体"/>
                <w:color w:val="auto"/>
                <w:kern w:val="0"/>
                <w:sz w:val="21"/>
                <w:szCs w:val="21"/>
              </w:rPr>
              <w:t>5</w:t>
            </w:r>
            <w:r>
              <w:rPr>
                <w:rFonts w:cs="宋体"/>
                <w:color w:val="auto"/>
                <w:kern w:val="0"/>
                <w:sz w:val="21"/>
                <w:szCs w:val="21"/>
              </w:rPr>
              <w:t>kg</w:t>
            </w:r>
            <w:r>
              <w:rPr>
                <w:rFonts w:hint="eastAsia" w:cs="宋体"/>
                <w:color w:val="auto"/>
                <w:kern w:val="0"/>
                <w:sz w:val="21"/>
                <w:szCs w:val="21"/>
              </w:rPr>
              <w:t>手提式</w:t>
            </w:r>
            <w:r>
              <w:rPr>
                <w:rFonts w:cs="宋体"/>
                <w:color w:val="auto"/>
                <w:kern w:val="0"/>
                <w:sz w:val="21"/>
                <w:szCs w:val="21"/>
              </w:rPr>
              <w:t>干粉</w:t>
            </w:r>
            <w:r>
              <w:rPr>
                <w:rFonts w:hint="eastAsia" w:cs="宋体"/>
                <w:color w:val="auto"/>
                <w:kern w:val="0"/>
                <w:sz w:val="21"/>
                <w:szCs w:val="21"/>
              </w:rPr>
              <w:t>灭火器</w:t>
            </w:r>
            <w:r>
              <w:rPr>
                <w:rFonts w:hint="eastAsia" w:cs="宋体"/>
                <w:color w:val="auto"/>
                <w:kern w:val="0"/>
                <w:sz w:val="21"/>
                <w:szCs w:val="21"/>
                <w:lang w:val="en-US" w:eastAsia="zh-CN"/>
              </w:rPr>
              <w:t>18个</w:t>
            </w:r>
            <w:r>
              <w:rPr>
                <w:rFonts w:hint="eastAsia" w:cs="宋体"/>
                <w:color w:val="auto"/>
                <w:kern w:val="0"/>
                <w:sz w:val="21"/>
                <w:szCs w:val="21"/>
                <w:lang w:eastAsia="zh-CN"/>
              </w:rPr>
              <w:t>、</w:t>
            </w:r>
            <w:r>
              <w:rPr>
                <w:rFonts w:hint="eastAsia" w:cs="宋体"/>
                <w:color w:val="auto"/>
                <w:kern w:val="0"/>
                <w:sz w:val="21"/>
                <w:szCs w:val="21"/>
              </w:rPr>
              <w:t>50</w:t>
            </w:r>
            <w:r>
              <w:rPr>
                <w:rFonts w:cs="宋体"/>
                <w:color w:val="auto"/>
                <w:kern w:val="0"/>
                <w:sz w:val="21"/>
                <w:szCs w:val="21"/>
              </w:rPr>
              <w:t>kg</w:t>
            </w:r>
            <w:r>
              <w:rPr>
                <w:rFonts w:hint="eastAsia" w:cs="宋体"/>
                <w:color w:val="auto"/>
                <w:kern w:val="0"/>
                <w:sz w:val="21"/>
                <w:szCs w:val="21"/>
              </w:rPr>
              <w:t>推车式</w:t>
            </w:r>
            <w:r>
              <w:rPr>
                <w:rFonts w:cs="宋体"/>
                <w:color w:val="auto"/>
                <w:kern w:val="0"/>
                <w:sz w:val="21"/>
                <w:szCs w:val="21"/>
              </w:rPr>
              <w:t>干粉灭火器</w:t>
            </w:r>
            <w:r>
              <w:rPr>
                <w:rFonts w:hint="eastAsia" w:cs="宋体"/>
                <w:color w:val="auto"/>
                <w:kern w:val="0"/>
                <w:sz w:val="21"/>
                <w:szCs w:val="21"/>
              </w:rPr>
              <w:t>1台</w:t>
            </w:r>
            <w:r>
              <w:rPr>
                <w:rFonts w:hint="eastAsia" w:cs="宋体"/>
                <w:color w:val="auto"/>
                <w:kern w:val="0"/>
                <w:sz w:val="21"/>
                <w:szCs w:val="21"/>
                <w:lang w:eastAsia="zh-CN"/>
              </w:rPr>
              <w:t>、</w:t>
            </w:r>
            <w:r>
              <w:rPr>
                <w:rFonts w:cs="宋体"/>
                <w:color w:val="auto"/>
                <w:kern w:val="0"/>
                <w:sz w:val="21"/>
                <w:szCs w:val="21"/>
              </w:rPr>
              <w:t>消防沙</w:t>
            </w:r>
            <w:r>
              <w:rPr>
                <w:rFonts w:hint="eastAsia" w:cs="宋体"/>
                <w:color w:val="auto"/>
                <w:kern w:val="0"/>
                <w:sz w:val="21"/>
                <w:szCs w:val="21"/>
                <w:lang w:val="en-US" w:eastAsia="zh-CN"/>
              </w:rPr>
              <w:t>箱（</w:t>
            </w:r>
            <w:r>
              <w:rPr>
                <w:rFonts w:hint="eastAsia" w:cs="宋体"/>
                <w:color w:val="auto"/>
                <w:kern w:val="0"/>
                <w:sz w:val="21"/>
                <w:szCs w:val="21"/>
              </w:rPr>
              <w:t>2</w:t>
            </w:r>
            <w:r>
              <w:rPr>
                <w:rFonts w:cs="宋体"/>
                <w:color w:val="auto"/>
                <w:kern w:val="0"/>
                <w:sz w:val="21"/>
                <w:szCs w:val="21"/>
              </w:rPr>
              <w:t>m</w:t>
            </w:r>
            <w:r>
              <w:rPr>
                <w:rFonts w:cs="宋体"/>
                <w:color w:val="auto"/>
                <w:kern w:val="0"/>
                <w:sz w:val="21"/>
                <w:szCs w:val="21"/>
                <w:vertAlign w:val="superscript"/>
              </w:rPr>
              <w:t>3</w:t>
            </w:r>
            <w:r>
              <w:rPr>
                <w:rFonts w:hint="eastAsia" w:cs="宋体"/>
                <w:color w:val="auto"/>
                <w:kern w:val="0"/>
                <w:sz w:val="21"/>
                <w:szCs w:val="21"/>
                <w:lang w:val="en-US" w:eastAsia="zh-CN"/>
              </w:rPr>
              <w:t>）一个、消防铲3个、消防桶3个</w:t>
            </w:r>
            <w:r>
              <w:rPr>
                <w:rFonts w:hint="eastAsia" w:cs="宋体"/>
                <w:color w:val="auto"/>
                <w:kern w:val="0"/>
                <w:sz w:val="21"/>
                <w:szCs w:val="21"/>
              </w:rPr>
              <w:t>；安全帽</w:t>
            </w:r>
            <w:r>
              <w:rPr>
                <w:rFonts w:hint="eastAsia" w:cs="宋体"/>
                <w:color w:val="auto"/>
                <w:kern w:val="0"/>
                <w:sz w:val="21"/>
                <w:szCs w:val="21"/>
                <w:lang w:eastAsia="zh-CN"/>
              </w:rPr>
              <w:t>、</w:t>
            </w:r>
            <w:r>
              <w:rPr>
                <w:rFonts w:hint="eastAsia" w:cs="宋体"/>
                <w:color w:val="auto"/>
                <w:kern w:val="0"/>
                <w:sz w:val="21"/>
                <w:szCs w:val="21"/>
              </w:rPr>
              <w:t>雨靴</w:t>
            </w:r>
            <w:r>
              <w:rPr>
                <w:rFonts w:hint="eastAsia" w:cs="宋体"/>
                <w:color w:val="auto"/>
                <w:kern w:val="0"/>
                <w:sz w:val="21"/>
                <w:szCs w:val="21"/>
                <w:lang w:eastAsia="zh-CN"/>
              </w:rPr>
              <w:t>、</w:t>
            </w:r>
            <w:r>
              <w:rPr>
                <w:rFonts w:hint="eastAsia" w:cs="宋体"/>
                <w:color w:val="auto"/>
                <w:kern w:val="0"/>
                <w:sz w:val="21"/>
                <w:szCs w:val="21"/>
              </w:rPr>
              <w:t>吸油毡</w:t>
            </w:r>
            <w:r>
              <w:rPr>
                <w:rFonts w:hint="eastAsia" w:cs="宋体"/>
                <w:color w:val="auto"/>
                <w:kern w:val="0"/>
                <w:sz w:val="21"/>
                <w:szCs w:val="21"/>
                <w:lang w:eastAsia="zh-CN"/>
              </w:rPr>
              <w:t>、</w:t>
            </w:r>
            <w:r>
              <w:rPr>
                <w:rFonts w:hint="eastAsia" w:cs="宋体"/>
                <w:color w:val="auto"/>
                <w:kern w:val="0"/>
                <w:sz w:val="21"/>
                <w:szCs w:val="21"/>
              </w:rPr>
              <w:t>吸油棉</w:t>
            </w:r>
            <w:r>
              <w:rPr>
                <w:rFonts w:hint="eastAsia" w:cs="宋体"/>
                <w:color w:val="auto"/>
                <w:kern w:val="0"/>
                <w:sz w:val="21"/>
                <w:szCs w:val="21"/>
                <w:lang w:eastAsia="zh-CN"/>
              </w:rPr>
              <w:t>、</w:t>
            </w:r>
            <w:r>
              <w:rPr>
                <w:rFonts w:hint="eastAsia" w:cs="宋体"/>
                <w:color w:val="auto"/>
                <w:kern w:val="0"/>
                <w:sz w:val="21"/>
                <w:szCs w:val="21"/>
              </w:rPr>
              <w:t>呼吸面具</w:t>
            </w:r>
            <w:r>
              <w:rPr>
                <w:rFonts w:hint="eastAsia" w:cs="宋体"/>
                <w:color w:val="auto"/>
                <w:kern w:val="0"/>
                <w:sz w:val="21"/>
                <w:szCs w:val="21"/>
                <w:lang w:eastAsia="zh-CN"/>
              </w:rPr>
              <w:t>、</w:t>
            </w:r>
            <w:r>
              <w:rPr>
                <w:rFonts w:hint="eastAsia" w:cs="宋体"/>
                <w:color w:val="auto"/>
                <w:kern w:val="0"/>
                <w:sz w:val="21"/>
                <w:szCs w:val="21"/>
              </w:rPr>
              <w:t>医用急救箱、应急照明设备</w:t>
            </w:r>
            <w:r>
              <w:rPr>
                <w:rFonts w:hint="eastAsia" w:cs="宋体"/>
                <w:color w:val="auto"/>
                <w:kern w:val="0"/>
                <w:sz w:val="21"/>
                <w:szCs w:val="21"/>
                <w:lang w:eastAsia="zh-CN"/>
              </w:rPr>
              <w:t>、</w:t>
            </w:r>
            <w:r>
              <w:rPr>
                <w:rFonts w:hint="eastAsia" w:cs="宋体"/>
                <w:color w:val="auto"/>
                <w:kern w:val="0"/>
                <w:sz w:val="21"/>
                <w:szCs w:val="21"/>
              </w:rPr>
              <w:t>防毒面具、防护服等个人防护器材；警示牌、标识牌和报警器等其他风险防护措施</w:t>
            </w:r>
            <w:r>
              <w:rPr>
                <w:rFonts w:hint="eastAsia" w:cs="宋体"/>
                <w:color w:val="auto"/>
                <w:kern w:val="0"/>
                <w:szCs w:val="21"/>
              </w:rPr>
              <w:t>；编制应急预案并开展演练</w:t>
            </w:r>
            <w:r>
              <w:rPr>
                <w:rFonts w:hint="eastAsia" w:cs="宋体"/>
                <w:color w:val="auto"/>
                <w:kern w:val="0"/>
                <w:szCs w:val="21"/>
                <w:lang w:eastAsia="zh-CN"/>
              </w:rPr>
              <w:t>。</w:t>
            </w:r>
          </w:p>
        </w:tc>
      </w:tr>
      <w:tr w14:paraId="5690D4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90" w:type="dxa"/>
            <w:vAlign w:val="center"/>
          </w:tcPr>
          <w:p w14:paraId="212128BC">
            <w:pPr>
              <w:pStyle w:val="49"/>
              <w:keepNext w:val="0"/>
              <w:keepLines w:val="0"/>
              <w:pageBreakBefore w:val="0"/>
              <w:widowControl w:val="0"/>
              <w:kinsoku/>
              <w:wordWrap/>
              <w:overflowPunct/>
              <w:topLinePunct w:val="0"/>
              <w:autoSpaceDE/>
              <w:autoSpaceDN/>
              <w:bidi w:val="0"/>
              <w:adjustRightInd/>
              <w:snapToGrid w:val="0"/>
              <w:textAlignment w:val="auto"/>
              <w:rPr>
                <w:spacing w:val="-8"/>
              </w:rPr>
            </w:pPr>
            <w:r>
              <w:rPr>
                <w:rFonts w:hint="eastAsia"/>
                <w:spacing w:val="-8"/>
              </w:rPr>
              <w:t>其他环境</w:t>
            </w:r>
          </w:p>
          <w:p w14:paraId="68AFB07A">
            <w:pPr>
              <w:pStyle w:val="49"/>
              <w:keepNext w:val="0"/>
              <w:keepLines w:val="0"/>
              <w:pageBreakBefore w:val="0"/>
              <w:widowControl w:val="0"/>
              <w:kinsoku/>
              <w:wordWrap/>
              <w:overflowPunct/>
              <w:topLinePunct w:val="0"/>
              <w:autoSpaceDE/>
              <w:autoSpaceDN/>
              <w:bidi w:val="0"/>
              <w:adjustRightInd/>
              <w:snapToGrid w:val="0"/>
              <w:textAlignment w:val="auto"/>
              <w:rPr>
                <w:spacing w:val="-8"/>
              </w:rPr>
            </w:pPr>
            <w:r>
              <w:rPr>
                <w:rFonts w:hint="eastAsia"/>
                <w:spacing w:val="-8"/>
              </w:rPr>
              <w:t>管理要求</w:t>
            </w:r>
          </w:p>
        </w:tc>
        <w:tc>
          <w:tcPr>
            <w:tcW w:w="8472" w:type="dxa"/>
            <w:gridSpan w:val="5"/>
            <w:vAlign w:val="center"/>
          </w:tcPr>
          <w:p w14:paraId="1279C1C8">
            <w:pPr>
              <w:pStyle w:val="49"/>
              <w:keepNext w:val="0"/>
              <w:keepLines w:val="0"/>
              <w:pageBreakBefore w:val="0"/>
              <w:widowControl w:val="0"/>
              <w:kinsoku/>
              <w:wordWrap/>
              <w:overflowPunct/>
              <w:topLinePunct w:val="0"/>
              <w:autoSpaceDE/>
              <w:autoSpaceDN/>
              <w:bidi w:val="0"/>
              <w:adjustRightInd/>
              <w:snapToGrid w:val="0"/>
              <w:ind w:firstLine="420" w:firstLineChars="200"/>
              <w:jc w:val="left"/>
              <w:textAlignment w:val="auto"/>
              <w:rPr>
                <w:rFonts w:hint="eastAsia"/>
              </w:rPr>
            </w:pPr>
            <w:r>
              <w:rPr>
                <w:rFonts w:hint="eastAsia"/>
              </w:rPr>
              <w:t>（1）环境管理</w:t>
            </w:r>
          </w:p>
          <w:p w14:paraId="147A395E">
            <w:pPr>
              <w:pStyle w:val="49"/>
              <w:keepNext w:val="0"/>
              <w:keepLines w:val="0"/>
              <w:pageBreakBefore w:val="0"/>
              <w:widowControl w:val="0"/>
              <w:kinsoku/>
              <w:wordWrap/>
              <w:overflowPunct/>
              <w:topLinePunct w:val="0"/>
              <w:autoSpaceDE/>
              <w:autoSpaceDN/>
              <w:bidi w:val="0"/>
              <w:adjustRightInd/>
              <w:snapToGrid w:val="0"/>
              <w:ind w:firstLine="420" w:firstLineChars="200"/>
              <w:jc w:val="left"/>
              <w:textAlignment w:val="auto"/>
              <w:rPr>
                <w:rFonts w:hint="eastAsia"/>
              </w:rPr>
            </w:pPr>
            <w:r>
              <w:rPr>
                <w:rFonts w:hint="eastAsia"/>
              </w:rPr>
              <w:t>根据项目的生产特点，对环境管理机构的设置建议如下：</w:t>
            </w:r>
          </w:p>
          <w:p w14:paraId="16A25A2A">
            <w:pPr>
              <w:pStyle w:val="49"/>
              <w:keepNext w:val="0"/>
              <w:keepLines w:val="0"/>
              <w:pageBreakBefore w:val="0"/>
              <w:widowControl w:val="0"/>
              <w:kinsoku/>
              <w:wordWrap/>
              <w:overflowPunct/>
              <w:topLinePunct w:val="0"/>
              <w:autoSpaceDE/>
              <w:autoSpaceDN/>
              <w:bidi w:val="0"/>
              <w:adjustRightInd/>
              <w:snapToGrid w:val="0"/>
              <w:ind w:firstLine="420" w:firstLineChars="200"/>
              <w:jc w:val="left"/>
              <w:textAlignment w:val="auto"/>
              <w:rPr>
                <w:rFonts w:hint="eastAsia"/>
              </w:rPr>
            </w:pPr>
            <w:r>
              <w:rPr>
                <w:rFonts w:hint="eastAsia"/>
              </w:rPr>
              <w:t>环境管理应由总经理主管负责，下设环境保护专职机构，并与各职能部门保持密切的联系，由专职环境保护管理和工作人员实施全公司的环境管理工作，其主要职责是：</w:t>
            </w:r>
          </w:p>
          <w:p w14:paraId="41AA3EAA">
            <w:pPr>
              <w:pStyle w:val="49"/>
              <w:keepNext w:val="0"/>
              <w:keepLines w:val="0"/>
              <w:pageBreakBefore w:val="0"/>
              <w:widowControl w:val="0"/>
              <w:kinsoku/>
              <w:wordWrap/>
              <w:overflowPunct/>
              <w:topLinePunct w:val="0"/>
              <w:autoSpaceDE/>
              <w:autoSpaceDN/>
              <w:bidi w:val="0"/>
              <w:adjustRightInd/>
              <w:snapToGrid w:val="0"/>
              <w:ind w:firstLine="420" w:firstLineChars="200"/>
              <w:jc w:val="left"/>
              <w:textAlignment w:val="auto"/>
              <w:rPr>
                <w:rFonts w:hint="eastAsia"/>
              </w:rPr>
            </w:pPr>
            <w:r>
              <w:rPr>
                <w:rFonts w:hint="eastAsia"/>
              </w:rPr>
              <w:t>①贯彻执行国家和地方的环境保护法规和标准；</w:t>
            </w:r>
          </w:p>
          <w:p w14:paraId="7184EC00">
            <w:pPr>
              <w:pStyle w:val="49"/>
              <w:keepNext w:val="0"/>
              <w:keepLines w:val="0"/>
              <w:pageBreakBefore w:val="0"/>
              <w:widowControl w:val="0"/>
              <w:kinsoku/>
              <w:wordWrap/>
              <w:overflowPunct/>
              <w:topLinePunct w:val="0"/>
              <w:autoSpaceDE/>
              <w:autoSpaceDN/>
              <w:bidi w:val="0"/>
              <w:adjustRightInd/>
              <w:snapToGrid w:val="0"/>
              <w:ind w:firstLine="420" w:firstLineChars="200"/>
              <w:jc w:val="left"/>
              <w:textAlignment w:val="auto"/>
              <w:rPr>
                <w:rFonts w:hint="eastAsia"/>
              </w:rPr>
            </w:pPr>
            <w:r>
              <w:rPr>
                <w:rFonts w:hint="eastAsia"/>
              </w:rPr>
              <w:t>②接受生态环境主管部门的检查监督，定期上报各项环境管理工作的执行情况；</w:t>
            </w:r>
          </w:p>
          <w:p w14:paraId="6EB0DEE6">
            <w:pPr>
              <w:pStyle w:val="49"/>
              <w:keepNext w:val="0"/>
              <w:keepLines w:val="0"/>
              <w:pageBreakBefore w:val="0"/>
              <w:widowControl w:val="0"/>
              <w:kinsoku/>
              <w:wordWrap/>
              <w:overflowPunct/>
              <w:topLinePunct w:val="0"/>
              <w:autoSpaceDE/>
              <w:autoSpaceDN/>
              <w:bidi w:val="0"/>
              <w:adjustRightInd/>
              <w:snapToGrid w:val="0"/>
              <w:ind w:firstLine="420" w:firstLineChars="200"/>
              <w:jc w:val="left"/>
              <w:textAlignment w:val="auto"/>
              <w:rPr>
                <w:rFonts w:hint="eastAsia"/>
              </w:rPr>
            </w:pPr>
            <w:r>
              <w:rPr>
                <w:rFonts w:hint="eastAsia"/>
              </w:rPr>
              <w:t>③组织制定公司各部门的环境管理规章制度；</w:t>
            </w:r>
          </w:p>
          <w:p w14:paraId="542B9171">
            <w:pPr>
              <w:pStyle w:val="49"/>
              <w:keepNext w:val="0"/>
              <w:keepLines w:val="0"/>
              <w:pageBreakBefore w:val="0"/>
              <w:widowControl w:val="0"/>
              <w:kinsoku/>
              <w:wordWrap/>
              <w:overflowPunct/>
              <w:topLinePunct w:val="0"/>
              <w:autoSpaceDE/>
              <w:autoSpaceDN/>
              <w:bidi w:val="0"/>
              <w:adjustRightInd/>
              <w:snapToGrid w:val="0"/>
              <w:ind w:firstLine="420" w:firstLineChars="200"/>
              <w:jc w:val="left"/>
              <w:textAlignment w:val="auto"/>
              <w:rPr>
                <w:rFonts w:hint="eastAsia"/>
              </w:rPr>
            </w:pPr>
            <w:r>
              <w:rPr>
                <w:rFonts w:hint="eastAsia"/>
              </w:rPr>
              <w:t>④负责环保设施的正常运转，以及环境监测计划的实施。</w:t>
            </w:r>
          </w:p>
          <w:p w14:paraId="2E9E855E">
            <w:pPr>
              <w:pStyle w:val="49"/>
              <w:keepNext w:val="0"/>
              <w:keepLines w:val="0"/>
              <w:pageBreakBefore w:val="0"/>
              <w:widowControl w:val="0"/>
              <w:kinsoku/>
              <w:wordWrap/>
              <w:overflowPunct/>
              <w:topLinePunct w:val="0"/>
              <w:autoSpaceDE/>
              <w:autoSpaceDN/>
              <w:bidi w:val="0"/>
              <w:adjustRightInd/>
              <w:snapToGrid w:val="0"/>
              <w:ind w:firstLine="420" w:firstLineChars="200"/>
              <w:jc w:val="left"/>
              <w:textAlignment w:val="auto"/>
              <w:rPr>
                <w:rFonts w:hint="eastAsia"/>
              </w:rPr>
            </w:pPr>
            <w:r>
              <w:rPr>
                <w:rFonts w:hint="eastAsia"/>
              </w:rPr>
              <w:t>（2）排污口规范化设置</w:t>
            </w:r>
          </w:p>
          <w:p w14:paraId="1CEAD0FE">
            <w:pPr>
              <w:pStyle w:val="49"/>
              <w:keepNext w:val="0"/>
              <w:keepLines w:val="0"/>
              <w:pageBreakBefore w:val="0"/>
              <w:widowControl w:val="0"/>
              <w:kinsoku/>
              <w:wordWrap/>
              <w:overflowPunct/>
              <w:topLinePunct w:val="0"/>
              <w:autoSpaceDE/>
              <w:autoSpaceDN/>
              <w:bidi w:val="0"/>
              <w:adjustRightInd/>
              <w:snapToGrid w:val="0"/>
              <w:ind w:firstLine="420" w:firstLineChars="200"/>
              <w:jc w:val="left"/>
              <w:textAlignment w:val="auto"/>
              <w:rPr>
                <w:rFonts w:hint="eastAsia"/>
              </w:rPr>
            </w:pPr>
            <w:r>
              <w:rPr>
                <w:rFonts w:hint="eastAsia"/>
              </w:rPr>
              <w:t>按照《排污口规范化整治技术要求（试行）》（环监〔1996〕470号）文件的要求设置排污口及环境保护图形标志牌。</w:t>
            </w:r>
          </w:p>
          <w:p w14:paraId="7821F522">
            <w:pPr>
              <w:pStyle w:val="49"/>
              <w:keepNext w:val="0"/>
              <w:keepLines w:val="0"/>
              <w:pageBreakBefore w:val="0"/>
              <w:widowControl w:val="0"/>
              <w:kinsoku/>
              <w:wordWrap/>
              <w:overflowPunct/>
              <w:topLinePunct w:val="0"/>
              <w:autoSpaceDE/>
              <w:autoSpaceDN/>
              <w:bidi w:val="0"/>
              <w:adjustRightInd/>
              <w:snapToGrid w:val="0"/>
              <w:ind w:firstLine="420" w:firstLineChars="200"/>
              <w:jc w:val="left"/>
              <w:textAlignment w:val="auto"/>
              <w:rPr>
                <w:rFonts w:hint="eastAsia"/>
              </w:rPr>
            </w:pPr>
            <w:r>
              <w:rPr>
                <w:rFonts w:hint="eastAsia"/>
              </w:rPr>
              <w:t>（3）排污许可</w:t>
            </w:r>
          </w:p>
          <w:p w14:paraId="554A378C">
            <w:pPr>
              <w:pStyle w:val="49"/>
              <w:keepNext w:val="0"/>
              <w:keepLines w:val="0"/>
              <w:pageBreakBefore w:val="0"/>
              <w:widowControl w:val="0"/>
              <w:kinsoku/>
              <w:wordWrap/>
              <w:overflowPunct/>
              <w:topLinePunct w:val="0"/>
              <w:autoSpaceDE/>
              <w:autoSpaceDN/>
              <w:bidi w:val="0"/>
              <w:adjustRightInd/>
              <w:snapToGrid w:val="0"/>
              <w:ind w:firstLine="420" w:firstLineChars="200"/>
              <w:jc w:val="left"/>
              <w:textAlignment w:val="auto"/>
              <w:rPr>
                <w:rFonts w:hint="eastAsia"/>
              </w:rPr>
            </w:pPr>
            <w:r>
              <w:rPr>
                <w:rFonts w:hint="eastAsia"/>
              </w:rPr>
              <w:t>按照《排污许可管理条例》及《排污许可管理办法（试行）》相关要求，在本项目取得环境影响评价审批意见后，排污单位应当在排污行为发生之前向核发环保部门提出排污许可的申请，修订现有排污许可手续。</w:t>
            </w:r>
          </w:p>
          <w:p w14:paraId="6C9E3D6D">
            <w:pPr>
              <w:pStyle w:val="49"/>
              <w:keepNext w:val="0"/>
              <w:keepLines w:val="0"/>
              <w:pageBreakBefore w:val="0"/>
              <w:widowControl w:val="0"/>
              <w:kinsoku/>
              <w:wordWrap/>
              <w:overflowPunct/>
              <w:topLinePunct w:val="0"/>
              <w:autoSpaceDE/>
              <w:autoSpaceDN/>
              <w:bidi w:val="0"/>
              <w:adjustRightInd/>
              <w:snapToGrid w:val="0"/>
              <w:ind w:firstLine="420" w:firstLineChars="200"/>
              <w:jc w:val="left"/>
              <w:textAlignment w:val="auto"/>
              <w:rPr>
                <w:rFonts w:hint="eastAsia"/>
                <w:color w:val="FF0000"/>
              </w:rPr>
            </w:pPr>
            <w:r>
              <w:rPr>
                <w:rFonts w:hint="eastAsia"/>
                <w:color w:val="FF0000"/>
              </w:rPr>
              <w:t>（4）环境监测</w:t>
            </w:r>
          </w:p>
          <w:p w14:paraId="57CDD7E1">
            <w:pPr>
              <w:pStyle w:val="49"/>
              <w:keepNext w:val="0"/>
              <w:keepLines w:val="0"/>
              <w:pageBreakBefore w:val="0"/>
              <w:widowControl w:val="0"/>
              <w:kinsoku/>
              <w:wordWrap/>
              <w:overflowPunct/>
              <w:topLinePunct w:val="0"/>
              <w:autoSpaceDE/>
              <w:autoSpaceDN/>
              <w:bidi w:val="0"/>
              <w:adjustRightInd/>
              <w:snapToGrid w:val="0"/>
              <w:ind w:firstLine="420" w:firstLineChars="200"/>
              <w:jc w:val="left"/>
              <w:textAlignment w:val="auto"/>
              <w:rPr>
                <w:color w:val="FF0000"/>
              </w:rPr>
            </w:pPr>
            <w:r>
              <w:rPr>
                <w:rFonts w:hint="eastAsia"/>
                <w:color w:val="FF0000"/>
              </w:rPr>
              <w:t>落实排污许可例行监测相关要求。</w:t>
            </w:r>
          </w:p>
          <w:p w14:paraId="1F8B36D9">
            <w:pPr>
              <w:pStyle w:val="49"/>
              <w:keepNext w:val="0"/>
              <w:keepLines w:val="0"/>
              <w:pageBreakBefore w:val="0"/>
              <w:widowControl w:val="0"/>
              <w:kinsoku/>
              <w:wordWrap/>
              <w:overflowPunct/>
              <w:topLinePunct w:val="0"/>
              <w:autoSpaceDE/>
              <w:autoSpaceDN/>
              <w:bidi w:val="0"/>
              <w:adjustRightInd/>
              <w:snapToGrid w:val="0"/>
              <w:jc w:val="left"/>
              <w:textAlignment w:val="auto"/>
            </w:pPr>
          </w:p>
          <w:p w14:paraId="0BA88237">
            <w:pPr>
              <w:pStyle w:val="49"/>
              <w:keepNext w:val="0"/>
              <w:keepLines w:val="0"/>
              <w:pageBreakBefore w:val="0"/>
              <w:widowControl w:val="0"/>
              <w:kinsoku/>
              <w:wordWrap/>
              <w:overflowPunct/>
              <w:topLinePunct w:val="0"/>
              <w:autoSpaceDE/>
              <w:autoSpaceDN/>
              <w:bidi w:val="0"/>
              <w:adjustRightInd/>
              <w:snapToGrid w:val="0"/>
              <w:jc w:val="left"/>
              <w:textAlignment w:val="auto"/>
            </w:pPr>
          </w:p>
          <w:p w14:paraId="403FF9BE">
            <w:pPr>
              <w:pStyle w:val="49"/>
              <w:keepNext w:val="0"/>
              <w:keepLines w:val="0"/>
              <w:pageBreakBefore w:val="0"/>
              <w:widowControl w:val="0"/>
              <w:kinsoku/>
              <w:wordWrap/>
              <w:overflowPunct/>
              <w:topLinePunct w:val="0"/>
              <w:autoSpaceDE/>
              <w:autoSpaceDN/>
              <w:bidi w:val="0"/>
              <w:adjustRightInd/>
              <w:snapToGrid w:val="0"/>
              <w:jc w:val="left"/>
              <w:textAlignment w:val="auto"/>
            </w:pPr>
          </w:p>
          <w:p w14:paraId="15657930">
            <w:pPr>
              <w:pStyle w:val="49"/>
              <w:keepNext w:val="0"/>
              <w:keepLines w:val="0"/>
              <w:pageBreakBefore w:val="0"/>
              <w:widowControl w:val="0"/>
              <w:kinsoku/>
              <w:wordWrap/>
              <w:overflowPunct/>
              <w:topLinePunct w:val="0"/>
              <w:autoSpaceDE/>
              <w:autoSpaceDN/>
              <w:bidi w:val="0"/>
              <w:adjustRightInd/>
              <w:snapToGrid w:val="0"/>
              <w:jc w:val="left"/>
              <w:textAlignment w:val="auto"/>
            </w:pPr>
          </w:p>
          <w:p w14:paraId="42AD90DA">
            <w:pPr>
              <w:pStyle w:val="49"/>
              <w:keepNext w:val="0"/>
              <w:keepLines w:val="0"/>
              <w:pageBreakBefore w:val="0"/>
              <w:widowControl w:val="0"/>
              <w:kinsoku/>
              <w:wordWrap/>
              <w:overflowPunct/>
              <w:topLinePunct w:val="0"/>
              <w:autoSpaceDE/>
              <w:autoSpaceDN/>
              <w:bidi w:val="0"/>
              <w:adjustRightInd/>
              <w:snapToGrid w:val="0"/>
              <w:jc w:val="left"/>
              <w:textAlignment w:val="auto"/>
            </w:pPr>
          </w:p>
          <w:p w14:paraId="3505C3DF">
            <w:pPr>
              <w:pStyle w:val="49"/>
              <w:keepNext w:val="0"/>
              <w:keepLines w:val="0"/>
              <w:pageBreakBefore w:val="0"/>
              <w:widowControl w:val="0"/>
              <w:kinsoku/>
              <w:wordWrap/>
              <w:overflowPunct/>
              <w:topLinePunct w:val="0"/>
              <w:autoSpaceDE/>
              <w:autoSpaceDN/>
              <w:bidi w:val="0"/>
              <w:adjustRightInd/>
              <w:snapToGrid w:val="0"/>
              <w:jc w:val="left"/>
              <w:textAlignment w:val="auto"/>
            </w:pPr>
          </w:p>
          <w:p w14:paraId="3B4728BF">
            <w:pPr>
              <w:pStyle w:val="49"/>
              <w:keepNext w:val="0"/>
              <w:keepLines w:val="0"/>
              <w:pageBreakBefore w:val="0"/>
              <w:widowControl w:val="0"/>
              <w:kinsoku/>
              <w:wordWrap/>
              <w:overflowPunct/>
              <w:topLinePunct w:val="0"/>
              <w:autoSpaceDE/>
              <w:autoSpaceDN/>
              <w:bidi w:val="0"/>
              <w:adjustRightInd/>
              <w:snapToGrid w:val="0"/>
              <w:jc w:val="left"/>
              <w:textAlignment w:val="auto"/>
            </w:pPr>
          </w:p>
          <w:p w14:paraId="00F93603">
            <w:pPr>
              <w:pStyle w:val="49"/>
              <w:keepNext w:val="0"/>
              <w:keepLines w:val="0"/>
              <w:pageBreakBefore w:val="0"/>
              <w:widowControl w:val="0"/>
              <w:kinsoku/>
              <w:wordWrap/>
              <w:overflowPunct/>
              <w:topLinePunct w:val="0"/>
              <w:autoSpaceDE/>
              <w:autoSpaceDN/>
              <w:bidi w:val="0"/>
              <w:adjustRightInd/>
              <w:snapToGrid w:val="0"/>
              <w:jc w:val="left"/>
              <w:textAlignment w:val="auto"/>
            </w:pPr>
          </w:p>
          <w:p w14:paraId="2E872A1B">
            <w:pPr>
              <w:pStyle w:val="49"/>
              <w:keepNext w:val="0"/>
              <w:keepLines w:val="0"/>
              <w:pageBreakBefore w:val="0"/>
              <w:widowControl w:val="0"/>
              <w:kinsoku/>
              <w:wordWrap/>
              <w:overflowPunct/>
              <w:topLinePunct w:val="0"/>
              <w:autoSpaceDE/>
              <w:autoSpaceDN/>
              <w:bidi w:val="0"/>
              <w:adjustRightInd/>
              <w:snapToGrid w:val="0"/>
              <w:jc w:val="left"/>
              <w:textAlignment w:val="auto"/>
            </w:pPr>
          </w:p>
          <w:p w14:paraId="6D74C157">
            <w:pPr>
              <w:pStyle w:val="49"/>
              <w:keepNext w:val="0"/>
              <w:keepLines w:val="0"/>
              <w:pageBreakBefore w:val="0"/>
              <w:widowControl w:val="0"/>
              <w:kinsoku/>
              <w:wordWrap/>
              <w:overflowPunct/>
              <w:topLinePunct w:val="0"/>
              <w:autoSpaceDE/>
              <w:autoSpaceDN/>
              <w:bidi w:val="0"/>
              <w:adjustRightInd/>
              <w:snapToGrid w:val="0"/>
              <w:jc w:val="left"/>
              <w:textAlignment w:val="auto"/>
            </w:pPr>
          </w:p>
          <w:p w14:paraId="0C79657F">
            <w:pPr>
              <w:pStyle w:val="49"/>
              <w:keepNext w:val="0"/>
              <w:keepLines w:val="0"/>
              <w:pageBreakBefore w:val="0"/>
              <w:widowControl w:val="0"/>
              <w:kinsoku/>
              <w:wordWrap/>
              <w:overflowPunct/>
              <w:topLinePunct w:val="0"/>
              <w:autoSpaceDE/>
              <w:autoSpaceDN/>
              <w:bidi w:val="0"/>
              <w:adjustRightInd/>
              <w:snapToGrid w:val="0"/>
              <w:jc w:val="left"/>
              <w:textAlignment w:val="auto"/>
            </w:pPr>
          </w:p>
          <w:p w14:paraId="31A9E8CF">
            <w:pPr>
              <w:pStyle w:val="49"/>
              <w:keepNext w:val="0"/>
              <w:keepLines w:val="0"/>
              <w:pageBreakBefore w:val="0"/>
              <w:widowControl w:val="0"/>
              <w:kinsoku/>
              <w:wordWrap/>
              <w:overflowPunct/>
              <w:topLinePunct w:val="0"/>
              <w:autoSpaceDE/>
              <w:autoSpaceDN/>
              <w:bidi w:val="0"/>
              <w:adjustRightInd/>
              <w:snapToGrid w:val="0"/>
              <w:jc w:val="left"/>
              <w:textAlignment w:val="auto"/>
            </w:pPr>
          </w:p>
          <w:p w14:paraId="5FB26AA0">
            <w:pPr>
              <w:pStyle w:val="49"/>
              <w:keepNext w:val="0"/>
              <w:keepLines w:val="0"/>
              <w:pageBreakBefore w:val="0"/>
              <w:widowControl w:val="0"/>
              <w:kinsoku/>
              <w:wordWrap/>
              <w:overflowPunct/>
              <w:topLinePunct w:val="0"/>
              <w:autoSpaceDE/>
              <w:autoSpaceDN/>
              <w:bidi w:val="0"/>
              <w:adjustRightInd/>
              <w:snapToGrid w:val="0"/>
              <w:jc w:val="left"/>
              <w:textAlignment w:val="auto"/>
            </w:pPr>
          </w:p>
          <w:p w14:paraId="1E1D97DF">
            <w:pPr>
              <w:pStyle w:val="49"/>
              <w:keepNext w:val="0"/>
              <w:keepLines w:val="0"/>
              <w:pageBreakBefore w:val="0"/>
              <w:widowControl w:val="0"/>
              <w:kinsoku/>
              <w:wordWrap/>
              <w:overflowPunct/>
              <w:topLinePunct w:val="0"/>
              <w:autoSpaceDE/>
              <w:autoSpaceDN/>
              <w:bidi w:val="0"/>
              <w:adjustRightInd/>
              <w:snapToGrid w:val="0"/>
              <w:jc w:val="left"/>
              <w:textAlignment w:val="auto"/>
            </w:pPr>
          </w:p>
          <w:p w14:paraId="43B1AD29">
            <w:pPr>
              <w:pStyle w:val="49"/>
              <w:keepNext w:val="0"/>
              <w:keepLines w:val="0"/>
              <w:pageBreakBefore w:val="0"/>
              <w:widowControl w:val="0"/>
              <w:kinsoku/>
              <w:wordWrap/>
              <w:overflowPunct/>
              <w:topLinePunct w:val="0"/>
              <w:autoSpaceDE/>
              <w:autoSpaceDN/>
              <w:bidi w:val="0"/>
              <w:adjustRightInd/>
              <w:snapToGrid w:val="0"/>
              <w:jc w:val="left"/>
              <w:textAlignment w:val="auto"/>
            </w:pPr>
          </w:p>
          <w:p w14:paraId="76441B0E">
            <w:pPr>
              <w:pStyle w:val="49"/>
              <w:keepNext w:val="0"/>
              <w:keepLines w:val="0"/>
              <w:pageBreakBefore w:val="0"/>
              <w:widowControl w:val="0"/>
              <w:kinsoku/>
              <w:wordWrap/>
              <w:overflowPunct/>
              <w:topLinePunct w:val="0"/>
              <w:autoSpaceDE/>
              <w:autoSpaceDN/>
              <w:bidi w:val="0"/>
              <w:adjustRightInd/>
              <w:snapToGrid w:val="0"/>
              <w:jc w:val="left"/>
              <w:textAlignment w:val="auto"/>
            </w:pPr>
          </w:p>
          <w:p w14:paraId="6B86D8A3">
            <w:pPr>
              <w:pStyle w:val="49"/>
              <w:keepNext w:val="0"/>
              <w:keepLines w:val="0"/>
              <w:pageBreakBefore w:val="0"/>
              <w:widowControl w:val="0"/>
              <w:kinsoku/>
              <w:wordWrap/>
              <w:overflowPunct/>
              <w:topLinePunct w:val="0"/>
              <w:autoSpaceDE/>
              <w:autoSpaceDN/>
              <w:bidi w:val="0"/>
              <w:adjustRightInd/>
              <w:snapToGrid w:val="0"/>
              <w:jc w:val="left"/>
              <w:textAlignment w:val="auto"/>
            </w:pPr>
          </w:p>
          <w:p w14:paraId="1C0DE70B">
            <w:pPr>
              <w:pStyle w:val="49"/>
              <w:keepNext w:val="0"/>
              <w:keepLines w:val="0"/>
              <w:pageBreakBefore w:val="0"/>
              <w:widowControl w:val="0"/>
              <w:kinsoku/>
              <w:wordWrap/>
              <w:overflowPunct/>
              <w:topLinePunct w:val="0"/>
              <w:autoSpaceDE/>
              <w:autoSpaceDN/>
              <w:bidi w:val="0"/>
              <w:adjustRightInd/>
              <w:snapToGrid w:val="0"/>
              <w:jc w:val="left"/>
              <w:textAlignment w:val="auto"/>
            </w:pPr>
          </w:p>
          <w:p w14:paraId="49644139">
            <w:pPr>
              <w:pStyle w:val="49"/>
              <w:keepNext w:val="0"/>
              <w:keepLines w:val="0"/>
              <w:pageBreakBefore w:val="0"/>
              <w:widowControl w:val="0"/>
              <w:kinsoku/>
              <w:wordWrap/>
              <w:overflowPunct/>
              <w:topLinePunct w:val="0"/>
              <w:autoSpaceDE/>
              <w:autoSpaceDN/>
              <w:bidi w:val="0"/>
              <w:adjustRightInd/>
              <w:snapToGrid w:val="0"/>
              <w:jc w:val="left"/>
              <w:textAlignment w:val="auto"/>
            </w:pPr>
          </w:p>
          <w:p w14:paraId="68E76E54">
            <w:pPr>
              <w:pStyle w:val="49"/>
              <w:keepNext w:val="0"/>
              <w:keepLines w:val="0"/>
              <w:pageBreakBefore w:val="0"/>
              <w:widowControl w:val="0"/>
              <w:kinsoku/>
              <w:wordWrap/>
              <w:overflowPunct/>
              <w:topLinePunct w:val="0"/>
              <w:autoSpaceDE/>
              <w:autoSpaceDN/>
              <w:bidi w:val="0"/>
              <w:adjustRightInd/>
              <w:snapToGrid w:val="0"/>
              <w:jc w:val="left"/>
              <w:textAlignment w:val="auto"/>
            </w:pPr>
          </w:p>
          <w:p w14:paraId="053FD2DA">
            <w:pPr>
              <w:pStyle w:val="49"/>
              <w:keepNext w:val="0"/>
              <w:keepLines w:val="0"/>
              <w:pageBreakBefore w:val="0"/>
              <w:widowControl w:val="0"/>
              <w:kinsoku/>
              <w:wordWrap/>
              <w:overflowPunct/>
              <w:topLinePunct w:val="0"/>
              <w:autoSpaceDE/>
              <w:autoSpaceDN/>
              <w:bidi w:val="0"/>
              <w:adjustRightInd/>
              <w:snapToGrid w:val="0"/>
              <w:jc w:val="left"/>
              <w:textAlignment w:val="auto"/>
            </w:pPr>
          </w:p>
          <w:p w14:paraId="4B3B97D4">
            <w:pPr>
              <w:pStyle w:val="49"/>
              <w:keepNext w:val="0"/>
              <w:keepLines w:val="0"/>
              <w:pageBreakBefore w:val="0"/>
              <w:widowControl w:val="0"/>
              <w:kinsoku/>
              <w:wordWrap/>
              <w:overflowPunct/>
              <w:topLinePunct w:val="0"/>
              <w:autoSpaceDE/>
              <w:autoSpaceDN/>
              <w:bidi w:val="0"/>
              <w:adjustRightInd/>
              <w:snapToGrid w:val="0"/>
              <w:jc w:val="left"/>
              <w:textAlignment w:val="auto"/>
            </w:pPr>
          </w:p>
          <w:p w14:paraId="4E8A06BD">
            <w:pPr>
              <w:pStyle w:val="49"/>
              <w:keepNext w:val="0"/>
              <w:keepLines w:val="0"/>
              <w:pageBreakBefore w:val="0"/>
              <w:widowControl w:val="0"/>
              <w:kinsoku/>
              <w:wordWrap/>
              <w:overflowPunct/>
              <w:topLinePunct w:val="0"/>
              <w:autoSpaceDE/>
              <w:autoSpaceDN/>
              <w:bidi w:val="0"/>
              <w:adjustRightInd/>
              <w:snapToGrid w:val="0"/>
              <w:jc w:val="left"/>
              <w:textAlignment w:val="auto"/>
            </w:pPr>
          </w:p>
          <w:p w14:paraId="3C03ED85">
            <w:pPr>
              <w:pStyle w:val="49"/>
              <w:keepNext w:val="0"/>
              <w:keepLines w:val="0"/>
              <w:pageBreakBefore w:val="0"/>
              <w:widowControl w:val="0"/>
              <w:kinsoku/>
              <w:wordWrap/>
              <w:overflowPunct/>
              <w:topLinePunct w:val="0"/>
              <w:autoSpaceDE/>
              <w:autoSpaceDN/>
              <w:bidi w:val="0"/>
              <w:adjustRightInd/>
              <w:snapToGrid w:val="0"/>
              <w:jc w:val="left"/>
              <w:textAlignment w:val="auto"/>
            </w:pPr>
          </w:p>
          <w:p w14:paraId="55601BEB">
            <w:pPr>
              <w:pStyle w:val="49"/>
              <w:keepNext w:val="0"/>
              <w:keepLines w:val="0"/>
              <w:pageBreakBefore w:val="0"/>
              <w:widowControl w:val="0"/>
              <w:kinsoku/>
              <w:wordWrap/>
              <w:overflowPunct/>
              <w:topLinePunct w:val="0"/>
              <w:autoSpaceDE/>
              <w:autoSpaceDN/>
              <w:bidi w:val="0"/>
              <w:adjustRightInd/>
              <w:snapToGrid w:val="0"/>
              <w:jc w:val="left"/>
              <w:textAlignment w:val="auto"/>
            </w:pPr>
          </w:p>
          <w:p w14:paraId="2B6AFCEE">
            <w:pPr>
              <w:pStyle w:val="49"/>
              <w:keepNext w:val="0"/>
              <w:keepLines w:val="0"/>
              <w:pageBreakBefore w:val="0"/>
              <w:widowControl w:val="0"/>
              <w:kinsoku/>
              <w:wordWrap/>
              <w:overflowPunct/>
              <w:topLinePunct w:val="0"/>
              <w:autoSpaceDE/>
              <w:autoSpaceDN/>
              <w:bidi w:val="0"/>
              <w:adjustRightInd/>
              <w:snapToGrid w:val="0"/>
              <w:jc w:val="left"/>
              <w:textAlignment w:val="auto"/>
            </w:pPr>
          </w:p>
          <w:p w14:paraId="41CE4A07">
            <w:pPr>
              <w:pStyle w:val="49"/>
              <w:keepNext w:val="0"/>
              <w:keepLines w:val="0"/>
              <w:pageBreakBefore w:val="0"/>
              <w:widowControl w:val="0"/>
              <w:kinsoku/>
              <w:wordWrap/>
              <w:overflowPunct/>
              <w:topLinePunct w:val="0"/>
              <w:autoSpaceDE/>
              <w:autoSpaceDN/>
              <w:bidi w:val="0"/>
              <w:adjustRightInd/>
              <w:snapToGrid w:val="0"/>
              <w:jc w:val="left"/>
              <w:textAlignment w:val="auto"/>
            </w:pPr>
          </w:p>
          <w:p w14:paraId="61ECF24D">
            <w:pPr>
              <w:pStyle w:val="49"/>
              <w:keepNext w:val="0"/>
              <w:keepLines w:val="0"/>
              <w:pageBreakBefore w:val="0"/>
              <w:widowControl w:val="0"/>
              <w:kinsoku/>
              <w:wordWrap/>
              <w:overflowPunct/>
              <w:topLinePunct w:val="0"/>
              <w:autoSpaceDE/>
              <w:autoSpaceDN/>
              <w:bidi w:val="0"/>
              <w:adjustRightInd/>
              <w:snapToGrid w:val="0"/>
              <w:jc w:val="left"/>
              <w:textAlignment w:val="auto"/>
            </w:pPr>
          </w:p>
          <w:p w14:paraId="60861B40">
            <w:pPr>
              <w:pStyle w:val="49"/>
              <w:keepNext w:val="0"/>
              <w:keepLines w:val="0"/>
              <w:pageBreakBefore w:val="0"/>
              <w:widowControl w:val="0"/>
              <w:kinsoku/>
              <w:wordWrap/>
              <w:overflowPunct/>
              <w:topLinePunct w:val="0"/>
              <w:autoSpaceDE/>
              <w:autoSpaceDN/>
              <w:bidi w:val="0"/>
              <w:adjustRightInd/>
              <w:snapToGrid w:val="0"/>
              <w:jc w:val="left"/>
              <w:textAlignment w:val="auto"/>
            </w:pPr>
          </w:p>
          <w:p w14:paraId="496B651D">
            <w:pPr>
              <w:pStyle w:val="49"/>
              <w:keepNext w:val="0"/>
              <w:keepLines w:val="0"/>
              <w:pageBreakBefore w:val="0"/>
              <w:widowControl w:val="0"/>
              <w:kinsoku/>
              <w:wordWrap/>
              <w:overflowPunct/>
              <w:topLinePunct w:val="0"/>
              <w:autoSpaceDE/>
              <w:autoSpaceDN/>
              <w:bidi w:val="0"/>
              <w:adjustRightInd/>
              <w:snapToGrid w:val="0"/>
              <w:jc w:val="left"/>
              <w:textAlignment w:val="auto"/>
            </w:pPr>
          </w:p>
          <w:p w14:paraId="2A749310">
            <w:pPr>
              <w:pStyle w:val="49"/>
              <w:keepNext w:val="0"/>
              <w:keepLines w:val="0"/>
              <w:pageBreakBefore w:val="0"/>
              <w:widowControl w:val="0"/>
              <w:kinsoku/>
              <w:wordWrap/>
              <w:overflowPunct/>
              <w:topLinePunct w:val="0"/>
              <w:autoSpaceDE/>
              <w:autoSpaceDN/>
              <w:bidi w:val="0"/>
              <w:adjustRightInd/>
              <w:snapToGrid w:val="0"/>
              <w:jc w:val="left"/>
              <w:textAlignment w:val="auto"/>
            </w:pPr>
          </w:p>
          <w:p w14:paraId="0DF7BCC1">
            <w:pPr>
              <w:pStyle w:val="49"/>
              <w:keepNext w:val="0"/>
              <w:keepLines w:val="0"/>
              <w:pageBreakBefore w:val="0"/>
              <w:widowControl w:val="0"/>
              <w:kinsoku/>
              <w:wordWrap/>
              <w:overflowPunct/>
              <w:topLinePunct w:val="0"/>
              <w:autoSpaceDE/>
              <w:autoSpaceDN/>
              <w:bidi w:val="0"/>
              <w:adjustRightInd/>
              <w:snapToGrid w:val="0"/>
              <w:jc w:val="left"/>
              <w:textAlignment w:val="auto"/>
            </w:pPr>
          </w:p>
          <w:p w14:paraId="22599746">
            <w:pPr>
              <w:pStyle w:val="49"/>
              <w:keepNext w:val="0"/>
              <w:keepLines w:val="0"/>
              <w:pageBreakBefore w:val="0"/>
              <w:widowControl w:val="0"/>
              <w:kinsoku/>
              <w:wordWrap/>
              <w:overflowPunct/>
              <w:topLinePunct w:val="0"/>
              <w:autoSpaceDE/>
              <w:autoSpaceDN/>
              <w:bidi w:val="0"/>
              <w:adjustRightInd/>
              <w:snapToGrid w:val="0"/>
              <w:jc w:val="left"/>
              <w:textAlignment w:val="auto"/>
            </w:pPr>
          </w:p>
          <w:p w14:paraId="67A274E6">
            <w:pPr>
              <w:pStyle w:val="49"/>
              <w:keepNext w:val="0"/>
              <w:keepLines w:val="0"/>
              <w:pageBreakBefore w:val="0"/>
              <w:widowControl w:val="0"/>
              <w:kinsoku/>
              <w:wordWrap/>
              <w:overflowPunct/>
              <w:topLinePunct w:val="0"/>
              <w:autoSpaceDE/>
              <w:autoSpaceDN/>
              <w:bidi w:val="0"/>
              <w:adjustRightInd/>
              <w:snapToGrid w:val="0"/>
              <w:jc w:val="left"/>
              <w:textAlignment w:val="auto"/>
            </w:pPr>
          </w:p>
          <w:p w14:paraId="4FEFC124">
            <w:pPr>
              <w:pStyle w:val="49"/>
              <w:keepNext w:val="0"/>
              <w:keepLines w:val="0"/>
              <w:pageBreakBefore w:val="0"/>
              <w:widowControl w:val="0"/>
              <w:kinsoku/>
              <w:wordWrap/>
              <w:overflowPunct/>
              <w:topLinePunct w:val="0"/>
              <w:autoSpaceDE/>
              <w:autoSpaceDN/>
              <w:bidi w:val="0"/>
              <w:adjustRightInd/>
              <w:snapToGrid w:val="0"/>
              <w:jc w:val="left"/>
              <w:textAlignment w:val="auto"/>
            </w:pPr>
          </w:p>
          <w:p w14:paraId="4220911F">
            <w:pPr>
              <w:pStyle w:val="49"/>
              <w:keepNext w:val="0"/>
              <w:keepLines w:val="0"/>
              <w:pageBreakBefore w:val="0"/>
              <w:widowControl w:val="0"/>
              <w:kinsoku/>
              <w:wordWrap/>
              <w:overflowPunct/>
              <w:topLinePunct w:val="0"/>
              <w:autoSpaceDE/>
              <w:autoSpaceDN/>
              <w:bidi w:val="0"/>
              <w:adjustRightInd/>
              <w:snapToGrid w:val="0"/>
              <w:jc w:val="left"/>
              <w:textAlignment w:val="auto"/>
            </w:pPr>
          </w:p>
          <w:p w14:paraId="3E184961">
            <w:pPr>
              <w:pStyle w:val="49"/>
              <w:keepNext w:val="0"/>
              <w:keepLines w:val="0"/>
              <w:pageBreakBefore w:val="0"/>
              <w:widowControl w:val="0"/>
              <w:kinsoku/>
              <w:wordWrap/>
              <w:overflowPunct/>
              <w:topLinePunct w:val="0"/>
              <w:autoSpaceDE/>
              <w:autoSpaceDN/>
              <w:bidi w:val="0"/>
              <w:adjustRightInd/>
              <w:snapToGrid w:val="0"/>
              <w:jc w:val="left"/>
              <w:textAlignment w:val="auto"/>
            </w:pPr>
          </w:p>
        </w:tc>
      </w:tr>
    </w:tbl>
    <w:p w14:paraId="0B7AFE93">
      <w:pPr>
        <w:wordWrap w:val="0"/>
        <w:spacing w:line="240" w:lineRule="auto"/>
        <w:ind w:firstLine="0" w:firstLineChars="0"/>
        <w:jc w:val="center"/>
        <w:rPr>
          <w:rFonts w:cs="宋体"/>
        </w:rPr>
      </w:pPr>
      <w:r>
        <w:br w:type="page"/>
      </w:r>
    </w:p>
    <w:p w14:paraId="1D14E73A">
      <w:pPr>
        <w:pStyle w:val="22"/>
        <w:keepNext w:val="0"/>
        <w:keepLines w:val="0"/>
        <w:pageBreakBefore w:val="0"/>
        <w:widowControl/>
        <w:kinsoku/>
        <w:wordWrap w:val="0"/>
        <w:overflowPunct/>
        <w:topLinePunct w:val="0"/>
        <w:autoSpaceDE/>
        <w:autoSpaceDN/>
        <w:bidi w:val="0"/>
        <w:adjustRightInd/>
        <w:snapToGrid/>
        <w:spacing w:before="0" w:beforeAutospacing="0" w:after="0" w:afterAutospacing="0" w:line="240" w:lineRule="auto"/>
        <w:ind w:firstLine="0" w:firstLineChars="0"/>
        <w:jc w:val="center"/>
        <w:textAlignment w:val="auto"/>
        <w:outlineLvl w:val="0"/>
        <w:rPr>
          <w:rFonts w:ascii="黑体" w:hAnsi="黑体" w:eastAsia="黑体"/>
          <w:snapToGrid w:val="0"/>
          <w:color w:val="000000" w:themeColor="text1"/>
          <w:sz w:val="30"/>
          <w:szCs w:val="30"/>
          <w14:textFill>
            <w14:solidFill>
              <w14:schemeClr w14:val="tx1"/>
            </w14:solidFill>
          </w14:textFill>
        </w:rPr>
      </w:pPr>
      <w:bookmarkStart w:id="11" w:name="_Toc27429"/>
      <w:r>
        <w:rPr>
          <w:rFonts w:hint="eastAsia" w:ascii="黑体" w:hAnsi="黑体" w:eastAsia="黑体"/>
          <w:snapToGrid w:val="0"/>
          <w:color w:val="000000" w:themeColor="text1"/>
          <w:sz w:val="30"/>
          <w:szCs w:val="30"/>
          <w14:textFill>
            <w14:solidFill>
              <w14:schemeClr w14:val="tx1"/>
            </w14:solidFill>
          </w14:textFill>
        </w:rPr>
        <w:t>六、结论</w:t>
      </w:r>
      <w:bookmarkEnd w:id="11"/>
    </w:p>
    <w:tbl>
      <w:tblPr>
        <w:tblStyle w:val="35"/>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14:paraId="244EEC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45" w:hRule="atLeast"/>
          <w:jc w:val="center"/>
        </w:trPr>
        <w:tc>
          <w:tcPr>
            <w:tcW w:w="5000" w:type="pct"/>
            <w:vAlign w:val="center"/>
          </w:tcPr>
          <w:p w14:paraId="258C3700">
            <w:pPr>
              <w:keepNext w:val="0"/>
              <w:keepLines w:val="0"/>
              <w:pageBreakBefore w:val="0"/>
              <w:widowControl w:val="0"/>
              <w:kinsoku/>
              <w:wordWrap w:val="0"/>
              <w:overflowPunct/>
              <w:topLinePunct w:val="0"/>
              <w:autoSpaceDE/>
              <w:autoSpaceDN/>
              <w:bidi w:val="0"/>
              <w:adjustRightInd/>
              <w:snapToGrid/>
              <w:ind w:left="0" w:leftChars="0" w:firstLine="480" w:firstLineChars="200"/>
              <w:jc w:val="both"/>
              <w:textAlignment w:val="auto"/>
            </w:pPr>
            <w:r>
              <w:rPr>
                <w:rFonts w:hint="eastAsia"/>
                <w:lang w:val="en-US" w:eastAsia="zh-CN"/>
              </w:rPr>
              <w:t>本项目符合国家和江西省有关产业、环境保护的政策和法规；项目选址合理，符合“三线一单”要求，所在区域环境质量现状总体良好；项目污染物在达标排放情况下对周围环境影响较小，在企业重视环保工作，认真落实评价提出的各项污染防治对策，加强对污染物的治理工作，做到环保工作专人分管，责任到人，加强对各类污染源的管理，落实环保治理所需要的资金，严格执行环境保护“三同时”制度的前提下，从环保的角度来看，九江市城门加油站建设项目的建设可行。</w:t>
            </w:r>
          </w:p>
        </w:tc>
      </w:tr>
    </w:tbl>
    <w:p w14:paraId="0D7B9A7B">
      <w:pPr>
        <w:wordWrap w:val="0"/>
        <w:spacing w:line="240" w:lineRule="auto"/>
        <w:ind w:firstLine="0" w:firstLineChars="0"/>
        <w:jc w:val="center"/>
        <w:sectPr>
          <w:pgSz w:w="11906" w:h="16838"/>
          <w:pgMar w:top="1440" w:right="1080" w:bottom="1440" w:left="1080" w:header="851" w:footer="850" w:gutter="0"/>
          <w:pgBorders>
            <w:top w:val="none" w:sz="0" w:space="0"/>
            <w:left w:val="none" w:sz="0" w:space="0"/>
            <w:bottom w:val="none" w:sz="0" w:space="0"/>
            <w:right w:val="none" w:sz="0" w:space="0"/>
          </w:pgBorders>
          <w:pgNumType w:fmt="decimal"/>
          <w:cols w:space="0" w:num="1"/>
          <w:rtlGutter w:val="0"/>
          <w:docGrid w:type="lines" w:linePitch="326" w:charSpace="0"/>
        </w:sectPr>
      </w:pPr>
    </w:p>
    <w:p w14:paraId="30E9E254">
      <w:pPr>
        <w:wordWrap w:val="0"/>
        <w:spacing w:line="240" w:lineRule="auto"/>
        <w:ind w:firstLine="0" w:firstLineChars="0"/>
        <w:jc w:val="left"/>
        <w:outlineLvl w:val="0"/>
        <w:rPr>
          <w:rFonts w:ascii="黑体" w:hAnsi="黑体" w:eastAsia="黑体"/>
          <w:snapToGrid w:val="0"/>
          <w:sz w:val="32"/>
          <w:szCs w:val="32"/>
        </w:rPr>
      </w:pPr>
      <w:r>
        <w:rPr>
          <w:rFonts w:hint="eastAsia" w:ascii="黑体" w:hAnsi="黑体" w:eastAsia="黑体"/>
          <w:snapToGrid w:val="0"/>
          <w:sz w:val="32"/>
          <w:szCs w:val="32"/>
        </w:rPr>
        <w:t>附表</w:t>
      </w:r>
    </w:p>
    <w:p w14:paraId="366A1C47">
      <w:pPr>
        <w:pStyle w:val="22"/>
        <w:wordWrap w:val="0"/>
        <w:adjustRightInd w:val="0"/>
        <w:snapToGrid w:val="0"/>
        <w:spacing w:before="0" w:beforeAutospacing="0" w:after="0" w:afterAutospacing="0" w:line="240" w:lineRule="auto"/>
        <w:ind w:firstLine="0" w:firstLineChars="0"/>
        <w:jc w:val="center"/>
        <w:outlineLvl w:val="9"/>
        <w:rPr>
          <w:rFonts w:ascii="方正小标宋_GBK" w:hAnsi="黑体" w:eastAsia="方正小标宋_GBK"/>
          <w:snapToGrid w:val="0"/>
          <w:sz w:val="38"/>
          <w:szCs w:val="38"/>
        </w:rPr>
      </w:pPr>
      <w:bookmarkStart w:id="12" w:name="_Toc8991"/>
      <w:r>
        <w:rPr>
          <w:rFonts w:hint="eastAsia" w:ascii="方正小标宋_GBK" w:hAnsi="黑体" w:eastAsia="方正小标宋_GBK"/>
          <w:snapToGrid w:val="0"/>
          <w:sz w:val="38"/>
          <w:szCs w:val="38"/>
        </w:rPr>
        <w:t>建设项目污染物排放量汇总表</w:t>
      </w:r>
      <w:bookmarkEnd w:id="12"/>
    </w:p>
    <w:tbl>
      <w:tblPr>
        <w:tblStyle w:val="35"/>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1717"/>
        <w:gridCol w:w="1678"/>
        <w:gridCol w:w="1304"/>
        <w:gridCol w:w="1817"/>
        <w:gridCol w:w="1667"/>
        <w:gridCol w:w="1882"/>
        <w:gridCol w:w="2091"/>
        <w:gridCol w:w="882"/>
      </w:tblGrid>
      <w:tr w14:paraId="3D46F2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75" w:type="pct"/>
            <w:tcBorders>
              <w:tl2br w:val="single" w:color="auto" w:sz="4" w:space="0"/>
            </w:tcBorders>
            <w:tcMar>
              <w:left w:w="28" w:type="dxa"/>
              <w:right w:w="28" w:type="dxa"/>
            </w:tcMar>
            <w:vAlign w:val="center"/>
          </w:tcPr>
          <w:p w14:paraId="39474AF2">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right"/>
              <w:textAlignment w:val="auto"/>
              <w:rPr>
                <w:rFonts w:ascii="黑体" w:hAnsi="黑体" w:eastAsia="黑体"/>
                <w:sz w:val="21"/>
                <w:szCs w:val="21"/>
              </w:rPr>
            </w:pPr>
            <w:r>
              <w:rPr>
                <w:rFonts w:hint="eastAsia" w:ascii="黑体" w:hAnsi="黑体" w:eastAsia="黑体"/>
                <w:sz w:val="21"/>
                <w:szCs w:val="21"/>
              </w:rPr>
              <w:t>项目</w:t>
            </w:r>
          </w:p>
          <w:p w14:paraId="68AA0B32">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left"/>
              <w:textAlignment w:val="auto"/>
              <w:rPr>
                <w:rFonts w:ascii="黑体" w:hAnsi="黑体" w:eastAsia="黑体"/>
                <w:sz w:val="21"/>
                <w:szCs w:val="21"/>
              </w:rPr>
            </w:pPr>
            <w:r>
              <w:rPr>
                <w:rFonts w:hint="eastAsia" w:ascii="黑体" w:hAnsi="黑体" w:eastAsia="黑体"/>
                <w:sz w:val="21"/>
                <w:szCs w:val="21"/>
              </w:rPr>
              <w:t>分类</w:t>
            </w:r>
          </w:p>
        </w:tc>
        <w:tc>
          <w:tcPr>
            <w:tcW w:w="582" w:type="pct"/>
            <w:tcMar>
              <w:left w:w="28" w:type="dxa"/>
              <w:right w:w="28" w:type="dxa"/>
            </w:tcMar>
            <w:vAlign w:val="center"/>
          </w:tcPr>
          <w:p w14:paraId="381D7731">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ascii="黑体" w:hAnsi="黑体" w:eastAsia="黑体"/>
                <w:sz w:val="21"/>
                <w:szCs w:val="21"/>
              </w:rPr>
            </w:pPr>
            <w:r>
              <w:rPr>
                <w:rFonts w:hint="eastAsia" w:ascii="黑体" w:hAnsi="黑体" w:eastAsia="黑体"/>
                <w:sz w:val="21"/>
                <w:szCs w:val="21"/>
              </w:rPr>
              <w:t>污染物名称</w:t>
            </w:r>
          </w:p>
        </w:tc>
        <w:tc>
          <w:tcPr>
            <w:tcW w:w="569" w:type="pct"/>
            <w:tcMar>
              <w:left w:w="28" w:type="dxa"/>
              <w:right w:w="28" w:type="dxa"/>
            </w:tcMar>
            <w:vAlign w:val="center"/>
          </w:tcPr>
          <w:p w14:paraId="48C0E7DC">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ascii="黑体" w:hAnsi="黑体" w:eastAsia="黑体"/>
                <w:sz w:val="21"/>
                <w:szCs w:val="21"/>
              </w:rPr>
            </w:pPr>
            <w:r>
              <w:rPr>
                <w:rFonts w:ascii="黑体" w:hAnsi="黑体" w:eastAsia="黑体"/>
                <w:sz w:val="21"/>
                <w:szCs w:val="21"/>
              </w:rPr>
              <w:t>现有工程</w:t>
            </w:r>
          </w:p>
          <w:p w14:paraId="10D9A2C3">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ascii="黑体" w:hAnsi="黑体" w:eastAsia="黑体"/>
                <w:sz w:val="21"/>
                <w:szCs w:val="21"/>
              </w:rPr>
            </w:pPr>
            <w:r>
              <w:rPr>
                <w:rFonts w:ascii="黑体" w:hAnsi="黑体" w:eastAsia="黑体"/>
                <w:sz w:val="21"/>
                <w:szCs w:val="21"/>
              </w:rPr>
              <w:t>排放量（固</w:t>
            </w:r>
            <w:r>
              <w:rPr>
                <w:rFonts w:hint="eastAsia" w:ascii="黑体" w:hAnsi="黑体" w:eastAsia="黑体"/>
                <w:sz w:val="21"/>
                <w:szCs w:val="21"/>
              </w:rPr>
              <w:t>体</w:t>
            </w:r>
            <w:r>
              <w:rPr>
                <w:rFonts w:ascii="黑体" w:hAnsi="黑体" w:eastAsia="黑体"/>
                <w:sz w:val="21"/>
                <w:szCs w:val="21"/>
              </w:rPr>
              <w:t>废</w:t>
            </w:r>
            <w:r>
              <w:rPr>
                <w:rFonts w:hint="eastAsia" w:ascii="黑体" w:hAnsi="黑体" w:eastAsia="黑体"/>
                <w:sz w:val="21"/>
                <w:szCs w:val="21"/>
              </w:rPr>
              <w:t>物</w:t>
            </w:r>
            <w:r>
              <w:rPr>
                <w:rFonts w:ascii="黑体" w:hAnsi="黑体" w:eastAsia="黑体"/>
                <w:sz w:val="21"/>
                <w:szCs w:val="21"/>
              </w:rPr>
              <w:t>产生量）</w:t>
            </w:r>
            <w:r>
              <w:rPr>
                <w:rFonts w:hint="eastAsia" w:ascii="黑体" w:hAnsi="黑体" w:eastAsia="黑体"/>
                <w:sz w:val="21"/>
                <w:szCs w:val="21"/>
              </w:rPr>
              <w:t>①</w:t>
            </w:r>
          </w:p>
        </w:tc>
        <w:tc>
          <w:tcPr>
            <w:tcW w:w="442" w:type="pct"/>
            <w:tcMar>
              <w:left w:w="28" w:type="dxa"/>
              <w:right w:w="28" w:type="dxa"/>
            </w:tcMar>
            <w:vAlign w:val="center"/>
          </w:tcPr>
          <w:p w14:paraId="4C4D8A1D">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ascii="黑体" w:hAnsi="黑体" w:eastAsia="黑体"/>
                <w:sz w:val="21"/>
                <w:szCs w:val="21"/>
              </w:rPr>
            </w:pPr>
            <w:r>
              <w:rPr>
                <w:rFonts w:ascii="黑体" w:hAnsi="黑体" w:eastAsia="黑体"/>
                <w:sz w:val="21"/>
                <w:szCs w:val="21"/>
              </w:rPr>
              <w:t>现有工程</w:t>
            </w:r>
          </w:p>
          <w:p w14:paraId="2CA2BF21">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ascii="黑体" w:hAnsi="黑体" w:eastAsia="黑体"/>
                <w:sz w:val="21"/>
                <w:szCs w:val="21"/>
              </w:rPr>
            </w:pPr>
            <w:r>
              <w:rPr>
                <w:rFonts w:ascii="黑体" w:hAnsi="黑体" w:eastAsia="黑体"/>
                <w:sz w:val="21"/>
                <w:szCs w:val="21"/>
              </w:rPr>
              <w:t>许可排放量</w:t>
            </w:r>
          </w:p>
          <w:p w14:paraId="57A8BEE1">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ascii="黑体" w:hAnsi="黑体" w:eastAsia="黑体"/>
                <w:sz w:val="21"/>
                <w:szCs w:val="21"/>
              </w:rPr>
            </w:pPr>
            <w:r>
              <w:rPr>
                <w:rFonts w:hint="eastAsia" w:ascii="黑体" w:hAnsi="黑体" w:eastAsia="黑体"/>
                <w:sz w:val="21"/>
                <w:szCs w:val="21"/>
              </w:rPr>
              <w:t>②</w:t>
            </w:r>
          </w:p>
        </w:tc>
        <w:tc>
          <w:tcPr>
            <w:tcW w:w="616" w:type="pct"/>
            <w:tcMar>
              <w:left w:w="28" w:type="dxa"/>
              <w:right w:w="28" w:type="dxa"/>
            </w:tcMar>
            <w:vAlign w:val="center"/>
          </w:tcPr>
          <w:p w14:paraId="2FF15326">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ascii="黑体" w:hAnsi="黑体" w:eastAsia="黑体"/>
                <w:sz w:val="21"/>
                <w:szCs w:val="21"/>
              </w:rPr>
            </w:pPr>
            <w:r>
              <w:rPr>
                <w:rFonts w:ascii="黑体" w:hAnsi="黑体" w:eastAsia="黑体"/>
                <w:sz w:val="21"/>
                <w:szCs w:val="21"/>
              </w:rPr>
              <w:t>在建工程</w:t>
            </w:r>
          </w:p>
          <w:p w14:paraId="3FA3A876">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ascii="黑体" w:hAnsi="黑体" w:eastAsia="黑体"/>
                <w:sz w:val="21"/>
                <w:szCs w:val="21"/>
              </w:rPr>
            </w:pPr>
            <w:r>
              <w:rPr>
                <w:rFonts w:ascii="黑体" w:hAnsi="黑体" w:eastAsia="黑体"/>
                <w:sz w:val="21"/>
                <w:szCs w:val="21"/>
              </w:rPr>
              <w:t>排放量（固</w:t>
            </w:r>
            <w:r>
              <w:rPr>
                <w:rFonts w:hint="eastAsia" w:ascii="黑体" w:hAnsi="黑体" w:eastAsia="黑体"/>
                <w:sz w:val="21"/>
                <w:szCs w:val="21"/>
              </w:rPr>
              <w:t>体</w:t>
            </w:r>
            <w:r>
              <w:rPr>
                <w:rFonts w:ascii="黑体" w:hAnsi="黑体" w:eastAsia="黑体"/>
                <w:sz w:val="21"/>
                <w:szCs w:val="21"/>
              </w:rPr>
              <w:t>废</w:t>
            </w:r>
            <w:r>
              <w:rPr>
                <w:rFonts w:hint="eastAsia" w:ascii="黑体" w:hAnsi="黑体" w:eastAsia="黑体"/>
                <w:sz w:val="21"/>
                <w:szCs w:val="21"/>
              </w:rPr>
              <w:t>物</w:t>
            </w:r>
            <w:r>
              <w:rPr>
                <w:rFonts w:ascii="黑体" w:hAnsi="黑体" w:eastAsia="黑体"/>
                <w:sz w:val="21"/>
                <w:szCs w:val="21"/>
              </w:rPr>
              <w:t>产生量）</w:t>
            </w:r>
            <w:r>
              <w:rPr>
                <w:rFonts w:hint="eastAsia" w:ascii="黑体" w:hAnsi="黑体" w:eastAsia="黑体"/>
                <w:sz w:val="21"/>
                <w:szCs w:val="21"/>
              </w:rPr>
              <w:t>③</w:t>
            </w:r>
          </w:p>
        </w:tc>
        <w:tc>
          <w:tcPr>
            <w:tcW w:w="565" w:type="pct"/>
            <w:tcMar>
              <w:left w:w="28" w:type="dxa"/>
              <w:right w:w="28" w:type="dxa"/>
            </w:tcMar>
            <w:vAlign w:val="center"/>
          </w:tcPr>
          <w:p w14:paraId="156B8188">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ascii="黑体" w:hAnsi="黑体" w:eastAsia="黑体"/>
                <w:sz w:val="21"/>
                <w:szCs w:val="21"/>
              </w:rPr>
            </w:pPr>
            <w:r>
              <w:rPr>
                <w:rFonts w:ascii="黑体" w:hAnsi="黑体" w:eastAsia="黑体"/>
                <w:sz w:val="21"/>
                <w:szCs w:val="21"/>
              </w:rPr>
              <w:t>本项目</w:t>
            </w:r>
          </w:p>
          <w:p w14:paraId="223D68C2">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ascii="黑体" w:hAnsi="黑体" w:eastAsia="黑体"/>
                <w:sz w:val="21"/>
                <w:szCs w:val="21"/>
              </w:rPr>
            </w:pPr>
            <w:r>
              <w:rPr>
                <w:rFonts w:ascii="黑体" w:hAnsi="黑体" w:eastAsia="黑体"/>
                <w:sz w:val="21"/>
                <w:szCs w:val="21"/>
              </w:rPr>
              <w:t>排放量（固</w:t>
            </w:r>
            <w:r>
              <w:rPr>
                <w:rFonts w:hint="eastAsia" w:ascii="黑体" w:hAnsi="黑体" w:eastAsia="黑体"/>
                <w:sz w:val="21"/>
                <w:szCs w:val="21"/>
              </w:rPr>
              <w:t>体</w:t>
            </w:r>
            <w:r>
              <w:rPr>
                <w:rFonts w:ascii="黑体" w:hAnsi="黑体" w:eastAsia="黑体"/>
                <w:sz w:val="21"/>
                <w:szCs w:val="21"/>
              </w:rPr>
              <w:t>废</w:t>
            </w:r>
            <w:r>
              <w:rPr>
                <w:rFonts w:hint="eastAsia" w:ascii="黑体" w:hAnsi="黑体" w:eastAsia="黑体"/>
                <w:sz w:val="21"/>
                <w:szCs w:val="21"/>
              </w:rPr>
              <w:t>物</w:t>
            </w:r>
            <w:r>
              <w:rPr>
                <w:rFonts w:ascii="黑体" w:hAnsi="黑体" w:eastAsia="黑体"/>
                <w:sz w:val="21"/>
                <w:szCs w:val="21"/>
              </w:rPr>
              <w:t>产生量）</w:t>
            </w:r>
            <w:r>
              <w:rPr>
                <w:rFonts w:hint="eastAsia" w:ascii="黑体" w:hAnsi="黑体" w:eastAsia="黑体"/>
                <w:sz w:val="21"/>
                <w:szCs w:val="21"/>
              </w:rPr>
              <w:t>④</w:t>
            </w:r>
          </w:p>
        </w:tc>
        <w:tc>
          <w:tcPr>
            <w:tcW w:w="638" w:type="pct"/>
            <w:tcMar>
              <w:left w:w="28" w:type="dxa"/>
              <w:right w:w="28" w:type="dxa"/>
            </w:tcMar>
            <w:vAlign w:val="center"/>
          </w:tcPr>
          <w:p w14:paraId="488112B0">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ascii="黑体" w:hAnsi="黑体" w:eastAsia="黑体"/>
                <w:sz w:val="21"/>
                <w:szCs w:val="21"/>
              </w:rPr>
            </w:pPr>
            <w:r>
              <w:rPr>
                <w:rFonts w:ascii="黑体" w:hAnsi="黑体" w:eastAsia="黑体"/>
                <w:sz w:val="21"/>
                <w:szCs w:val="21"/>
              </w:rPr>
              <w:t>以新带老削减量</w:t>
            </w:r>
          </w:p>
          <w:p w14:paraId="50E174DC">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ascii="黑体" w:hAnsi="黑体" w:eastAsia="黑体"/>
                <w:sz w:val="21"/>
                <w:szCs w:val="21"/>
              </w:rPr>
            </w:pPr>
            <w:r>
              <w:rPr>
                <w:rFonts w:ascii="黑体" w:hAnsi="黑体" w:eastAsia="黑体"/>
                <w:sz w:val="21"/>
                <w:szCs w:val="21"/>
              </w:rPr>
              <w:t>（新建项目不填）</w:t>
            </w:r>
            <w:r>
              <w:rPr>
                <w:rFonts w:hint="eastAsia" w:ascii="黑体" w:hAnsi="黑体" w:eastAsia="黑体"/>
                <w:sz w:val="21"/>
                <w:szCs w:val="21"/>
              </w:rPr>
              <w:t>⑤</w:t>
            </w:r>
          </w:p>
        </w:tc>
        <w:tc>
          <w:tcPr>
            <w:tcW w:w="709" w:type="pct"/>
            <w:tcMar>
              <w:left w:w="28" w:type="dxa"/>
              <w:right w:w="28" w:type="dxa"/>
            </w:tcMar>
            <w:vAlign w:val="center"/>
          </w:tcPr>
          <w:p w14:paraId="3BDCD161">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ascii="黑体" w:hAnsi="黑体" w:eastAsia="黑体"/>
                <w:sz w:val="21"/>
                <w:szCs w:val="21"/>
              </w:rPr>
            </w:pPr>
            <w:r>
              <w:rPr>
                <w:rFonts w:ascii="黑体" w:hAnsi="黑体" w:eastAsia="黑体"/>
                <w:sz w:val="21"/>
                <w:szCs w:val="21"/>
              </w:rPr>
              <w:t>本项目建成后</w:t>
            </w:r>
          </w:p>
          <w:p w14:paraId="2C91B529">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ascii="黑体" w:hAnsi="黑体" w:eastAsia="黑体"/>
                <w:sz w:val="21"/>
                <w:szCs w:val="21"/>
              </w:rPr>
            </w:pPr>
            <w:r>
              <w:rPr>
                <w:rFonts w:hint="eastAsia" w:ascii="黑体" w:hAnsi="黑体" w:eastAsia="黑体"/>
                <w:sz w:val="21"/>
                <w:szCs w:val="21"/>
              </w:rPr>
              <w:t>全厂</w:t>
            </w:r>
            <w:r>
              <w:rPr>
                <w:rFonts w:ascii="黑体" w:hAnsi="黑体" w:eastAsia="黑体"/>
                <w:sz w:val="21"/>
                <w:szCs w:val="21"/>
              </w:rPr>
              <w:t>排放量（固</w:t>
            </w:r>
            <w:r>
              <w:rPr>
                <w:rFonts w:hint="eastAsia" w:ascii="黑体" w:hAnsi="黑体" w:eastAsia="黑体"/>
                <w:sz w:val="21"/>
                <w:szCs w:val="21"/>
              </w:rPr>
              <w:t>体</w:t>
            </w:r>
            <w:r>
              <w:rPr>
                <w:rFonts w:ascii="黑体" w:hAnsi="黑体" w:eastAsia="黑体"/>
                <w:sz w:val="21"/>
                <w:szCs w:val="21"/>
              </w:rPr>
              <w:t>废</w:t>
            </w:r>
            <w:r>
              <w:rPr>
                <w:rFonts w:hint="eastAsia" w:ascii="黑体" w:hAnsi="黑体" w:eastAsia="黑体"/>
                <w:sz w:val="21"/>
                <w:szCs w:val="21"/>
              </w:rPr>
              <w:t>物</w:t>
            </w:r>
            <w:r>
              <w:rPr>
                <w:rFonts w:ascii="黑体" w:hAnsi="黑体" w:eastAsia="黑体"/>
                <w:sz w:val="21"/>
                <w:szCs w:val="21"/>
              </w:rPr>
              <w:t>产生量）</w:t>
            </w:r>
            <w:r>
              <w:rPr>
                <w:rFonts w:hint="eastAsia" w:ascii="黑体" w:hAnsi="黑体" w:eastAsia="黑体"/>
                <w:sz w:val="21"/>
                <w:szCs w:val="21"/>
              </w:rPr>
              <w:t>⑥</w:t>
            </w:r>
          </w:p>
        </w:tc>
        <w:tc>
          <w:tcPr>
            <w:tcW w:w="299" w:type="pct"/>
            <w:tcMar>
              <w:left w:w="28" w:type="dxa"/>
              <w:right w:w="28" w:type="dxa"/>
            </w:tcMar>
            <w:vAlign w:val="center"/>
          </w:tcPr>
          <w:p w14:paraId="2AD0EC30">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ascii="黑体" w:hAnsi="黑体" w:eastAsia="黑体"/>
                <w:sz w:val="21"/>
                <w:szCs w:val="21"/>
              </w:rPr>
            </w:pPr>
            <w:r>
              <w:rPr>
                <w:rFonts w:ascii="黑体" w:hAnsi="黑体" w:eastAsia="黑体"/>
                <w:sz w:val="21"/>
                <w:szCs w:val="21"/>
              </w:rPr>
              <w:t>变化量</w:t>
            </w:r>
          </w:p>
          <w:p w14:paraId="7FB77D12">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ascii="黑体" w:hAnsi="黑体" w:eastAsia="黑体"/>
                <w:sz w:val="21"/>
                <w:szCs w:val="21"/>
              </w:rPr>
            </w:pPr>
            <w:r>
              <w:rPr>
                <w:rFonts w:hint="eastAsia" w:ascii="黑体" w:hAnsi="黑体" w:eastAsia="黑体"/>
                <w:sz w:val="21"/>
                <w:szCs w:val="21"/>
              </w:rPr>
              <w:t>⑦</w:t>
            </w:r>
          </w:p>
        </w:tc>
      </w:tr>
      <w:tr w14:paraId="3D1AB7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75" w:type="pct"/>
            <w:vAlign w:val="center"/>
          </w:tcPr>
          <w:p w14:paraId="02E281CE">
            <w:pPr>
              <w:pStyle w:val="49"/>
              <w:keepNext w:val="0"/>
              <w:keepLines w:val="0"/>
              <w:pageBreakBefore w:val="0"/>
              <w:widowControl w:val="0"/>
              <w:kinsoku/>
              <w:overflowPunct/>
              <w:topLinePunct w:val="0"/>
              <w:autoSpaceDE/>
              <w:autoSpaceDN/>
              <w:bidi w:val="0"/>
              <w:adjustRightInd/>
              <w:snapToGrid w:val="0"/>
              <w:textAlignment w:val="auto"/>
            </w:pPr>
            <w:r>
              <w:rPr>
                <w:rFonts w:hint="eastAsia"/>
              </w:rPr>
              <w:t>废气</w:t>
            </w:r>
          </w:p>
        </w:tc>
        <w:tc>
          <w:tcPr>
            <w:tcW w:w="582" w:type="pct"/>
            <w:vAlign w:val="center"/>
          </w:tcPr>
          <w:p w14:paraId="7F0C9A83">
            <w:pPr>
              <w:pStyle w:val="49"/>
              <w:keepNext w:val="0"/>
              <w:keepLines w:val="0"/>
              <w:pageBreakBefore w:val="0"/>
              <w:widowControl w:val="0"/>
              <w:kinsoku/>
              <w:overflowPunct/>
              <w:topLinePunct w:val="0"/>
              <w:autoSpaceDE/>
              <w:autoSpaceDN/>
              <w:bidi w:val="0"/>
              <w:adjustRightInd/>
              <w:snapToGrid w:val="0"/>
              <w:textAlignment w:val="auto"/>
            </w:pPr>
            <w:r>
              <w:rPr>
                <w:rFonts w:hint="eastAsia"/>
              </w:rPr>
              <w:t>非甲烷总烃</w:t>
            </w:r>
          </w:p>
        </w:tc>
        <w:tc>
          <w:tcPr>
            <w:tcW w:w="569" w:type="pct"/>
            <w:vAlign w:val="center"/>
          </w:tcPr>
          <w:p w14:paraId="3CC394AB">
            <w:pPr>
              <w:pStyle w:val="49"/>
              <w:keepNext w:val="0"/>
              <w:keepLines w:val="0"/>
              <w:pageBreakBefore w:val="0"/>
              <w:widowControl w:val="0"/>
              <w:kinsoku/>
              <w:overflowPunct/>
              <w:topLinePunct w:val="0"/>
              <w:autoSpaceDE/>
              <w:autoSpaceDN/>
              <w:bidi w:val="0"/>
              <w:adjustRightInd/>
              <w:snapToGrid w:val="0"/>
              <w:textAlignment w:val="auto"/>
              <w:rPr>
                <w:rFonts w:hAnsi="宋体" w:cs="宋体"/>
                <w:color w:val="000000"/>
                <w:kern w:val="21"/>
                <w:szCs w:val="21"/>
              </w:rPr>
            </w:pPr>
            <w:r>
              <w:rPr>
                <w:rFonts w:hint="eastAsia" w:hAnsi="宋体" w:cs="宋体"/>
                <w:color w:val="000000"/>
                <w:kern w:val="21"/>
                <w:szCs w:val="21"/>
              </w:rPr>
              <w:t>/</w:t>
            </w:r>
          </w:p>
        </w:tc>
        <w:tc>
          <w:tcPr>
            <w:tcW w:w="442" w:type="pct"/>
            <w:vAlign w:val="center"/>
          </w:tcPr>
          <w:p w14:paraId="0CF6E8FE">
            <w:pPr>
              <w:pStyle w:val="49"/>
              <w:keepNext w:val="0"/>
              <w:keepLines w:val="0"/>
              <w:pageBreakBefore w:val="0"/>
              <w:widowControl w:val="0"/>
              <w:kinsoku/>
              <w:overflowPunct/>
              <w:topLinePunct w:val="0"/>
              <w:autoSpaceDE/>
              <w:autoSpaceDN/>
              <w:bidi w:val="0"/>
              <w:adjustRightInd/>
              <w:snapToGrid w:val="0"/>
              <w:textAlignment w:val="auto"/>
              <w:rPr>
                <w:rFonts w:hAnsi="宋体" w:cs="宋体"/>
                <w:color w:val="000000"/>
                <w:kern w:val="21"/>
                <w:szCs w:val="21"/>
              </w:rPr>
            </w:pPr>
            <w:r>
              <w:rPr>
                <w:rFonts w:hint="eastAsia" w:hAnsi="宋体" w:cs="宋体"/>
                <w:color w:val="000000"/>
                <w:kern w:val="21"/>
                <w:szCs w:val="21"/>
              </w:rPr>
              <w:t>/</w:t>
            </w:r>
          </w:p>
        </w:tc>
        <w:tc>
          <w:tcPr>
            <w:tcW w:w="616" w:type="pct"/>
            <w:vAlign w:val="center"/>
          </w:tcPr>
          <w:p w14:paraId="194468AB">
            <w:pPr>
              <w:pStyle w:val="49"/>
              <w:keepNext w:val="0"/>
              <w:keepLines w:val="0"/>
              <w:pageBreakBefore w:val="0"/>
              <w:widowControl w:val="0"/>
              <w:kinsoku/>
              <w:overflowPunct/>
              <w:topLinePunct w:val="0"/>
              <w:autoSpaceDE/>
              <w:autoSpaceDN/>
              <w:bidi w:val="0"/>
              <w:adjustRightInd/>
              <w:snapToGrid w:val="0"/>
              <w:textAlignment w:val="auto"/>
              <w:rPr>
                <w:rFonts w:hAnsi="宋体" w:cs="宋体"/>
                <w:color w:val="000000"/>
                <w:kern w:val="21"/>
                <w:szCs w:val="21"/>
              </w:rPr>
            </w:pPr>
            <w:r>
              <w:rPr>
                <w:rFonts w:hint="eastAsia" w:hAnsi="宋体" w:cs="宋体"/>
                <w:color w:val="000000"/>
                <w:kern w:val="21"/>
                <w:szCs w:val="21"/>
              </w:rPr>
              <w:t>/</w:t>
            </w:r>
          </w:p>
        </w:tc>
        <w:tc>
          <w:tcPr>
            <w:tcW w:w="565" w:type="pct"/>
            <w:vAlign w:val="center"/>
          </w:tcPr>
          <w:p w14:paraId="5517B4C8">
            <w:pPr>
              <w:pStyle w:val="49"/>
              <w:keepNext w:val="0"/>
              <w:keepLines w:val="0"/>
              <w:pageBreakBefore w:val="0"/>
              <w:widowControl w:val="0"/>
              <w:kinsoku/>
              <w:overflowPunct/>
              <w:topLinePunct w:val="0"/>
              <w:autoSpaceDE/>
              <w:autoSpaceDN/>
              <w:bidi w:val="0"/>
              <w:adjustRightInd/>
              <w:snapToGrid w:val="0"/>
              <w:textAlignment w:val="auto"/>
              <w:rPr>
                <w:rFonts w:hAnsi="宋体" w:cs="宋体"/>
                <w:color w:val="000000"/>
                <w:kern w:val="21"/>
                <w:szCs w:val="21"/>
              </w:rPr>
            </w:pPr>
            <w:r>
              <w:rPr>
                <w:rFonts w:hint="eastAsia" w:hAnsi="宋体" w:cs="宋体"/>
                <w:color w:val="000000"/>
                <w:kern w:val="21"/>
                <w:szCs w:val="21"/>
                <w:lang w:val="en-US" w:eastAsia="zh-CN"/>
              </w:rPr>
              <w:t>4.320</w:t>
            </w:r>
            <w:r>
              <w:rPr>
                <w:rFonts w:hAnsi="宋体" w:cs="宋体"/>
                <w:color w:val="000000"/>
                <w:kern w:val="21"/>
                <w:szCs w:val="21"/>
              </w:rPr>
              <w:t>t/a</w:t>
            </w:r>
          </w:p>
        </w:tc>
        <w:tc>
          <w:tcPr>
            <w:tcW w:w="638" w:type="pct"/>
            <w:vAlign w:val="center"/>
          </w:tcPr>
          <w:p w14:paraId="1674AC87">
            <w:pPr>
              <w:pStyle w:val="49"/>
              <w:keepNext w:val="0"/>
              <w:keepLines w:val="0"/>
              <w:pageBreakBefore w:val="0"/>
              <w:widowControl w:val="0"/>
              <w:kinsoku/>
              <w:overflowPunct/>
              <w:topLinePunct w:val="0"/>
              <w:autoSpaceDE/>
              <w:autoSpaceDN/>
              <w:bidi w:val="0"/>
              <w:adjustRightInd/>
              <w:snapToGrid w:val="0"/>
              <w:textAlignment w:val="auto"/>
              <w:rPr>
                <w:rFonts w:hAnsi="宋体" w:cs="宋体"/>
                <w:color w:val="000000"/>
                <w:kern w:val="21"/>
                <w:szCs w:val="21"/>
              </w:rPr>
            </w:pPr>
            <w:r>
              <w:rPr>
                <w:rFonts w:hint="eastAsia" w:hAnsi="宋体" w:cs="宋体"/>
                <w:color w:val="000000"/>
                <w:kern w:val="21"/>
                <w:szCs w:val="21"/>
              </w:rPr>
              <w:t>/</w:t>
            </w:r>
          </w:p>
        </w:tc>
        <w:tc>
          <w:tcPr>
            <w:tcW w:w="709" w:type="pct"/>
            <w:vAlign w:val="center"/>
          </w:tcPr>
          <w:p w14:paraId="64748A0A">
            <w:pPr>
              <w:pStyle w:val="49"/>
              <w:keepNext w:val="0"/>
              <w:keepLines w:val="0"/>
              <w:pageBreakBefore w:val="0"/>
              <w:widowControl w:val="0"/>
              <w:kinsoku/>
              <w:overflowPunct/>
              <w:topLinePunct w:val="0"/>
              <w:autoSpaceDE/>
              <w:autoSpaceDN/>
              <w:bidi w:val="0"/>
              <w:adjustRightInd/>
              <w:snapToGrid w:val="0"/>
              <w:textAlignment w:val="auto"/>
              <w:rPr>
                <w:rFonts w:hAnsi="宋体" w:cs="宋体"/>
                <w:color w:val="000000"/>
                <w:kern w:val="21"/>
                <w:szCs w:val="21"/>
              </w:rPr>
            </w:pPr>
            <w:r>
              <w:rPr>
                <w:rFonts w:hint="eastAsia" w:hAnsi="宋体" w:cs="宋体"/>
                <w:color w:val="000000"/>
                <w:kern w:val="21"/>
                <w:szCs w:val="21"/>
                <w:lang w:val="en-US" w:eastAsia="zh-CN"/>
              </w:rPr>
              <w:t>4.320</w:t>
            </w:r>
            <w:r>
              <w:rPr>
                <w:rFonts w:hAnsi="宋体" w:cs="宋体"/>
                <w:color w:val="000000"/>
                <w:kern w:val="21"/>
                <w:szCs w:val="21"/>
              </w:rPr>
              <w:t>t/a</w:t>
            </w:r>
          </w:p>
        </w:tc>
        <w:tc>
          <w:tcPr>
            <w:tcW w:w="299" w:type="pct"/>
            <w:vAlign w:val="center"/>
          </w:tcPr>
          <w:p w14:paraId="17B0B2E6">
            <w:pPr>
              <w:pStyle w:val="49"/>
              <w:keepNext w:val="0"/>
              <w:keepLines w:val="0"/>
              <w:pageBreakBefore w:val="0"/>
              <w:widowControl w:val="0"/>
              <w:kinsoku/>
              <w:overflowPunct/>
              <w:topLinePunct w:val="0"/>
              <w:autoSpaceDE/>
              <w:autoSpaceDN/>
              <w:bidi w:val="0"/>
              <w:adjustRightInd/>
              <w:snapToGrid w:val="0"/>
              <w:textAlignment w:val="auto"/>
              <w:rPr>
                <w:rFonts w:hAnsi="宋体" w:cs="宋体"/>
                <w:color w:val="000000"/>
                <w:kern w:val="21"/>
                <w:szCs w:val="21"/>
              </w:rPr>
            </w:pPr>
            <w:r>
              <w:rPr>
                <w:rFonts w:hint="eastAsia" w:hAnsi="宋体" w:cs="宋体"/>
                <w:color w:val="000000"/>
                <w:kern w:val="21"/>
                <w:szCs w:val="21"/>
              </w:rPr>
              <w:t>/</w:t>
            </w:r>
          </w:p>
        </w:tc>
      </w:tr>
      <w:tr w14:paraId="2A1AD6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75" w:type="pct"/>
            <w:vMerge w:val="restart"/>
            <w:vAlign w:val="center"/>
          </w:tcPr>
          <w:p w14:paraId="3D35FEEB">
            <w:pPr>
              <w:pStyle w:val="49"/>
              <w:keepNext w:val="0"/>
              <w:keepLines w:val="0"/>
              <w:pageBreakBefore w:val="0"/>
              <w:widowControl w:val="0"/>
              <w:kinsoku/>
              <w:overflowPunct/>
              <w:topLinePunct w:val="0"/>
              <w:autoSpaceDE/>
              <w:autoSpaceDN/>
              <w:bidi w:val="0"/>
              <w:adjustRightInd/>
              <w:snapToGrid w:val="0"/>
              <w:textAlignment w:val="auto"/>
            </w:pPr>
            <w:r>
              <w:rPr>
                <w:rFonts w:hint="eastAsia"/>
              </w:rPr>
              <w:t>废水</w:t>
            </w:r>
          </w:p>
        </w:tc>
        <w:tc>
          <w:tcPr>
            <w:tcW w:w="582" w:type="pct"/>
            <w:vAlign w:val="center"/>
          </w:tcPr>
          <w:p w14:paraId="6D67C988">
            <w:pPr>
              <w:pStyle w:val="49"/>
              <w:keepNext w:val="0"/>
              <w:keepLines w:val="0"/>
              <w:pageBreakBefore w:val="0"/>
              <w:widowControl w:val="0"/>
              <w:kinsoku/>
              <w:overflowPunct/>
              <w:topLinePunct w:val="0"/>
              <w:autoSpaceDE/>
              <w:autoSpaceDN/>
              <w:bidi w:val="0"/>
              <w:adjustRightInd/>
              <w:snapToGrid w:val="0"/>
              <w:textAlignment w:val="auto"/>
              <w:rPr>
                <w:rFonts w:hint="default" w:hAnsi="宋体" w:eastAsia="宋体" w:cs="宋体"/>
                <w:color w:val="000000"/>
                <w:kern w:val="21"/>
                <w:szCs w:val="21"/>
                <w:lang w:val="en-US" w:eastAsia="zh-CN"/>
              </w:rPr>
            </w:pPr>
            <w:r>
              <w:rPr>
                <w:rFonts w:hint="eastAsia"/>
              </w:rPr>
              <w:t>COD</w:t>
            </w:r>
            <w:r>
              <w:rPr>
                <w:rFonts w:hint="eastAsia"/>
                <w:vertAlign w:val="subscript"/>
                <w:lang w:val="en-US" w:eastAsia="zh-CN"/>
              </w:rPr>
              <w:t>Cr</w:t>
            </w:r>
          </w:p>
        </w:tc>
        <w:tc>
          <w:tcPr>
            <w:tcW w:w="569" w:type="pct"/>
            <w:vAlign w:val="center"/>
          </w:tcPr>
          <w:p w14:paraId="58A5CFBD">
            <w:pPr>
              <w:pStyle w:val="49"/>
              <w:keepNext w:val="0"/>
              <w:keepLines w:val="0"/>
              <w:pageBreakBefore w:val="0"/>
              <w:widowControl w:val="0"/>
              <w:kinsoku/>
              <w:overflowPunct/>
              <w:topLinePunct w:val="0"/>
              <w:autoSpaceDE/>
              <w:autoSpaceDN/>
              <w:bidi w:val="0"/>
              <w:adjustRightInd/>
              <w:snapToGrid w:val="0"/>
              <w:textAlignment w:val="auto"/>
              <w:rPr>
                <w:rFonts w:hAnsi="宋体" w:cs="宋体"/>
                <w:color w:val="000000"/>
                <w:kern w:val="21"/>
                <w:szCs w:val="21"/>
              </w:rPr>
            </w:pPr>
            <w:r>
              <w:rPr>
                <w:rFonts w:hint="eastAsia" w:hAnsi="宋体" w:cs="宋体"/>
                <w:color w:val="000000"/>
                <w:kern w:val="21"/>
                <w:szCs w:val="21"/>
              </w:rPr>
              <w:t>/</w:t>
            </w:r>
          </w:p>
        </w:tc>
        <w:tc>
          <w:tcPr>
            <w:tcW w:w="442" w:type="pct"/>
            <w:vAlign w:val="center"/>
          </w:tcPr>
          <w:p w14:paraId="62190AD2">
            <w:pPr>
              <w:pStyle w:val="49"/>
              <w:keepNext w:val="0"/>
              <w:keepLines w:val="0"/>
              <w:pageBreakBefore w:val="0"/>
              <w:widowControl w:val="0"/>
              <w:kinsoku/>
              <w:overflowPunct/>
              <w:topLinePunct w:val="0"/>
              <w:autoSpaceDE/>
              <w:autoSpaceDN/>
              <w:bidi w:val="0"/>
              <w:adjustRightInd/>
              <w:snapToGrid w:val="0"/>
              <w:textAlignment w:val="auto"/>
              <w:rPr>
                <w:rFonts w:hAnsi="宋体" w:cs="宋体"/>
                <w:color w:val="000000"/>
                <w:kern w:val="21"/>
                <w:szCs w:val="21"/>
              </w:rPr>
            </w:pPr>
            <w:r>
              <w:rPr>
                <w:rFonts w:hint="eastAsia" w:hAnsi="宋体" w:cs="宋体"/>
                <w:color w:val="000000"/>
                <w:kern w:val="21"/>
                <w:szCs w:val="21"/>
              </w:rPr>
              <w:t>/</w:t>
            </w:r>
          </w:p>
        </w:tc>
        <w:tc>
          <w:tcPr>
            <w:tcW w:w="616" w:type="pct"/>
            <w:vAlign w:val="center"/>
          </w:tcPr>
          <w:p w14:paraId="6902DAF2">
            <w:pPr>
              <w:pStyle w:val="49"/>
              <w:keepNext w:val="0"/>
              <w:keepLines w:val="0"/>
              <w:pageBreakBefore w:val="0"/>
              <w:widowControl w:val="0"/>
              <w:kinsoku/>
              <w:overflowPunct/>
              <w:topLinePunct w:val="0"/>
              <w:autoSpaceDE/>
              <w:autoSpaceDN/>
              <w:bidi w:val="0"/>
              <w:adjustRightInd/>
              <w:snapToGrid w:val="0"/>
              <w:textAlignment w:val="auto"/>
              <w:rPr>
                <w:rFonts w:hAnsi="宋体" w:cs="宋体"/>
                <w:color w:val="000000"/>
                <w:kern w:val="21"/>
                <w:szCs w:val="21"/>
              </w:rPr>
            </w:pPr>
            <w:r>
              <w:rPr>
                <w:rFonts w:hint="eastAsia" w:hAnsi="宋体" w:cs="宋体"/>
                <w:color w:val="000000"/>
                <w:kern w:val="21"/>
                <w:szCs w:val="21"/>
              </w:rPr>
              <w:t>/</w:t>
            </w:r>
          </w:p>
        </w:tc>
        <w:tc>
          <w:tcPr>
            <w:tcW w:w="565" w:type="pct"/>
            <w:vAlign w:val="center"/>
          </w:tcPr>
          <w:p w14:paraId="1B122678">
            <w:pPr>
              <w:pStyle w:val="49"/>
              <w:keepNext w:val="0"/>
              <w:keepLines w:val="0"/>
              <w:pageBreakBefore w:val="0"/>
              <w:widowControl w:val="0"/>
              <w:kinsoku/>
              <w:overflowPunct/>
              <w:topLinePunct w:val="0"/>
              <w:autoSpaceDE/>
              <w:autoSpaceDN/>
              <w:bidi w:val="0"/>
              <w:adjustRightInd/>
              <w:snapToGrid w:val="0"/>
              <w:textAlignment w:val="auto"/>
            </w:pPr>
            <w:r>
              <w:rPr>
                <w:rFonts w:hint="eastAsia"/>
                <w:color w:val="000000"/>
                <w:szCs w:val="21"/>
              </w:rPr>
              <w:t>0.024</w:t>
            </w:r>
            <w:r>
              <w:rPr>
                <w:color w:val="000000"/>
                <w:szCs w:val="21"/>
              </w:rPr>
              <w:t>t/a</w:t>
            </w:r>
          </w:p>
        </w:tc>
        <w:tc>
          <w:tcPr>
            <w:tcW w:w="638" w:type="pct"/>
            <w:vAlign w:val="center"/>
          </w:tcPr>
          <w:p w14:paraId="250C0234">
            <w:pPr>
              <w:pStyle w:val="49"/>
              <w:keepNext w:val="0"/>
              <w:keepLines w:val="0"/>
              <w:pageBreakBefore w:val="0"/>
              <w:widowControl w:val="0"/>
              <w:kinsoku/>
              <w:overflowPunct/>
              <w:topLinePunct w:val="0"/>
              <w:autoSpaceDE/>
              <w:autoSpaceDN/>
              <w:bidi w:val="0"/>
              <w:adjustRightInd/>
              <w:snapToGrid w:val="0"/>
              <w:textAlignment w:val="auto"/>
              <w:rPr>
                <w:rFonts w:hAnsi="宋体" w:cs="宋体"/>
                <w:color w:val="000000"/>
                <w:kern w:val="21"/>
                <w:szCs w:val="21"/>
              </w:rPr>
            </w:pPr>
            <w:r>
              <w:rPr>
                <w:rFonts w:hint="eastAsia" w:hAnsi="宋体" w:cs="宋体"/>
                <w:color w:val="000000"/>
                <w:kern w:val="21"/>
                <w:szCs w:val="21"/>
              </w:rPr>
              <w:t>/</w:t>
            </w:r>
          </w:p>
        </w:tc>
        <w:tc>
          <w:tcPr>
            <w:tcW w:w="709" w:type="pct"/>
            <w:vAlign w:val="center"/>
          </w:tcPr>
          <w:p w14:paraId="3D028373">
            <w:pPr>
              <w:pStyle w:val="49"/>
              <w:keepNext w:val="0"/>
              <w:keepLines w:val="0"/>
              <w:pageBreakBefore w:val="0"/>
              <w:widowControl w:val="0"/>
              <w:kinsoku/>
              <w:overflowPunct/>
              <w:topLinePunct w:val="0"/>
              <w:autoSpaceDE/>
              <w:autoSpaceDN/>
              <w:bidi w:val="0"/>
              <w:adjustRightInd/>
              <w:snapToGrid w:val="0"/>
              <w:textAlignment w:val="auto"/>
            </w:pPr>
            <w:r>
              <w:rPr>
                <w:rFonts w:hint="eastAsia"/>
                <w:color w:val="000000"/>
                <w:szCs w:val="21"/>
              </w:rPr>
              <w:t>0.024</w:t>
            </w:r>
            <w:r>
              <w:rPr>
                <w:color w:val="000000"/>
                <w:szCs w:val="21"/>
              </w:rPr>
              <w:t>t/a</w:t>
            </w:r>
          </w:p>
        </w:tc>
        <w:tc>
          <w:tcPr>
            <w:tcW w:w="299" w:type="pct"/>
            <w:vAlign w:val="center"/>
          </w:tcPr>
          <w:p w14:paraId="7D5A6337">
            <w:pPr>
              <w:pStyle w:val="49"/>
              <w:keepNext w:val="0"/>
              <w:keepLines w:val="0"/>
              <w:pageBreakBefore w:val="0"/>
              <w:widowControl w:val="0"/>
              <w:kinsoku/>
              <w:overflowPunct/>
              <w:topLinePunct w:val="0"/>
              <w:autoSpaceDE/>
              <w:autoSpaceDN/>
              <w:bidi w:val="0"/>
              <w:adjustRightInd/>
              <w:snapToGrid w:val="0"/>
              <w:textAlignment w:val="auto"/>
              <w:rPr>
                <w:rFonts w:hAnsi="宋体" w:cs="宋体"/>
                <w:color w:val="000000"/>
                <w:kern w:val="21"/>
                <w:szCs w:val="21"/>
              </w:rPr>
            </w:pPr>
            <w:r>
              <w:rPr>
                <w:rFonts w:hint="eastAsia" w:hAnsi="宋体" w:cs="宋体"/>
                <w:color w:val="000000"/>
                <w:kern w:val="21"/>
                <w:szCs w:val="21"/>
              </w:rPr>
              <w:t>/</w:t>
            </w:r>
          </w:p>
        </w:tc>
      </w:tr>
      <w:tr w14:paraId="10CAAD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75" w:type="pct"/>
            <w:vMerge w:val="continue"/>
            <w:vAlign w:val="center"/>
          </w:tcPr>
          <w:p w14:paraId="310B9458">
            <w:pPr>
              <w:pStyle w:val="49"/>
              <w:keepNext w:val="0"/>
              <w:keepLines w:val="0"/>
              <w:pageBreakBefore w:val="0"/>
              <w:widowControl w:val="0"/>
              <w:kinsoku/>
              <w:overflowPunct/>
              <w:topLinePunct w:val="0"/>
              <w:autoSpaceDE/>
              <w:autoSpaceDN/>
              <w:bidi w:val="0"/>
              <w:adjustRightInd/>
              <w:snapToGrid w:val="0"/>
              <w:textAlignment w:val="auto"/>
            </w:pPr>
          </w:p>
        </w:tc>
        <w:tc>
          <w:tcPr>
            <w:tcW w:w="582" w:type="pct"/>
            <w:vAlign w:val="center"/>
          </w:tcPr>
          <w:p w14:paraId="3F8651F8">
            <w:pPr>
              <w:pStyle w:val="49"/>
              <w:keepNext w:val="0"/>
              <w:keepLines w:val="0"/>
              <w:pageBreakBefore w:val="0"/>
              <w:widowControl w:val="0"/>
              <w:kinsoku/>
              <w:overflowPunct/>
              <w:topLinePunct w:val="0"/>
              <w:autoSpaceDE/>
              <w:autoSpaceDN/>
              <w:bidi w:val="0"/>
              <w:adjustRightInd/>
              <w:snapToGrid w:val="0"/>
              <w:textAlignment w:val="auto"/>
              <w:rPr>
                <w:rFonts w:hAnsi="宋体" w:cs="宋体"/>
                <w:color w:val="000000"/>
                <w:kern w:val="21"/>
                <w:szCs w:val="21"/>
              </w:rPr>
            </w:pPr>
            <w:r>
              <w:rPr>
                <w:color w:val="000000"/>
                <w:szCs w:val="21"/>
              </w:rPr>
              <w:t>BOD</w:t>
            </w:r>
            <w:r>
              <w:rPr>
                <w:color w:val="000000"/>
                <w:szCs w:val="21"/>
                <w:vertAlign w:val="subscript"/>
              </w:rPr>
              <w:t>5</w:t>
            </w:r>
          </w:p>
        </w:tc>
        <w:tc>
          <w:tcPr>
            <w:tcW w:w="569" w:type="pct"/>
            <w:vAlign w:val="center"/>
          </w:tcPr>
          <w:p w14:paraId="6B75BDFD">
            <w:pPr>
              <w:pStyle w:val="49"/>
              <w:keepNext w:val="0"/>
              <w:keepLines w:val="0"/>
              <w:pageBreakBefore w:val="0"/>
              <w:widowControl w:val="0"/>
              <w:kinsoku/>
              <w:overflowPunct/>
              <w:topLinePunct w:val="0"/>
              <w:autoSpaceDE/>
              <w:autoSpaceDN/>
              <w:bidi w:val="0"/>
              <w:adjustRightInd/>
              <w:snapToGrid w:val="0"/>
              <w:textAlignment w:val="auto"/>
              <w:rPr>
                <w:rFonts w:hAnsi="宋体" w:cs="宋体"/>
                <w:color w:val="000000"/>
                <w:kern w:val="21"/>
                <w:szCs w:val="21"/>
              </w:rPr>
            </w:pPr>
            <w:r>
              <w:rPr>
                <w:rFonts w:hint="eastAsia" w:hAnsi="宋体" w:cs="宋体"/>
                <w:color w:val="000000"/>
                <w:kern w:val="21"/>
                <w:szCs w:val="21"/>
              </w:rPr>
              <w:t>/</w:t>
            </w:r>
          </w:p>
        </w:tc>
        <w:tc>
          <w:tcPr>
            <w:tcW w:w="442" w:type="pct"/>
            <w:vAlign w:val="center"/>
          </w:tcPr>
          <w:p w14:paraId="49FAA7D9">
            <w:pPr>
              <w:pStyle w:val="49"/>
              <w:keepNext w:val="0"/>
              <w:keepLines w:val="0"/>
              <w:pageBreakBefore w:val="0"/>
              <w:widowControl w:val="0"/>
              <w:kinsoku/>
              <w:overflowPunct/>
              <w:topLinePunct w:val="0"/>
              <w:autoSpaceDE/>
              <w:autoSpaceDN/>
              <w:bidi w:val="0"/>
              <w:adjustRightInd/>
              <w:snapToGrid w:val="0"/>
              <w:textAlignment w:val="auto"/>
              <w:rPr>
                <w:rFonts w:hAnsi="宋体" w:cs="宋体"/>
                <w:color w:val="000000"/>
                <w:kern w:val="21"/>
                <w:szCs w:val="21"/>
              </w:rPr>
            </w:pPr>
            <w:r>
              <w:rPr>
                <w:rFonts w:hint="eastAsia" w:hAnsi="宋体" w:cs="宋体"/>
                <w:color w:val="000000"/>
                <w:kern w:val="21"/>
                <w:szCs w:val="21"/>
              </w:rPr>
              <w:t>/</w:t>
            </w:r>
          </w:p>
        </w:tc>
        <w:tc>
          <w:tcPr>
            <w:tcW w:w="616" w:type="pct"/>
            <w:vAlign w:val="center"/>
          </w:tcPr>
          <w:p w14:paraId="7CE3233C">
            <w:pPr>
              <w:pStyle w:val="49"/>
              <w:keepNext w:val="0"/>
              <w:keepLines w:val="0"/>
              <w:pageBreakBefore w:val="0"/>
              <w:widowControl w:val="0"/>
              <w:kinsoku/>
              <w:overflowPunct/>
              <w:topLinePunct w:val="0"/>
              <w:autoSpaceDE/>
              <w:autoSpaceDN/>
              <w:bidi w:val="0"/>
              <w:adjustRightInd/>
              <w:snapToGrid w:val="0"/>
              <w:textAlignment w:val="auto"/>
              <w:rPr>
                <w:rFonts w:hAnsi="宋体" w:cs="宋体"/>
                <w:color w:val="000000"/>
                <w:kern w:val="21"/>
                <w:szCs w:val="21"/>
              </w:rPr>
            </w:pPr>
            <w:r>
              <w:rPr>
                <w:rFonts w:hint="eastAsia" w:hAnsi="宋体" w:cs="宋体"/>
                <w:color w:val="000000"/>
                <w:kern w:val="21"/>
                <w:szCs w:val="21"/>
              </w:rPr>
              <w:t>/</w:t>
            </w:r>
          </w:p>
        </w:tc>
        <w:tc>
          <w:tcPr>
            <w:tcW w:w="565" w:type="pct"/>
            <w:vAlign w:val="center"/>
          </w:tcPr>
          <w:p w14:paraId="7E732362">
            <w:pPr>
              <w:pStyle w:val="49"/>
              <w:keepNext w:val="0"/>
              <w:keepLines w:val="0"/>
              <w:pageBreakBefore w:val="0"/>
              <w:widowControl w:val="0"/>
              <w:kinsoku/>
              <w:overflowPunct/>
              <w:topLinePunct w:val="0"/>
              <w:autoSpaceDE/>
              <w:autoSpaceDN/>
              <w:bidi w:val="0"/>
              <w:adjustRightInd/>
              <w:snapToGrid w:val="0"/>
              <w:textAlignment w:val="auto"/>
            </w:pPr>
            <w:r>
              <w:rPr>
                <w:rFonts w:hint="eastAsia"/>
                <w:color w:val="000000"/>
                <w:szCs w:val="21"/>
              </w:rPr>
              <w:t>0.0</w:t>
            </w:r>
            <w:r>
              <w:rPr>
                <w:rFonts w:hint="eastAsia"/>
                <w:color w:val="000000"/>
                <w:szCs w:val="21"/>
                <w:lang w:val="en-US" w:eastAsia="zh-CN"/>
              </w:rPr>
              <w:t>08</w:t>
            </w:r>
            <w:r>
              <w:rPr>
                <w:color w:val="000000"/>
                <w:szCs w:val="21"/>
              </w:rPr>
              <w:t>t/a</w:t>
            </w:r>
          </w:p>
        </w:tc>
        <w:tc>
          <w:tcPr>
            <w:tcW w:w="638" w:type="pct"/>
            <w:vAlign w:val="center"/>
          </w:tcPr>
          <w:p w14:paraId="6D878C98">
            <w:pPr>
              <w:pStyle w:val="49"/>
              <w:keepNext w:val="0"/>
              <w:keepLines w:val="0"/>
              <w:pageBreakBefore w:val="0"/>
              <w:widowControl w:val="0"/>
              <w:kinsoku/>
              <w:overflowPunct/>
              <w:topLinePunct w:val="0"/>
              <w:autoSpaceDE/>
              <w:autoSpaceDN/>
              <w:bidi w:val="0"/>
              <w:adjustRightInd/>
              <w:snapToGrid w:val="0"/>
              <w:textAlignment w:val="auto"/>
              <w:rPr>
                <w:rFonts w:hAnsi="宋体" w:cs="宋体"/>
                <w:color w:val="000000"/>
                <w:kern w:val="21"/>
                <w:szCs w:val="21"/>
              </w:rPr>
            </w:pPr>
            <w:r>
              <w:rPr>
                <w:rFonts w:hint="eastAsia" w:hAnsi="宋体" w:cs="宋体"/>
                <w:color w:val="000000"/>
                <w:kern w:val="21"/>
                <w:szCs w:val="21"/>
              </w:rPr>
              <w:t>/</w:t>
            </w:r>
          </w:p>
        </w:tc>
        <w:tc>
          <w:tcPr>
            <w:tcW w:w="709" w:type="pct"/>
            <w:vAlign w:val="center"/>
          </w:tcPr>
          <w:p w14:paraId="5909FFE4">
            <w:pPr>
              <w:pStyle w:val="49"/>
              <w:keepNext w:val="0"/>
              <w:keepLines w:val="0"/>
              <w:pageBreakBefore w:val="0"/>
              <w:widowControl w:val="0"/>
              <w:kinsoku/>
              <w:overflowPunct/>
              <w:topLinePunct w:val="0"/>
              <w:autoSpaceDE/>
              <w:autoSpaceDN/>
              <w:bidi w:val="0"/>
              <w:adjustRightInd/>
              <w:snapToGrid w:val="0"/>
              <w:textAlignment w:val="auto"/>
            </w:pPr>
            <w:r>
              <w:rPr>
                <w:rFonts w:hint="eastAsia"/>
                <w:color w:val="000000"/>
                <w:szCs w:val="21"/>
              </w:rPr>
              <w:t>0.0</w:t>
            </w:r>
            <w:r>
              <w:rPr>
                <w:rFonts w:hint="eastAsia"/>
                <w:color w:val="000000"/>
                <w:szCs w:val="21"/>
                <w:lang w:val="en-US" w:eastAsia="zh-CN"/>
              </w:rPr>
              <w:t>08</w:t>
            </w:r>
            <w:r>
              <w:rPr>
                <w:color w:val="000000"/>
                <w:szCs w:val="21"/>
              </w:rPr>
              <w:t>t/a</w:t>
            </w:r>
          </w:p>
        </w:tc>
        <w:tc>
          <w:tcPr>
            <w:tcW w:w="299" w:type="pct"/>
            <w:vAlign w:val="center"/>
          </w:tcPr>
          <w:p w14:paraId="39D44438">
            <w:pPr>
              <w:pStyle w:val="49"/>
              <w:keepNext w:val="0"/>
              <w:keepLines w:val="0"/>
              <w:pageBreakBefore w:val="0"/>
              <w:widowControl w:val="0"/>
              <w:kinsoku/>
              <w:overflowPunct/>
              <w:topLinePunct w:val="0"/>
              <w:autoSpaceDE/>
              <w:autoSpaceDN/>
              <w:bidi w:val="0"/>
              <w:adjustRightInd/>
              <w:snapToGrid w:val="0"/>
              <w:textAlignment w:val="auto"/>
              <w:rPr>
                <w:rFonts w:hAnsi="宋体" w:cs="宋体"/>
                <w:color w:val="000000"/>
                <w:kern w:val="21"/>
                <w:szCs w:val="21"/>
              </w:rPr>
            </w:pPr>
            <w:r>
              <w:rPr>
                <w:rFonts w:hint="eastAsia" w:hAnsi="宋体" w:cs="宋体"/>
                <w:color w:val="000000"/>
                <w:kern w:val="21"/>
                <w:szCs w:val="21"/>
              </w:rPr>
              <w:t>/</w:t>
            </w:r>
          </w:p>
        </w:tc>
      </w:tr>
      <w:tr w14:paraId="6081E5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75" w:type="pct"/>
            <w:vMerge w:val="continue"/>
            <w:vAlign w:val="center"/>
          </w:tcPr>
          <w:p w14:paraId="5F87DC0D">
            <w:pPr>
              <w:pStyle w:val="49"/>
              <w:keepNext w:val="0"/>
              <w:keepLines w:val="0"/>
              <w:pageBreakBefore w:val="0"/>
              <w:widowControl w:val="0"/>
              <w:kinsoku/>
              <w:overflowPunct/>
              <w:topLinePunct w:val="0"/>
              <w:autoSpaceDE/>
              <w:autoSpaceDN/>
              <w:bidi w:val="0"/>
              <w:adjustRightInd/>
              <w:snapToGrid w:val="0"/>
              <w:textAlignment w:val="auto"/>
            </w:pPr>
          </w:p>
        </w:tc>
        <w:tc>
          <w:tcPr>
            <w:tcW w:w="582" w:type="pct"/>
            <w:vAlign w:val="center"/>
          </w:tcPr>
          <w:p w14:paraId="30FCE21F">
            <w:pPr>
              <w:pStyle w:val="49"/>
              <w:keepNext w:val="0"/>
              <w:keepLines w:val="0"/>
              <w:pageBreakBefore w:val="0"/>
              <w:widowControl w:val="0"/>
              <w:kinsoku/>
              <w:overflowPunct/>
              <w:topLinePunct w:val="0"/>
              <w:autoSpaceDE/>
              <w:autoSpaceDN/>
              <w:bidi w:val="0"/>
              <w:adjustRightInd/>
              <w:snapToGrid w:val="0"/>
              <w:textAlignment w:val="auto"/>
              <w:rPr>
                <w:rFonts w:hAnsi="宋体" w:cs="宋体"/>
                <w:color w:val="000000"/>
                <w:kern w:val="21"/>
                <w:szCs w:val="21"/>
              </w:rPr>
            </w:pPr>
            <w:r>
              <w:rPr>
                <w:color w:val="000000"/>
                <w:szCs w:val="21"/>
              </w:rPr>
              <w:t>SS</w:t>
            </w:r>
          </w:p>
        </w:tc>
        <w:tc>
          <w:tcPr>
            <w:tcW w:w="569" w:type="pct"/>
            <w:vAlign w:val="center"/>
          </w:tcPr>
          <w:p w14:paraId="00F029D4">
            <w:pPr>
              <w:pStyle w:val="49"/>
              <w:keepNext w:val="0"/>
              <w:keepLines w:val="0"/>
              <w:pageBreakBefore w:val="0"/>
              <w:widowControl w:val="0"/>
              <w:kinsoku/>
              <w:overflowPunct/>
              <w:topLinePunct w:val="0"/>
              <w:autoSpaceDE/>
              <w:autoSpaceDN/>
              <w:bidi w:val="0"/>
              <w:adjustRightInd/>
              <w:snapToGrid w:val="0"/>
              <w:textAlignment w:val="auto"/>
              <w:rPr>
                <w:rFonts w:hAnsi="宋体" w:cs="宋体"/>
                <w:color w:val="000000"/>
                <w:kern w:val="21"/>
                <w:szCs w:val="21"/>
              </w:rPr>
            </w:pPr>
            <w:r>
              <w:rPr>
                <w:rFonts w:hint="eastAsia" w:hAnsi="宋体" w:cs="宋体"/>
                <w:color w:val="000000"/>
                <w:kern w:val="21"/>
                <w:szCs w:val="21"/>
              </w:rPr>
              <w:t>/</w:t>
            </w:r>
          </w:p>
        </w:tc>
        <w:tc>
          <w:tcPr>
            <w:tcW w:w="442" w:type="pct"/>
            <w:vAlign w:val="center"/>
          </w:tcPr>
          <w:p w14:paraId="52105952">
            <w:pPr>
              <w:pStyle w:val="49"/>
              <w:keepNext w:val="0"/>
              <w:keepLines w:val="0"/>
              <w:pageBreakBefore w:val="0"/>
              <w:widowControl w:val="0"/>
              <w:kinsoku/>
              <w:overflowPunct/>
              <w:topLinePunct w:val="0"/>
              <w:autoSpaceDE/>
              <w:autoSpaceDN/>
              <w:bidi w:val="0"/>
              <w:adjustRightInd/>
              <w:snapToGrid w:val="0"/>
              <w:textAlignment w:val="auto"/>
              <w:rPr>
                <w:rFonts w:hAnsi="宋体" w:cs="宋体"/>
                <w:color w:val="000000"/>
                <w:kern w:val="21"/>
                <w:szCs w:val="21"/>
              </w:rPr>
            </w:pPr>
            <w:r>
              <w:rPr>
                <w:rFonts w:hint="eastAsia" w:hAnsi="宋体" w:cs="宋体"/>
                <w:color w:val="000000"/>
                <w:kern w:val="21"/>
                <w:szCs w:val="21"/>
              </w:rPr>
              <w:t>/</w:t>
            </w:r>
          </w:p>
        </w:tc>
        <w:tc>
          <w:tcPr>
            <w:tcW w:w="616" w:type="pct"/>
            <w:vAlign w:val="center"/>
          </w:tcPr>
          <w:p w14:paraId="7C99AE2E">
            <w:pPr>
              <w:pStyle w:val="49"/>
              <w:keepNext w:val="0"/>
              <w:keepLines w:val="0"/>
              <w:pageBreakBefore w:val="0"/>
              <w:widowControl w:val="0"/>
              <w:kinsoku/>
              <w:overflowPunct/>
              <w:topLinePunct w:val="0"/>
              <w:autoSpaceDE/>
              <w:autoSpaceDN/>
              <w:bidi w:val="0"/>
              <w:adjustRightInd/>
              <w:snapToGrid w:val="0"/>
              <w:textAlignment w:val="auto"/>
              <w:rPr>
                <w:rFonts w:hAnsi="宋体" w:cs="宋体"/>
                <w:color w:val="000000"/>
                <w:kern w:val="21"/>
                <w:szCs w:val="21"/>
              </w:rPr>
            </w:pPr>
            <w:r>
              <w:rPr>
                <w:rFonts w:hint="eastAsia" w:hAnsi="宋体" w:cs="宋体"/>
                <w:color w:val="000000"/>
                <w:kern w:val="21"/>
                <w:szCs w:val="21"/>
              </w:rPr>
              <w:t>/</w:t>
            </w:r>
          </w:p>
        </w:tc>
        <w:tc>
          <w:tcPr>
            <w:tcW w:w="565" w:type="pct"/>
            <w:vAlign w:val="center"/>
          </w:tcPr>
          <w:p w14:paraId="15521E8A">
            <w:pPr>
              <w:pStyle w:val="49"/>
              <w:keepNext w:val="0"/>
              <w:keepLines w:val="0"/>
              <w:pageBreakBefore w:val="0"/>
              <w:widowControl w:val="0"/>
              <w:kinsoku/>
              <w:overflowPunct/>
              <w:topLinePunct w:val="0"/>
              <w:autoSpaceDE/>
              <w:autoSpaceDN/>
              <w:bidi w:val="0"/>
              <w:adjustRightInd/>
              <w:snapToGrid w:val="0"/>
              <w:textAlignment w:val="auto"/>
            </w:pPr>
            <w:r>
              <w:rPr>
                <w:rFonts w:hint="eastAsia"/>
                <w:color w:val="000000"/>
                <w:szCs w:val="21"/>
              </w:rPr>
              <w:t>0.</w:t>
            </w:r>
            <w:r>
              <w:rPr>
                <w:rFonts w:hint="eastAsia"/>
                <w:color w:val="000000"/>
                <w:szCs w:val="21"/>
                <w:lang w:val="en-US" w:eastAsia="zh-CN"/>
              </w:rPr>
              <w:t>008</w:t>
            </w:r>
            <w:r>
              <w:rPr>
                <w:color w:val="000000"/>
                <w:szCs w:val="21"/>
              </w:rPr>
              <w:t>t/a</w:t>
            </w:r>
          </w:p>
        </w:tc>
        <w:tc>
          <w:tcPr>
            <w:tcW w:w="638" w:type="pct"/>
            <w:vAlign w:val="center"/>
          </w:tcPr>
          <w:p w14:paraId="3F919051">
            <w:pPr>
              <w:pStyle w:val="49"/>
              <w:keepNext w:val="0"/>
              <w:keepLines w:val="0"/>
              <w:pageBreakBefore w:val="0"/>
              <w:widowControl w:val="0"/>
              <w:kinsoku/>
              <w:overflowPunct/>
              <w:topLinePunct w:val="0"/>
              <w:autoSpaceDE/>
              <w:autoSpaceDN/>
              <w:bidi w:val="0"/>
              <w:adjustRightInd/>
              <w:snapToGrid w:val="0"/>
              <w:textAlignment w:val="auto"/>
              <w:rPr>
                <w:rFonts w:hAnsi="宋体" w:cs="宋体"/>
                <w:color w:val="000000"/>
                <w:kern w:val="21"/>
                <w:szCs w:val="21"/>
              </w:rPr>
            </w:pPr>
            <w:r>
              <w:rPr>
                <w:rFonts w:hint="eastAsia" w:hAnsi="宋体" w:cs="宋体"/>
                <w:color w:val="000000"/>
                <w:kern w:val="21"/>
                <w:szCs w:val="21"/>
              </w:rPr>
              <w:t>/</w:t>
            </w:r>
          </w:p>
        </w:tc>
        <w:tc>
          <w:tcPr>
            <w:tcW w:w="709" w:type="pct"/>
            <w:vAlign w:val="center"/>
          </w:tcPr>
          <w:p w14:paraId="79C5473D">
            <w:pPr>
              <w:pStyle w:val="49"/>
              <w:keepNext w:val="0"/>
              <w:keepLines w:val="0"/>
              <w:pageBreakBefore w:val="0"/>
              <w:widowControl w:val="0"/>
              <w:kinsoku/>
              <w:overflowPunct/>
              <w:topLinePunct w:val="0"/>
              <w:autoSpaceDE/>
              <w:autoSpaceDN/>
              <w:bidi w:val="0"/>
              <w:adjustRightInd/>
              <w:snapToGrid w:val="0"/>
              <w:textAlignment w:val="auto"/>
            </w:pPr>
            <w:r>
              <w:rPr>
                <w:rFonts w:hint="eastAsia"/>
                <w:color w:val="000000"/>
                <w:szCs w:val="21"/>
              </w:rPr>
              <w:t>0.</w:t>
            </w:r>
            <w:r>
              <w:rPr>
                <w:rFonts w:hint="eastAsia"/>
                <w:color w:val="000000"/>
                <w:szCs w:val="21"/>
                <w:lang w:val="en-US" w:eastAsia="zh-CN"/>
              </w:rPr>
              <w:t>008</w:t>
            </w:r>
            <w:r>
              <w:rPr>
                <w:color w:val="000000"/>
                <w:szCs w:val="21"/>
              </w:rPr>
              <w:t>t/a</w:t>
            </w:r>
          </w:p>
        </w:tc>
        <w:tc>
          <w:tcPr>
            <w:tcW w:w="299" w:type="pct"/>
            <w:vAlign w:val="center"/>
          </w:tcPr>
          <w:p w14:paraId="7E6531F9">
            <w:pPr>
              <w:pStyle w:val="49"/>
              <w:keepNext w:val="0"/>
              <w:keepLines w:val="0"/>
              <w:pageBreakBefore w:val="0"/>
              <w:widowControl w:val="0"/>
              <w:kinsoku/>
              <w:overflowPunct/>
              <w:topLinePunct w:val="0"/>
              <w:autoSpaceDE/>
              <w:autoSpaceDN/>
              <w:bidi w:val="0"/>
              <w:adjustRightInd/>
              <w:snapToGrid w:val="0"/>
              <w:textAlignment w:val="auto"/>
              <w:rPr>
                <w:rFonts w:hAnsi="宋体" w:cs="宋体"/>
                <w:color w:val="000000"/>
                <w:kern w:val="21"/>
                <w:szCs w:val="21"/>
              </w:rPr>
            </w:pPr>
            <w:r>
              <w:rPr>
                <w:rFonts w:hint="eastAsia" w:hAnsi="宋体" w:cs="宋体"/>
                <w:color w:val="000000"/>
                <w:kern w:val="21"/>
                <w:szCs w:val="21"/>
              </w:rPr>
              <w:t>/</w:t>
            </w:r>
          </w:p>
        </w:tc>
      </w:tr>
      <w:tr w14:paraId="7D0A63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75" w:type="pct"/>
            <w:vMerge w:val="continue"/>
            <w:vAlign w:val="center"/>
          </w:tcPr>
          <w:p w14:paraId="4A64DFDB">
            <w:pPr>
              <w:pStyle w:val="49"/>
              <w:keepNext w:val="0"/>
              <w:keepLines w:val="0"/>
              <w:pageBreakBefore w:val="0"/>
              <w:widowControl w:val="0"/>
              <w:kinsoku/>
              <w:overflowPunct/>
              <w:topLinePunct w:val="0"/>
              <w:autoSpaceDE/>
              <w:autoSpaceDN/>
              <w:bidi w:val="0"/>
              <w:adjustRightInd/>
              <w:snapToGrid w:val="0"/>
              <w:textAlignment w:val="auto"/>
            </w:pPr>
          </w:p>
        </w:tc>
        <w:tc>
          <w:tcPr>
            <w:tcW w:w="582" w:type="pct"/>
            <w:vAlign w:val="center"/>
          </w:tcPr>
          <w:p w14:paraId="1844738E">
            <w:pPr>
              <w:pStyle w:val="49"/>
              <w:keepNext w:val="0"/>
              <w:keepLines w:val="0"/>
              <w:pageBreakBefore w:val="0"/>
              <w:widowControl w:val="0"/>
              <w:kinsoku/>
              <w:overflowPunct/>
              <w:topLinePunct w:val="0"/>
              <w:autoSpaceDE/>
              <w:autoSpaceDN/>
              <w:bidi w:val="0"/>
              <w:adjustRightInd/>
              <w:snapToGrid w:val="0"/>
              <w:textAlignment w:val="auto"/>
              <w:rPr>
                <w:rFonts w:hAnsi="宋体" w:cs="宋体"/>
                <w:color w:val="000000"/>
                <w:kern w:val="21"/>
                <w:szCs w:val="21"/>
              </w:rPr>
            </w:pPr>
            <w:r>
              <w:rPr>
                <w:rFonts w:hint="eastAsia"/>
                <w:lang w:val="en-US" w:eastAsia="zh-CN"/>
              </w:rPr>
              <w:t>NH</w:t>
            </w:r>
            <w:r>
              <w:rPr>
                <w:rFonts w:hint="eastAsia"/>
                <w:vertAlign w:val="subscript"/>
                <w:lang w:val="en-US" w:eastAsia="zh-CN"/>
              </w:rPr>
              <w:t>3</w:t>
            </w:r>
            <w:r>
              <w:rPr>
                <w:rFonts w:hint="eastAsia"/>
                <w:lang w:val="en-US" w:eastAsia="zh-CN"/>
              </w:rPr>
              <w:t>-N</w:t>
            </w:r>
          </w:p>
        </w:tc>
        <w:tc>
          <w:tcPr>
            <w:tcW w:w="569" w:type="pct"/>
            <w:vAlign w:val="center"/>
          </w:tcPr>
          <w:p w14:paraId="25AB1719">
            <w:pPr>
              <w:pStyle w:val="49"/>
              <w:keepNext w:val="0"/>
              <w:keepLines w:val="0"/>
              <w:pageBreakBefore w:val="0"/>
              <w:widowControl w:val="0"/>
              <w:kinsoku/>
              <w:overflowPunct/>
              <w:topLinePunct w:val="0"/>
              <w:autoSpaceDE/>
              <w:autoSpaceDN/>
              <w:bidi w:val="0"/>
              <w:adjustRightInd/>
              <w:snapToGrid w:val="0"/>
              <w:textAlignment w:val="auto"/>
              <w:rPr>
                <w:rFonts w:hAnsi="宋体" w:cs="宋体"/>
                <w:color w:val="000000"/>
                <w:kern w:val="21"/>
                <w:szCs w:val="21"/>
              </w:rPr>
            </w:pPr>
            <w:r>
              <w:rPr>
                <w:rFonts w:hint="eastAsia" w:hAnsi="宋体" w:cs="宋体"/>
                <w:color w:val="000000"/>
                <w:kern w:val="21"/>
                <w:szCs w:val="21"/>
              </w:rPr>
              <w:t>/</w:t>
            </w:r>
          </w:p>
        </w:tc>
        <w:tc>
          <w:tcPr>
            <w:tcW w:w="442" w:type="pct"/>
            <w:vAlign w:val="center"/>
          </w:tcPr>
          <w:p w14:paraId="3B6EC20A">
            <w:pPr>
              <w:pStyle w:val="49"/>
              <w:keepNext w:val="0"/>
              <w:keepLines w:val="0"/>
              <w:pageBreakBefore w:val="0"/>
              <w:widowControl w:val="0"/>
              <w:kinsoku/>
              <w:overflowPunct/>
              <w:topLinePunct w:val="0"/>
              <w:autoSpaceDE/>
              <w:autoSpaceDN/>
              <w:bidi w:val="0"/>
              <w:adjustRightInd/>
              <w:snapToGrid w:val="0"/>
              <w:textAlignment w:val="auto"/>
              <w:rPr>
                <w:rFonts w:hAnsi="宋体" w:cs="宋体"/>
                <w:color w:val="000000"/>
                <w:kern w:val="21"/>
                <w:szCs w:val="21"/>
              </w:rPr>
            </w:pPr>
            <w:r>
              <w:rPr>
                <w:rFonts w:hint="eastAsia" w:hAnsi="宋体" w:cs="宋体"/>
                <w:color w:val="000000"/>
                <w:kern w:val="21"/>
                <w:szCs w:val="21"/>
              </w:rPr>
              <w:t>/</w:t>
            </w:r>
          </w:p>
        </w:tc>
        <w:tc>
          <w:tcPr>
            <w:tcW w:w="616" w:type="pct"/>
            <w:vAlign w:val="center"/>
          </w:tcPr>
          <w:p w14:paraId="6BD7188E">
            <w:pPr>
              <w:pStyle w:val="49"/>
              <w:keepNext w:val="0"/>
              <w:keepLines w:val="0"/>
              <w:pageBreakBefore w:val="0"/>
              <w:widowControl w:val="0"/>
              <w:kinsoku/>
              <w:overflowPunct/>
              <w:topLinePunct w:val="0"/>
              <w:autoSpaceDE/>
              <w:autoSpaceDN/>
              <w:bidi w:val="0"/>
              <w:adjustRightInd/>
              <w:snapToGrid w:val="0"/>
              <w:textAlignment w:val="auto"/>
              <w:rPr>
                <w:rFonts w:hAnsi="宋体" w:cs="宋体"/>
                <w:color w:val="000000"/>
                <w:kern w:val="21"/>
                <w:szCs w:val="21"/>
              </w:rPr>
            </w:pPr>
            <w:r>
              <w:rPr>
                <w:rFonts w:hint="eastAsia" w:hAnsi="宋体" w:cs="宋体"/>
                <w:color w:val="000000"/>
                <w:kern w:val="21"/>
                <w:szCs w:val="21"/>
              </w:rPr>
              <w:t>/</w:t>
            </w:r>
          </w:p>
        </w:tc>
        <w:tc>
          <w:tcPr>
            <w:tcW w:w="565" w:type="pct"/>
            <w:vAlign w:val="center"/>
          </w:tcPr>
          <w:p w14:paraId="54B5C519">
            <w:pPr>
              <w:pStyle w:val="49"/>
              <w:keepNext w:val="0"/>
              <w:keepLines w:val="0"/>
              <w:pageBreakBefore w:val="0"/>
              <w:widowControl w:val="0"/>
              <w:kinsoku/>
              <w:overflowPunct/>
              <w:topLinePunct w:val="0"/>
              <w:autoSpaceDE/>
              <w:autoSpaceDN/>
              <w:bidi w:val="0"/>
              <w:adjustRightInd/>
              <w:snapToGrid w:val="0"/>
              <w:textAlignment w:val="auto"/>
            </w:pPr>
            <w:r>
              <w:rPr>
                <w:rFonts w:hint="eastAsia"/>
                <w:color w:val="000000"/>
                <w:szCs w:val="21"/>
              </w:rPr>
              <w:t>0.0</w:t>
            </w:r>
            <w:r>
              <w:rPr>
                <w:rFonts w:hint="eastAsia"/>
                <w:color w:val="000000"/>
                <w:szCs w:val="21"/>
                <w:lang w:val="en-US" w:eastAsia="zh-CN"/>
              </w:rPr>
              <w:t>03</w:t>
            </w:r>
            <w:r>
              <w:rPr>
                <w:color w:val="000000"/>
                <w:szCs w:val="21"/>
              </w:rPr>
              <w:t>t/a</w:t>
            </w:r>
          </w:p>
        </w:tc>
        <w:tc>
          <w:tcPr>
            <w:tcW w:w="638" w:type="pct"/>
            <w:vAlign w:val="center"/>
          </w:tcPr>
          <w:p w14:paraId="12C01BCF">
            <w:pPr>
              <w:pStyle w:val="49"/>
              <w:keepNext w:val="0"/>
              <w:keepLines w:val="0"/>
              <w:pageBreakBefore w:val="0"/>
              <w:widowControl w:val="0"/>
              <w:kinsoku/>
              <w:overflowPunct/>
              <w:topLinePunct w:val="0"/>
              <w:autoSpaceDE/>
              <w:autoSpaceDN/>
              <w:bidi w:val="0"/>
              <w:adjustRightInd/>
              <w:snapToGrid w:val="0"/>
              <w:textAlignment w:val="auto"/>
              <w:rPr>
                <w:rFonts w:hAnsi="宋体" w:cs="宋体"/>
                <w:color w:val="000000"/>
                <w:kern w:val="21"/>
                <w:szCs w:val="21"/>
              </w:rPr>
            </w:pPr>
            <w:r>
              <w:rPr>
                <w:rFonts w:hint="eastAsia" w:hAnsi="宋体" w:cs="宋体"/>
                <w:color w:val="000000"/>
                <w:kern w:val="21"/>
                <w:szCs w:val="21"/>
              </w:rPr>
              <w:t>/</w:t>
            </w:r>
          </w:p>
        </w:tc>
        <w:tc>
          <w:tcPr>
            <w:tcW w:w="709" w:type="pct"/>
            <w:vAlign w:val="center"/>
          </w:tcPr>
          <w:p w14:paraId="0732645E">
            <w:pPr>
              <w:pStyle w:val="49"/>
              <w:keepNext w:val="0"/>
              <w:keepLines w:val="0"/>
              <w:pageBreakBefore w:val="0"/>
              <w:widowControl w:val="0"/>
              <w:kinsoku/>
              <w:overflowPunct/>
              <w:topLinePunct w:val="0"/>
              <w:autoSpaceDE/>
              <w:autoSpaceDN/>
              <w:bidi w:val="0"/>
              <w:adjustRightInd/>
              <w:snapToGrid w:val="0"/>
              <w:textAlignment w:val="auto"/>
            </w:pPr>
            <w:r>
              <w:rPr>
                <w:rFonts w:hint="eastAsia"/>
                <w:color w:val="000000"/>
                <w:szCs w:val="21"/>
              </w:rPr>
              <w:t>0.0</w:t>
            </w:r>
            <w:r>
              <w:rPr>
                <w:rFonts w:hint="eastAsia"/>
                <w:color w:val="000000"/>
                <w:szCs w:val="21"/>
                <w:lang w:val="en-US" w:eastAsia="zh-CN"/>
              </w:rPr>
              <w:t>03</w:t>
            </w:r>
            <w:r>
              <w:rPr>
                <w:color w:val="000000"/>
                <w:szCs w:val="21"/>
              </w:rPr>
              <w:t>t/a</w:t>
            </w:r>
          </w:p>
        </w:tc>
        <w:tc>
          <w:tcPr>
            <w:tcW w:w="299" w:type="pct"/>
            <w:vAlign w:val="center"/>
          </w:tcPr>
          <w:p w14:paraId="20FE127C">
            <w:pPr>
              <w:pStyle w:val="49"/>
              <w:keepNext w:val="0"/>
              <w:keepLines w:val="0"/>
              <w:pageBreakBefore w:val="0"/>
              <w:widowControl w:val="0"/>
              <w:kinsoku/>
              <w:overflowPunct/>
              <w:topLinePunct w:val="0"/>
              <w:autoSpaceDE/>
              <w:autoSpaceDN/>
              <w:bidi w:val="0"/>
              <w:adjustRightInd/>
              <w:snapToGrid w:val="0"/>
              <w:textAlignment w:val="auto"/>
              <w:rPr>
                <w:rFonts w:hAnsi="宋体" w:cs="宋体"/>
                <w:color w:val="000000"/>
                <w:kern w:val="21"/>
                <w:szCs w:val="21"/>
              </w:rPr>
            </w:pPr>
            <w:r>
              <w:rPr>
                <w:rFonts w:hint="eastAsia" w:hAnsi="宋体" w:cs="宋体"/>
                <w:color w:val="000000"/>
                <w:kern w:val="21"/>
                <w:szCs w:val="21"/>
              </w:rPr>
              <w:t>/</w:t>
            </w:r>
          </w:p>
        </w:tc>
      </w:tr>
      <w:tr w14:paraId="5B64DB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75" w:type="pct"/>
            <w:vMerge w:val="continue"/>
            <w:vAlign w:val="center"/>
          </w:tcPr>
          <w:p w14:paraId="4E48A0BB">
            <w:pPr>
              <w:pStyle w:val="49"/>
              <w:keepNext w:val="0"/>
              <w:keepLines w:val="0"/>
              <w:pageBreakBefore w:val="0"/>
              <w:widowControl w:val="0"/>
              <w:kinsoku/>
              <w:overflowPunct/>
              <w:topLinePunct w:val="0"/>
              <w:autoSpaceDE/>
              <w:autoSpaceDN/>
              <w:bidi w:val="0"/>
              <w:adjustRightInd/>
              <w:snapToGrid w:val="0"/>
              <w:textAlignment w:val="auto"/>
            </w:pPr>
          </w:p>
        </w:tc>
        <w:tc>
          <w:tcPr>
            <w:tcW w:w="582" w:type="pct"/>
            <w:vAlign w:val="center"/>
          </w:tcPr>
          <w:p w14:paraId="179CEA59">
            <w:pPr>
              <w:pStyle w:val="49"/>
              <w:keepNext w:val="0"/>
              <w:keepLines w:val="0"/>
              <w:pageBreakBefore w:val="0"/>
              <w:widowControl w:val="0"/>
              <w:kinsoku/>
              <w:overflowPunct/>
              <w:topLinePunct w:val="0"/>
              <w:autoSpaceDE/>
              <w:autoSpaceDN/>
              <w:bidi w:val="0"/>
              <w:adjustRightInd/>
              <w:snapToGrid w:val="0"/>
              <w:textAlignment w:val="auto"/>
              <w:rPr>
                <w:color w:val="000000"/>
                <w:kern w:val="21"/>
                <w:szCs w:val="21"/>
              </w:rPr>
            </w:pPr>
            <w:r>
              <w:rPr>
                <w:color w:val="000000"/>
                <w:kern w:val="21"/>
                <w:szCs w:val="21"/>
              </w:rPr>
              <w:t>TP</w:t>
            </w:r>
          </w:p>
        </w:tc>
        <w:tc>
          <w:tcPr>
            <w:tcW w:w="569" w:type="pct"/>
            <w:vAlign w:val="center"/>
          </w:tcPr>
          <w:p w14:paraId="53831215">
            <w:pPr>
              <w:pStyle w:val="49"/>
              <w:keepNext w:val="0"/>
              <w:keepLines w:val="0"/>
              <w:pageBreakBefore w:val="0"/>
              <w:widowControl w:val="0"/>
              <w:kinsoku/>
              <w:overflowPunct/>
              <w:topLinePunct w:val="0"/>
              <w:autoSpaceDE/>
              <w:autoSpaceDN/>
              <w:bidi w:val="0"/>
              <w:adjustRightInd/>
              <w:snapToGrid w:val="0"/>
              <w:textAlignment w:val="auto"/>
              <w:rPr>
                <w:rFonts w:hAnsi="宋体" w:cs="宋体"/>
                <w:color w:val="000000"/>
                <w:kern w:val="21"/>
                <w:szCs w:val="21"/>
              </w:rPr>
            </w:pPr>
            <w:r>
              <w:rPr>
                <w:rFonts w:hint="eastAsia" w:hAnsi="宋体" w:cs="宋体"/>
                <w:color w:val="000000"/>
                <w:kern w:val="21"/>
                <w:szCs w:val="21"/>
              </w:rPr>
              <w:t>/</w:t>
            </w:r>
          </w:p>
        </w:tc>
        <w:tc>
          <w:tcPr>
            <w:tcW w:w="442" w:type="pct"/>
            <w:vAlign w:val="center"/>
          </w:tcPr>
          <w:p w14:paraId="72AE66A4">
            <w:pPr>
              <w:pStyle w:val="49"/>
              <w:keepNext w:val="0"/>
              <w:keepLines w:val="0"/>
              <w:pageBreakBefore w:val="0"/>
              <w:widowControl w:val="0"/>
              <w:kinsoku/>
              <w:overflowPunct/>
              <w:topLinePunct w:val="0"/>
              <w:autoSpaceDE/>
              <w:autoSpaceDN/>
              <w:bidi w:val="0"/>
              <w:adjustRightInd/>
              <w:snapToGrid w:val="0"/>
              <w:textAlignment w:val="auto"/>
              <w:rPr>
                <w:rFonts w:hAnsi="宋体" w:cs="宋体"/>
                <w:color w:val="000000"/>
                <w:kern w:val="21"/>
                <w:szCs w:val="21"/>
              </w:rPr>
            </w:pPr>
            <w:r>
              <w:rPr>
                <w:rFonts w:hint="eastAsia" w:hAnsi="宋体" w:cs="宋体"/>
                <w:color w:val="000000"/>
                <w:kern w:val="21"/>
                <w:szCs w:val="21"/>
              </w:rPr>
              <w:t>/</w:t>
            </w:r>
          </w:p>
        </w:tc>
        <w:tc>
          <w:tcPr>
            <w:tcW w:w="616" w:type="pct"/>
            <w:vAlign w:val="center"/>
          </w:tcPr>
          <w:p w14:paraId="3B210DDD">
            <w:pPr>
              <w:pStyle w:val="49"/>
              <w:keepNext w:val="0"/>
              <w:keepLines w:val="0"/>
              <w:pageBreakBefore w:val="0"/>
              <w:widowControl w:val="0"/>
              <w:kinsoku/>
              <w:overflowPunct/>
              <w:topLinePunct w:val="0"/>
              <w:autoSpaceDE/>
              <w:autoSpaceDN/>
              <w:bidi w:val="0"/>
              <w:adjustRightInd/>
              <w:snapToGrid w:val="0"/>
              <w:textAlignment w:val="auto"/>
              <w:rPr>
                <w:rFonts w:hAnsi="宋体" w:cs="宋体"/>
                <w:color w:val="000000"/>
                <w:kern w:val="21"/>
                <w:szCs w:val="21"/>
              </w:rPr>
            </w:pPr>
            <w:r>
              <w:rPr>
                <w:rFonts w:hint="eastAsia" w:hAnsi="宋体" w:cs="宋体"/>
                <w:color w:val="000000"/>
                <w:kern w:val="21"/>
                <w:szCs w:val="21"/>
              </w:rPr>
              <w:t>/</w:t>
            </w:r>
          </w:p>
        </w:tc>
        <w:tc>
          <w:tcPr>
            <w:tcW w:w="565" w:type="pct"/>
            <w:vAlign w:val="center"/>
          </w:tcPr>
          <w:p w14:paraId="4433193C">
            <w:pPr>
              <w:pStyle w:val="49"/>
              <w:keepNext w:val="0"/>
              <w:keepLines w:val="0"/>
              <w:pageBreakBefore w:val="0"/>
              <w:widowControl w:val="0"/>
              <w:kinsoku/>
              <w:overflowPunct/>
              <w:topLinePunct w:val="0"/>
              <w:autoSpaceDE/>
              <w:autoSpaceDN/>
              <w:bidi w:val="0"/>
              <w:adjustRightInd/>
              <w:snapToGrid w:val="0"/>
              <w:textAlignment w:val="auto"/>
            </w:pPr>
            <w:r>
              <w:rPr>
                <w:rFonts w:hint="eastAsia"/>
                <w:color w:val="000000"/>
                <w:szCs w:val="21"/>
              </w:rPr>
              <w:t>0.000</w:t>
            </w:r>
            <w:r>
              <w:rPr>
                <w:rFonts w:hint="eastAsia"/>
                <w:color w:val="000000"/>
                <w:szCs w:val="21"/>
                <w:lang w:val="en-US" w:eastAsia="zh-CN"/>
              </w:rPr>
              <w:t>4</w:t>
            </w:r>
            <w:r>
              <w:rPr>
                <w:color w:val="000000"/>
                <w:szCs w:val="21"/>
              </w:rPr>
              <w:t>t/a</w:t>
            </w:r>
          </w:p>
        </w:tc>
        <w:tc>
          <w:tcPr>
            <w:tcW w:w="638" w:type="pct"/>
            <w:vAlign w:val="center"/>
          </w:tcPr>
          <w:p w14:paraId="41978002">
            <w:pPr>
              <w:pStyle w:val="49"/>
              <w:keepNext w:val="0"/>
              <w:keepLines w:val="0"/>
              <w:pageBreakBefore w:val="0"/>
              <w:widowControl w:val="0"/>
              <w:kinsoku/>
              <w:overflowPunct/>
              <w:topLinePunct w:val="0"/>
              <w:autoSpaceDE/>
              <w:autoSpaceDN/>
              <w:bidi w:val="0"/>
              <w:adjustRightInd/>
              <w:snapToGrid w:val="0"/>
              <w:textAlignment w:val="auto"/>
              <w:rPr>
                <w:rFonts w:hAnsi="宋体" w:cs="宋体"/>
                <w:color w:val="000000"/>
                <w:kern w:val="21"/>
                <w:szCs w:val="21"/>
              </w:rPr>
            </w:pPr>
            <w:r>
              <w:rPr>
                <w:rFonts w:hint="eastAsia" w:hAnsi="宋体" w:cs="宋体"/>
                <w:color w:val="000000"/>
                <w:kern w:val="21"/>
                <w:szCs w:val="21"/>
              </w:rPr>
              <w:t>/</w:t>
            </w:r>
          </w:p>
        </w:tc>
        <w:tc>
          <w:tcPr>
            <w:tcW w:w="709" w:type="pct"/>
            <w:vAlign w:val="center"/>
          </w:tcPr>
          <w:p w14:paraId="20134EB7">
            <w:pPr>
              <w:pStyle w:val="49"/>
              <w:keepNext w:val="0"/>
              <w:keepLines w:val="0"/>
              <w:pageBreakBefore w:val="0"/>
              <w:widowControl w:val="0"/>
              <w:kinsoku/>
              <w:overflowPunct/>
              <w:topLinePunct w:val="0"/>
              <w:autoSpaceDE/>
              <w:autoSpaceDN/>
              <w:bidi w:val="0"/>
              <w:adjustRightInd/>
              <w:snapToGrid w:val="0"/>
              <w:textAlignment w:val="auto"/>
            </w:pPr>
            <w:r>
              <w:rPr>
                <w:rFonts w:hint="eastAsia"/>
                <w:color w:val="000000"/>
                <w:szCs w:val="21"/>
              </w:rPr>
              <w:t>0.000</w:t>
            </w:r>
            <w:r>
              <w:rPr>
                <w:rFonts w:hint="eastAsia"/>
                <w:color w:val="000000"/>
                <w:szCs w:val="21"/>
                <w:lang w:val="en-US" w:eastAsia="zh-CN"/>
              </w:rPr>
              <w:t>4</w:t>
            </w:r>
            <w:r>
              <w:rPr>
                <w:color w:val="000000"/>
                <w:szCs w:val="21"/>
              </w:rPr>
              <w:t>t/a</w:t>
            </w:r>
          </w:p>
        </w:tc>
        <w:tc>
          <w:tcPr>
            <w:tcW w:w="299" w:type="pct"/>
            <w:vAlign w:val="center"/>
          </w:tcPr>
          <w:p w14:paraId="15A6C863">
            <w:pPr>
              <w:pStyle w:val="49"/>
              <w:keepNext w:val="0"/>
              <w:keepLines w:val="0"/>
              <w:pageBreakBefore w:val="0"/>
              <w:widowControl w:val="0"/>
              <w:kinsoku/>
              <w:overflowPunct/>
              <w:topLinePunct w:val="0"/>
              <w:autoSpaceDE/>
              <w:autoSpaceDN/>
              <w:bidi w:val="0"/>
              <w:adjustRightInd/>
              <w:snapToGrid w:val="0"/>
              <w:textAlignment w:val="auto"/>
              <w:rPr>
                <w:rFonts w:hAnsi="宋体" w:cs="宋体"/>
                <w:color w:val="000000"/>
                <w:kern w:val="21"/>
                <w:szCs w:val="21"/>
              </w:rPr>
            </w:pPr>
            <w:r>
              <w:rPr>
                <w:rFonts w:hint="eastAsia" w:hAnsi="宋体" w:cs="宋体"/>
                <w:color w:val="000000"/>
                <w:kern w:val="21"/>
                <w:szCs w:val="21"/>
              </w:rPr>
              <w:t>/</w:t>
            </w:r>
          </w:p>
        </w:tc>
      </w:tr>
      <w:tr w14:paraId="55CF79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75" w:type="pct"/>
            <w:vMerge w:val="continue"/>
            <w:vAlign w:val="center"/>
          </w:tcPr>
          <w:p w14:paraId="752F376B">
            <w:pPr>
              <w:pStyle w:val="49"/>
              <w:keepNext w:val="0"/>
              <w:keepLines w:val="0"/>
              <w:pageBreakBefore w:val="0"/>
              <w:widowControl w:val="0"/>
              <w:kinsoku/>
              <w:overflowPunct/>
              <w:topLinePunct w:val="0"/>
              <w:autoSpaceDE/>
              <w:autoSpaceDN/>
              <w:bidi w:val="0"/>
              <w:adjustRightInd/>
              <w:snapToGrid w:val="0"/>
              <w:textAlignment w:val="auto"/>
            </w:pPr>
          </w:p>
        </w:tc>
        <w:tc>
          <w:tcPr>
            <w:tcW w:w="582" w:type="pct"/>
            <w:vAlign w:val="center"/>
          </w:tcPr>
          <w:p w14:paraId="5065C8BC">
            <w:pPr>
              <w:pStyle w:val="49"/>
              <w:keepNext w:val="0"/>
              <w:keepLines w:val="0"/>
              <w:pageBreakBefore w:val="0"/>
              <w:widowControl w:val="0"/>
              <w:kinsoku/>
              <w:overflowPunct/>
              <w:topLinePunct w:val="0"/>
              <w:autoSpaceDE/>
              <w:autoSpaceDN/>
              <w:bidi w:val="0"/>
              <w:adjustRightInd/>
              <w:snapToGrid w:val="0"/>
              <w:textAlignment w:val="auto"/>
              <w:rPr>
                <w:color w:val="000000"/>
                <w:kern w:val="21"/>
                <w:szCs w:val="21"/>
              </w:rPr>
            </w:pPr>
            <w:r>
              <w:rPr>
                <w:color w:val="000000"/>
                <w:kern w:val="21"/>
                <w:szCs w:val="21"/>
              </w:rPr>
              <w:t>TN</w:t>
            </w:r>
          </w:p>
        </w:tc>
        <w:tc>
          <w:tcPr>
            <w:tcW w:w="569" w:type="pct"/>
            <w:vAlign w:val="center"/>
          </w:tcPr>
          <w:p w14:paraId="426D64ED">
            <w:pPr>
              <w:pStyle w:val="49"/>
              <w:keepNext w:val="0"/>
              <w:keepLines w:val="0"/>
              <w:pageBreakBefore w:val="0"/>
              <w:widowControl w:val="0"/>
              <w:kinsoku/>
              <w:overflowPunct/>
              <w:topLinePunct w:val="0"/>
              <w:autoSpaceDE/>
              <w:autoSpaceDN/>
              <w:bidi w:val="0"/>
              <w:adjustRightInd/>
              <w:snapToGrid w:val="0"/>
              <w:textAlignment w:val="auto"/>
              <w:rPr>
                <w:rFonts w:hAnsi="宋体" w:cs="宋体"/>
                <w:color w:val="000000"/>
                <w:kern w:val="21"/>
                <w:szCs w:val="21"/>
              </w:rPr>
            </w:pPr>
            <w:r>
              <w:rPr>
                <w:rFonts w:hint="eastAsia" w:hAnsi="宋体" w:cs="宋体"/>
                <w:color w:val="000000"/>
                <w:kern w:val="21"/>
                <w:szCs w:val="21"/>
              </w:rPr>
              <w:t>/</w:t>
            </w:r>
          </w:p>
        </w:tc>
        <w:tc>
          <w:tcPr>
            <w:tcW w:w="442" w:type="pct"/>
            <w:vAlign w:val="center"/>
          </w:tcPr>
          <w:p w14:paraId="4402FE03">
            <w:pPr>
              <w:pStyle w:val="49"/>
              <w:keepNext w:val="0"/>
              <w:keepLines w:val="0"/>
              <w:pageBreakBefore w:val="0"/>
              <w:widowControl w:val="0"/>
              <w:kinsoku/>
              <w:overflowPunct/>
              <w:topLinePunct w:val="0"/>
              <w:autoSpaceDE/>
              <w:autoSpaceDN/>
              <w:bidi w:val="0"/>
              <w:adjustRightInd/>
              <w:snapToGrid w:val="0"/>
              <w:textAlignment w:val="auto"/>
              <w:rPr>
                <w:rFonts w:hAnsi="宋体" w:cs="宋体"/>
                <w:color w:val="000000"/>
                <w:kern w:val="21"/>
                <w:szCs w:val="21"/>
              </w:rPr>
            </w:pPr>
            <w:r>
              <w:rPr>
                <w:rFonts w:hint="eastAsia" w:hAnsi="宋体" w:cs="宋体"/>
                <w:color w:val="000000"/>
                <w:kern w:val="21"/>
                <w:szCs w:val="21"/>
              </w:rPr>
              <w:t>/</w:t>
            </w:r>
          </w:p>
        </w:tc>
        <w:tc>
          <w:tcPr>
            <w:tcW w:w="616" w:type="pct"/>
            <w:vAlign w:val="center"/>
          </w:tcPr>
          <w:p w14:paraId="298D986B">
            <w:pPr>
              <w:pStyle w:val="49"/>
              <w:keepNext w:val="0"/>
              <w:keepLines w:val="0"/>
              <w:pageBreakBefore w:val="0"/>
              <w:widowControl w:val="0"/>
              <w:kinsoku/>
              <w:overflowPunct/>
              <w:topLinePunct w:val="0"/>
              <w:autoSpaceDE/>
              <w:autoSpaceDN/>
              <w:bidi w:val="0"/>
              <w:adjustRightInd/>
              <w:snapToGrid w:val="0"/>
              <w:textAlignment w:val="auto"/>
              <w:rPr>
                <w:rFonts w:hAnsi="宋体" w:cs="宋体"/>
                <w:color w:val="000000"/>
                <w:kern w:val="21"/>
                <w:szCs w:val="21"/>
              </w:rPr>
            </w:pPr>
            <w:r>
              <w:rPr>
                <w:rFonts w:hint="eastAsia" w:hAnsi="宋体" w:cs="宋体"/>
                <w:color w:val="000000"/>
                <w:kern w:val="21"/>
                <w:szCs w:val="21"/>
              </w:rPr>
              <w:t>/</w:t>
            </w:r>
          </w:p>
        </w:tc>
        <w:tc>
          <w:tcPr>
            <w:tcW w:w="565" w:type="pct"/>
            <w:vAlign w:val="center"/>
          </w:tcPr>
          <w:p w14:paraId="2B8B9850">
            <w:pPr>
              <w:pStyle w:val="49"/>
              <w:keepNext w:val="0"/>
              <w:keepLines w:val="0"/>
              <w:pageBreakBefore w:val="0"/>
              <w:widowControl w:val="0"/>
              <w:kinsoku/>
              <w:overflowPunct/>
              <w:topLinePunct w:val="0"/>
              <w:autoSpaceDE/>
              <w:autoSpaceDN/>
              <w:bidi w:val="0"/>
              <w:adjustRightInd/>
              <w:snapToGrid w:val="0"/>
              <w:textAlignment w:val="auto"/>
            </w:pPr>
            <w:r>
              <w:rPr>
                <w:rFonts w:hint="eastAsia"/>
                <w:color w:val="000000"/>
                <w:szCs w:val="21"/>
              </w:rPr>
              <w:t>0.0</w:t>
            </w:r>
            <w:r>
              <w:rPr>
                <w:rFonts w:hint="eastAsia"/>
                <w:color w:val="000000"/>
                <w:szCs w:val="21"/>
                <w:lang w:val="en-US" w:eastAsia="zh-CN"/>
              </w:rPr>
              <w:t>08</w:t>
            </w:r>
            <w:r>
              <w:rPr>
                <w:color w:val="000000"/>
                <w:szCs w:val="21"/>
              </w:rPr>
              <w:t>t/a</w:t>
            </w:r>
          </w:p>
        </w:tc>
        <w:tc>
          <w:tcPr>
            <w:tcW w:w="638" w:type="pct"/>
            <w:vAlign w:val="center"/>
          </w:tcPr>
          <w:p w14:paraId="6B0961AB">
            <w:pPr>
              <w:pStyle w:val="49"/>
              <w:keepNext w:val="0"/>
              <w:keepLines w:val="0"/>
              <w:pageBreakBefore w:val="0"/>
              <w:widowControl w:val="0"/>
              <w:kinsoku/>
              <w:overflowPunct/>
              <w:topLinePunct w:val="0"/>
              <w:autoSpaceDE/>
              <w:autoSpaceDN/>
              <w:bidi w:val="0"/>
              <w:adjustRightInd/>
              <w:snapToGrid w:val="0"/>
              <w:textAlignment w:val="auto"/>
              <w:rPr>
                <w:rFonts w:hAnsi="宋体" w:cs="宋体"/>
                <w:color w:val="000000"/>
                <w:kern w:val="21"/>
                <w:szCs w:val="21"/>
              </w:rPr>
            </w:pPr>
            <w:r>
              <w:rPr>
                <w:rFonts w:hint="eastAsia" w:hAnsi="宋体" w:cs="宋体"/>
                <w:color w:val="000000"/>
                <w:kern w:val="21"/>
                <w:szCs w:val="21"/>
              </w:rPr>
              <w:t>/</w:t>
            </w:r>
          </w:p>
        </w:tc>
        <w:tc>
          <w:tcPr>
            <w:tcW w:w="709" w:type="pct"/>
            <w:vAlign w:val="center"/>
          </w:tcPr>
          <w:p w14:paraId="5233FE19">
            <w:pPr>
              <w:pStyle w:val="49"/>
              <w:keepNext w:val="0"/>
              <w:keepLines w:val="0"/>
              <w:pageBreakBefore w:val="0"/>
              <w:widowControl w:val="0"/>
              <w:kinsoku/>
              <w:overflowPunct/>
              <w:topLinePunct w:val="0"/>
              <w:autoSpaceDE/>
              <w:autoSpaceDN/>
              <w:bidi w:val="0"/>
              <w:adjustRightInd/>
              <w:snapToGrid w:val="0"/>
              <w:textAlignment w:val="auto"/>
            </w:pPr>
            <w:r>
              <w:rPr>
                <w:rFonts w:hint="eastAsia"/>
                <w:color w:val="000000"/>
                <w:szCs w:val="21"/>
              </w:rPr>
              <w:t>0.0</w:t>
            </w:r>
            <w:r>
              <w:rPr>
                <w:rFonts w:hint="eastAsia"/>
                <w:color w:val="000000"/>
                <w:szCs w:val="21"/>
                <w:lang w:val="en-US" w:eastAsia="zh-CN"/>
              </w:rPr>
              <w:t>08</w:t>
            </w:r>
            <w:r>
              <w:rPr>
                <w:color w:val="000000"/>
                <w:szCs w:val="21"/>
              </w:rPr>
              <w:t>t/a</w:t>
            </w:r>
          </w:p>
        </w:tc>
        <w:tc>
          <w:tcPr>
            <w:tcW w:w="299" w:type="pct"/>
            <w:vAlign w:val="center"/>
          </w:tcPr>
          <w:p w14:paraId="31127E05">
            <w:pPr>
              <w:pStyle w:val="49"/>
              <w:keepNext w:val="0"/>
              <w:keepLines w:val="0"/>
              <w:pageBreakBefore w:val="0"/>
              <w:widowControl w:val="0"/>
              <w:kinsoku/>
              <w:overflowPunct/>
              <w:topLinePunct w:val="0"/>
              <w:autoSpaceDE/>
              <w:autoSpaceDN/>
              <w:bidi w:val="0"/>
              <w:adjustRightInd/>
              <w:snapToGrid w:val="0"/>
              <w:textAlignment w:val="auto"/>
              <w:rPr>
                <w:rFonts w:hAnsi="宋体" w:cs="宋体"/>
                <w:color w:val="000000"/>
                <w:kern w:val="21"/>
                <w:szCs w:val="21"/>
              </w:rPr>
            </w:pPr>
            <w:r>
              <w:rPr>
                <w:rFonts w:hint="eastAsia" w:hAnsi="宋体" w:cs="宋体"/>
                <w:color w:val="000000"/>
                <w:kern w:val="21"/>
                <w:szCs w:val="21"/>
              </w:rPr>
              <w:t>/</w:t>
            </w:r>
          </w:p>
        </w:tc>
      </w:tr>
      <w:tr w14:paraId="27A4AE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75" w:type="pct"/>
            <w:vMerge w:val="continue"/>
            <w:vAlign w:val="center"/>
          </w:tcPr>
          <w:p w14:paraId="66F4D011">
            <w:pPr>
              <w:pStyle w:val="49"/>
              <w:keepNext w:val="0"/>
              <w:keepLines w:val="0"/>
              <w:pageBreakBefore w:val="0"/>
              <w:widowControl w:val="0"/>
              <w:kinsoku/>
              <w:overflowPunct/>
              <w:topLinePunct w:val="0"/>
              <w:autoSpaceDE/>
              <w:autoSpaceDN/>
              <w:bidi w:val="0"/>
              <w:adjustRightInd/>
              <w:snapToGrid w:val="0"/>
              <w:textAlignment w:val="auto"/>
            </w:pPr>
          </w:p>
        </w:tc>
        <w:tc>
          <w:tcPr>
            <w:tcW w:w="582" w:type="pct"/>
            <w:vAlign w:val="center"/>
          </w:tcPr>
          <w:p w14:paraId="2F4DCEEC">
            <w:pPr>
              <w:pStyle w:val="49"/>
              <w:keepNext w:val="0"/>
              <w:keepLines w:val="0"/>
              <w:pageBreakBefore w:val="0"/>
              <w:widowControl w:val="0"/>
              <w:kinsoku/>
              <w:overflowPunct/>
              <w:topLinePunct w:val="0"/>
              <w:autoSpaceDE/>
              <w:autoSpaceDN/>
              <w:bidi w:val="0"/>
              <w:adjustRightInd/>
              <w:snapToGrid w:val="0"/>
              <w:textAlignment w:val="auto"/>
              <w:rPr>
                <w:rFonts w:hint="eastAsia" w:eastAsia="宋体"/>
                <w:color w:val="000000"/>
                <w:kern w:val="21"/>
                <w:szCs w:val="21"/>
                <w:lang w:val="en-US" w:eastAsia="zh-CN"/>
              </w:rPr>
            </w:pPr>
            <w:r>
              <w:rPr>
                <w:rFonts w:hint="eastAsia"/>
                <w:color w:val="000000"/>
                <w:kern w:val="21"/>
                <w:szCs w:val="21"/>
                <w:lang w:val="en-US" w:eastAsia="zh-CN"/>
              </w:rPr>
              <w:t>动植物油</w:t>
            </w:r>
          </w:p>
        </w:tc>
        <w:tc>
          <w:tcPr>
            <w:tcW w:w="569" w:type="pct"/>
            <w:vAlign w:val="center"/>
          </w:tcPr>
          <w:p w14:paraId="2D10519A">
            <w:pPr>
              <w:pStyle w:val="49"/>
              <w:keepNext w:val="0"/>
              <w:keepLines w:val="0"/>
              <w:pageBreakBefore w:val="0"/>
              <w:widowControl w:val="0"/>
              <w:kinsoku/>
              <w:overflowPunct/>
              <w:topLinePunct w:val="0"/>
              <w:autoSpaceDE/>
              <w:autoSpaceDN/>
              <w:bidi w:val="0"/>
              <w:adjustRightInd/>
              <w:snapToGrid w:val="0"/>
              <w:textAlignment w:val="auto"/>
              <w:rPr>
                <w:color w:val="000000"/>
                <w:kern w:val="21"/>
                <w:szCs w:val="21"/>
              </w:rPr>
            </w:pPr>
            <w:r>
              <w:rPr>
                <w:rFonts w:hint="eastAsia" w:hAnsi="宋体" w:cs="宋体"/>
                <w:color w:val="000000"/>
                <w:kern w:val="21"/>
                <w:szCs w:val="21"/>
              </w:rPr>
              <w:t>/</w:t>
            </w:r>
          </w:p>
        </w:tc>
        <w:tc>
          <w:tcPr>
            <w:tcW w:w="442" w:type="pct"/>
            <w:vAlign w:val="center"/>
          </w:tcPr>
          <w:p w14:paraId="6381E846">
            <w:pPr>
              <w:pStyle w:val="49"/>
              <w:keepNext w:val="0"/>
              <w:keepLines w:val="0"/>
              <w:pageBreakBefore w:val="0"/>
              <w:widowControl w:val="0"/>
              <w:kinsoku/>
              <w:overflowPunct/>
              <w:topLinePunct w:val="0"/>
              <w:autoSpaceDE/>
              <w:autoSpaceDN/>
              <w:bidi w:val="0"/>
              <w:adjustRightInd/>
              <w:snapToGrid w:val="0"/>
              <w:textAlignment w:val="auto"/>
              <w:rPr>
                <w:color w:val="000000"/>
                <w:kern w:val="21"/>
                <w:szCs w:val="21"/>
              </w:rPr>
            </w:pPr>
            <w:r>
              <w:rPr>
                <w:rFonts w:hint="eastAsia" w:hAnsi="宋体" w:cs="宋体"/>
                <w:color w:val="000000"/>
                <w:kern w:val="21"/>
                <w:szCs w:val="21"/>
              </w:rPr>
              <w:t>/</w:t>
            </w:r>
          </w:p>
        </w:tc>
        <w:tc>
          <w:tcPr>
            <w:tcW w:w="616" w:type="pct"/>
            <w:vAlign w:val="center"/>
          </w:tcPr>
          <w:p w14:paraId="0311CAB0">
            <w:pPr>
              <w:pStyle w:val="49"/>
              <w:keepNext w:val="0"/>
              <w:keepLines w:val="0"/>
              <w:pageBreakBefore w:val="0"/>
              <w:widowControl w:val="0"/>
              <w:kinsoku/>
              <w:overflowPunct/>
              <w:topLinePunct w:val="0"/>
              <w:autoSpaceDE/>
              <w:autoSpaceDN/>
              <w:bidi w:val="0"/>
              <w:adjustRightInd/>
              <w:snapToGrid w:val="0"/>
              <w:textAlignment w:val="auto"/>
              <w:rPr>
                <w:color w:val="000000"/>
                <w:kern w:val="21"/>
                <w:szCs w:val="21"/>
              </w:rPr>
            </w:pPr>
            <w:r>
              <w:rPr>
                <w:rFonts w:hint="eastAsia" w:hAnsi="宋体" w:cs="宋体"/>
                <w:color w:val="000000"/>
                <w:kern w:val="21"/>
                <w:szCs w:val="21"/>
              </w:rPr>
              <w:t>/</w:t>
            </w:r>
          </w:p>
        </w:tc>
        <w:tc>
          <w:tcPr>
            <w:tcW w:w="565" w:type="pct"/>
            <w:vAlign w:val="center"/>
          </w:tcPr>
          <w:p w14:paraId="152B7AF9">
            <w:pPr>
              <w:pStyle w:val="49"/>
              <w:keepNext w:val="0"/>
              <w:keepLines w:val="0"/>
              <w:pageBreakBefore w:val="0"/>
              <w:widowControl w:val="0"/>
              <w:kinsoku/>
              <w:overflowPunct/>
              <w:topLinePunct w:val="0"/>
              <w:autoSpaceDE/>
              <w:autoSpaceDN/>
              <w:bidi w:val="0"/>
              <w:adjustRightInd/>
              <w:snapToGrid w:val="0"/>
              <w:textAlignment w:val="auto"/>
              <w:rPr>
                <w:color w:val="000000"/>
                <w:kern w:val="21"/>
                <w:szCs w:val="21"/>
              </w:rPr>
            </w:pPr>
            <w:r>
              <w:rPr>
                <w:rFonts w:hint="eastAsia"/>
                <w:color w:val="000000"/>
                <w:szCs w:val="21"/>
              </w:rPr>
              <w:t>0.00</w:t>
            </w:r>
            <w:r>
              <w:rPr>
                <w:rFonts w:hint="eastAsia"/>
                <w:color w:val="000000"/>
                <w:szCs w:val="21"/>
                <w:lang w:val="en-US" w:eastAsia="zh-CN"/>
              </w:rPr>
              <w:t>1</w:t>
            </w:r>
            <w:r>
              <w:rPr>
                <w:color w:val="000000"/>
                <w:szCs w:val="21"/>
              </w:rPr>
              <w:t>t/a</w:t>
            </w:r>
          </w:p>
        </w:tc>
        <w:tc>
          <w:tcPr>
            <w:tcW w:w="638" w:type="pct"/>
            <w:vAlign w:val="center"/>
          </w:tcPr>
          <w:p w14:paraId="600D8F05">
            <w:pPr>
              <w:pStyle w:val="49"/>
              <w:keepNext w:val="0"/>
              <w:keepLines w:val="0"/>
              <w:pageBreakBefore w:val="0"/>
              <w:widowControl w:val="0"/>
              <w:kinsoku/>
              <w:overflowPunct/>
              <w:topLinePunct w:val="0"/>
              <w:autoSpaceDE/>
              <w:autoSpaceDN/>
              <w:bidi w:val="0"/>
              <w:adjustRightInd/>
              <w:snapToGrid w:val="0"/>
              <w:textAlignment w:val="auto"/>
              <w:rPr>
                <w:color w:val="000000"/>
                <w:kern w:val="21"/>
                <w:szCs w:val="21"/>
              </w:rPr>
            </w:pPr>
            <w:r>
              <w:rPr>
                <w:rFonts w:hint="eastAsia" w:hAnsi="宋体" w:cs="宋体"/>
                <w:color w:val="000000"/>
                <w:kern w:val="21"/>
                <w:szCs w:val="21"/>
              </w:rPr>
              <w:t>/</w:t>
            </w:r>
          </w:p>
        </w:tc>
        <w:tc>
          <w:tcPr>
            <w:tcW w:w="709" w:type="pct"/>
            <w:vAlign w:val="center"/>
          </w:tcPr>
          <w:p w14:paraId="50958BA7">
            <w:pPr>
              <w:pStyle w:val="49"/>
              <w:keepNext w:val="0"/>
              <w:keepLines w:val="0"/>
              <w:pageBreakBefore w:val="0"/>
              <w:widowControl w:val="0"/>
              <w:kinsoku/>
              <w:overflowPunct/>
              <w:topLinePunct w:val="0"/>
              <w:autoSpaceDE/>
              <w:autoSpaceDN/>
              <w:bidi w:val="0"/>
              <w:adjustRightInd/>
              <w:snapToGrid w:val="0"/>
              <w:textAlignment w:val="auto"/>
              <w:rPr>
                <w:color w:val="000000"/>
                <w:kern w:val="21"/>
                <w:szCs w:val="21"/>
              </w:rPr>
            </w:pPr>
            <w:r>
              <w:rPr>
                <w:rFonts w:hint="eastAsia"/>
                <w:color w:val="000000"/>
                <w:szCs w:val="21"/>
              </w:rPr>
              <w:t>0.00</w:t>
            </w:r>
            <w:r>
              <w:rPr>
                <w:rFonts w:hint="eastAsia"/>
                <w:color w:val="000000"/>
                <w:szCs w:val="21"/>
                <w:lang w:val="en-US" w:eastAsia="zh-CN"/>
              </w:rPr>
              <w:t>1</w:t>
            </w:r>
            <w:r>
              <w:rPr>
                <w:color w:val="000000"/>
                <w:szCs w:val="21"/>
              </w:rPr>
              <w:t>t/a</w:t>
            </w:r>
          </w:p>
        </w:tc>
        <w:tc>
          <w:tcPr>
            <w:tcW w:w="299" w:type="pct"/>
            <w:vAlign w:val="center"/>
          </w:tcPr>
          <w:p w14:paraId="53BAE051">
            <w:pPr>
              <w:pStyle w:val="49"/>
              <w:keepNext w:val="0"/>
              <w:keepLines w:val="0"/>
              <w:pageBreakBefore w:val="0"/>
              <w:widowControl w:val="0"/>
              <w:kinsoku/>
              <w:overflowPunct/>
              <w:topLinePunct w:val="0"/>
              <w:autoSpaceDE/>
              <w:autoSpaceDN/>
              <w:bidi w:val="0"/>
              <w:adjustRightInd/>
              <w:snapToGrid w:val="0"/>
              <w:textAlignment w:val="auto"/>
              <w:rPr>
                <w:color w:val="000000"/>
                <w:kern w:val="21"/>
                <w:szCs w:val="21"/>
              </w:rPr>
            </w:pPr>
            <w:r>
              <w:rPr>
                <w:rFonts w:hint="eastAsia" w:hAnsi="宋体" w:cs="宋体"/>
                <w:color w:val="000000"/>
                <w:kern w:val="21"/>
                <w:szCs w:val="21"/>
              </w:rPr>
              <w:t>/</w:t>
            </w:r>
          </w:p>
        </w:tc>
      </w:tr>
      <w:tr w14:paraId="7D2D03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75" w:type="pct"/>
            <w:vAlign w:val="center"/>
          </w:tcPr>
          <w:p w14:paraId="797671BB">
            <w:pPr>
              <w:pStyle w:val="49"/>
              <w:keepNext w:val="0"/>
              <w:keepLines w:val="0"/>
              <w:pageBreakBefore w:val="0"/>
              <w:widowControl w:val="0"/>
              <w:kinsoku/>
              <w:overflowPunct/>
              <w:topLinePunct w:val="0"/>
              <w:autoSpaceDE/>
              <w:autoSpaceDN/>
              <w:bidi w:val="0"/>
              <w:adjustRightInd/>
              <w:snapToGrid w:val="0"/>
              <w:textAlignment w:val="auto"/>
            </w:pPr>
            <w:r>
              <w:rPr>
                <w:rFonts w:hint="eastAsia"/>
              </w:rPr>
              <w:t>一般工业</w:t>
            </w:r>
          </w:p>
          <w:p w14:paraId="239447FF">
            <w:pPr>
              <w:pStyle w:val="49"/>
              <w:keepNext w:val="0"/>
              <w:keepLines w:val="0"/>
              <w:pageBreakBefore w:val="0"/>
              <w:widowControl w:val="0"/>
              <w:kinsoku/>
              <w:overflowPunct/>
              <w:topLinePunct w:val="0"/>
              <w:autoSpaceDE/>
              <w:autoSpaceDN/>
              <w:bidi w:val="0"/>
              <w:adjustRightInd/>
              <w:snapToGrid w:val="0"/>
              <w:textAlignment w:val="auto"/>
            </w:pPr>
            <w:r>
              <w:rPr>
                <w:rFonts w:hint="eastAsia"/>
              </w:rPr>
              <w:t>固体废物</w:t>
            </w:r>
          </w:p>
        </w:tc>
        <w:tc>
          <w:tcPr>
            <w:tcW w:w="582" w:type="pct"/>
            <w:vAlign w:val="center"/>
          </w:tcPr>
          <w:p w14:paraId="007D01DC">
            <w:pPr>
              <w:pStyle w:val="49"/>
              <w:keepNext w:val="0"/>
              <w:keepLines w:val="0"/>
              <w:pageBreakBefore w:val="0"/>
              <w:widowControl w:val="0"/>
              <w:kinsoku/>
              <w:overflowPunct/>
              <w:topLinePunct w:val="0"/>
              <w:autoSpaceDE/>
              <w:autoSpaceDN/>
              <w:bidi w:val="0"/>
              <w:adjustRightInd/>
              <w:snapToGrid w:val="0"/>
              <w:textAlignment w:val="auto"/>
              <w:rPr>
                <w:rFonts w:hint="default" w:hAnsi="宋体" w:eastAsia="宋体" w:cs="宋体"/>
                <w:color w:val="000000"/>
                <w:kern w:val="21"/>
                <w:szCs w:val="21"/>
                <w:lang w:val="en-US" w:eastAsia="zh-CN"/>
              </w:rPr>
            </w:pPr>
            <w:r>
              <w:rPr>
                <w:rFonts w:hint="eastAsia" w:hAnsi="宋体" w:cs="宋体"/>
                <w:color w:val="000000"/>
                <w:kern w:val="21"/>
                <w:szCs w:val="21"/>
                <w:lang w:val="en-US" w:eastAsia="zh-CN"/>
              </w:rPr>
              <w:t>化粪池污泥</w:t>
            </w:r>
          </w:p>
        </w:tc>
        <w:tc>
          <w:tcPr>
            <w:tcW w:w="569" w:type="pct"/>
            <w:vAlign w:val="center"/>
          </w:tcPr>
          <w:p w14:paraId="4C6FA827">
            <w:pPr>
              <w:pStyle w:val="49"/>
              <w:keepNext w:val="0"/>
              <w:keepLines w:val="0"/>
              <w:pageBreakBefore w:val="0"/>
              <w:widowControl w:val="0"/>
              <w:kinsoku/>
              <w:overflowPunct/>
              <w:topLinePunct w:val="0"/>
              <w:autoSpaceDE/>
              <w:autoSpaceDN/>
              <w:bidi w:val="0"/>
              <w:adjustRightInd/>
              <w:snapToGrid w:val="0"/>
              <w:textAlignment w:val="auto"/>
              <w:rPr>
                <w:rFonts w:hAnsi="宋体" w:cs="宋体"/>
                <w:color w:val="000000"/>
                <w:kern w:val="21"/>
                <w:szCs w:val="21"/>
              </w:rPr>
            </w:pPr>
            <w:r>
              <w:rPr>
                <w:rFonts w:hint="eastAsia" w:hAnsi="宋体" w:cs="宋体"/>
                <w:color w:val="000000"/>
                <w:kern w:val="21"/>
                <w:szCs w:val="21"/>
              </w:rPr>
              <w:t>/</w:t>
            </w:r>
          </w:p>
        </w:tc>
        <w:tc>
          <w:tcPr>
            <w:tcW w:w="442" w:type="pct"/>
            <w:vAlign w:val="center"/>
          </w:tcPr>
          <w:p w14:paraId="1B5885B7">
            <w:pPr>
              <w:pStyle w:val="49"/>
              <w:keepNext w:val="0"/>
              <w:keepLines w:val="0"/>
              <w:pageBreakBefore w:val="0"/>
              <w:widowControl w:val="0"/>
              <w:kinsoku/>
              <w:overflowPunct/>
              <w:topLinePunct w:val="0"/>
              <w:autoSpaceDE/>
              <w:autoSpaceDN/>
              <w:bidi w:val="0"/>
              <w:adjustRightInd/>
              <w:snapToGrid w:val="0"/>
              <w:textAlignment w:val="auto"/>
              <w:rPr>
                <w:rFonts w:hAnsi="宋体" w:cs="宋体"/>
                <w:color w:val="000000"/>
                <w:kern w:val="21"/>
                <w:szCs w:val="21"/>
              </w:rPr>
            </w:pPr>
            <w:r>
              <w:rPr>
                <w:rFonts w:hint="eastAsia" w:hAnsi="宋体" w:cs="宋体"/>
                <w:color w:val="000000"/>
                <w:kern w:val="21"/>
                <w:szCs w:val="21"/>
              </w:rPr>
              <w:t>/</w:t>
            </w:r>
          </w:p>
        </w:tc>
        <w:tc>
          <w:tcPr>
            <w:tcW w:w="616" w:type="pct"/>
            <w:vAlign w:val="center"/>
          </w:tcPr>
          <w:p w14:paraId="3CDA2C75">
            <w:pPr>
              <w:pStyle w:val="49"/>
              <w:keepNext w:val="0"/>
              <w:keepLines w:val="0"/>
              <w:pageBreakBefore w:val="0"/>
              <w:widowControl w:val="0"/>
              <w:kinsoku/>
              <w:overflowPunct/>
              <w:topLinePunct w:val="0"/>
              <w:autoSpaceDE/>
              <w:autoSpaceDN/>
              <w:bidi w:val="0"/>
              <w:adjustRightInd/>
              <w:snapToGrid w:val="0"/>
              <w:textAlignment w:val="auto"/>
              <w:rPr>
                <w:rFonts w:hAnsi="宋体" w:cs="宋体"/>
                <w:color w:val="000000"/>
                <w:kern w:val="21"/>
                <w:szCs w:val="21"/>
              </w:rPr>
            </w:pPr>
            <w:r>
              <w:rPr>
                <w:rFonts w:hint="eastAsia" w:hAnsi="宋体" w:cs="宋体"/>
                <w:color w:val="000000"/>
                <w:kern w:val="21"/>
                <w:szCs w:val="21"/>
              </w:rPr>
              <w:t>/</w:t>
            </w:r>
          </w:p>
        </w:tc>
        <w:tc>
          <w:tcPr>
            <w:tcW w:w="565" w:type="pct"/>
            <w:vAlign w:val="center"/>
          </w:tcPr>
          <w:p w14:paraId="4D0E8D09">
            <w:pPr>
              <w:pStyle w:val="49"/>
              <w:keepNext w:val="0"/>
              <w:keepLines w:val="0"/>
              <w:pageBreakBefore w:val="0"/>
              <w:widowControl w:val="0"/>
              <w:kinsoku/>
              <w:overflowPunct/>
              <w:topLinePunct w:val="0"/>
              <w:autoSpaceDE/>
              <w:autoSpaceDN/>
              <w:bidi w:val="0"/>
              <w:adjustRightInd/>
              <w:snapToGrid w:val="0"/>
              <w:textAlignment w:val="auto"/>
              <w:rPr>
                <w:rFonts w:hint="default" w:hAnsi="宋体" w:eastAsia="宋体" w:cs="宋体"/>
                <w:color w:val="000000"/>
                <w:kern w:val="21"/>
                <w:szCs w:val="21"/>
                <w:lang w:val="en-US" w:eastAsia="zh-CN"/>
              </w:rPr>
            </w:pPr>
            <w:r>
              <w:rPr>
                <w:rFonts w:hint="eastAsia" w:hAnsi="宋体" w:cs="宋体"/>
                <w:color w:val="000000"/>
                <w:kern w:val="21"/>
                <w:szCs w:val="21"/>
                <w:lang w:val="en-US" w:eastAsia="zh-CN"/>
              </w:rPr>
              <w:t>0.4</w:t>
            </w:r>
            <w:r>
              <w:rPr>
                <w:color w:val="000000"/>
                <w:szCs w:val="21"/>
              </w:rPr>
              <w:t>t/a</w:t>
            </w:r>
          </w:p>
        </w:tc>
        <w:tc>
          <w:tcPr>
            <w:tcW w:w="638" w:type="pct"/>
            <w:vAlign w:val="center"/>
          </w:tcPr>
          <w:p w14:paraId="0800E4C9">
            <w:pPr>
              <w:pStyle w:val="49"/>
              <w:keepNext w:val="0"/>
              <w:keepLines w:val="0"/>
              <w:pageBreakBefore w:val="0"/>
              <w:widowControl w:val="0"/>
              <w:kinsoku/>
              <w:overflowPunct/>
              <w:topLinePunct w:val="0"/>
              <w:autoSpaceDE/>
              <w:autoSpaceDN/>
              <w:bidi w:val="0"/>
              <w:adjustRightInd/>
              <w:snapToGrid w:val="0"/>
              <w:textAlignment w:val="auto"/>
              <w:rPr>
                <w:rFonts w:hAnsi="宋体" w:cs="宋体"/>
                <w:color w:val="000000"/>
                <w:kern w:val="21"/>
                <w:szCs w:val="21"/>
              </w:rPr>
            </w:pPr>
            <w:r>
              <w:rPr>
                <w:rFonts w:hint="eastAsia" w:hAnsi="宋体" w:cs="宋体"/>
                <w:color w:val="000000"/>
                <w:kern w:val="21"/>
                <w:szCs w:val="21"/>
              </w:rPr>
              <w:t>/</w:t>
            </w:r>
          </w:p>
        </w:tc>
        <w:tc>
          <w:tcPr>
            <w:tcW w:w="709" w:type="pct"/>
            <w:vAlign w:val="center"/>
          </w:tcPr>
          <w:p w14:paraId="2906563D">
            <w:pPr>
              <w:pStyle w:val="49"/>
              <w:keepNext w:val="0"/>
              <w:keepLines w:val="0"/>
              <w:pageBreakBefore w:val="0"/>
              <w:widowControl w:val="0"/>
              <w:kinsoku/>
              <w:overflowPunct/>
              <w:topLinePunct w:val="0"/>
              <w:autoSpaceDE/>
              <w:autoSpaceDN/>
              <w:bidi w:val="0"/>
              <w:adjustRightInd/>
              <w:snapToGrid w:val="0"/>
              <w:textAlignment w:val="auto"/>
              <w:rPr>
                <w:rFonts w:hAnsi="宋体" w:cs="宋体"/>
                <w:color w:val="000000"/>
                <w:kern w:val="21"/>
                <w:szCs w:val="21"/>
              </w:rPr>
            </w:pPr>
            <w:r>
              <w:rPr>
                <w:rFonts w:hint="eastAsia" w:hAnsi="宋体" w:cs="宋体"/>
                <w:color w:val="000000"/>
                <w:kern w:val="21"/>
                <w:szCs w:val="21"/>
                <w:lang w:val="en-US" w:eastAsia="zh-CN"/>
              </w:rPr>
              <w:t>0.4</w:t>
            </w:r>
            <w:r>
              <w:rPr>
                <w:color w:val="000000"/>
                <w:szCs w:val="21"/>
              </w:rPr>
              <w:t>t/a</w:t>
            </w:r>
          </w:p>
        </w:tc>
        <w:tc>
          <w:tcPr>
            <w:tcW w:w="299" w:type="pct"/>
            <w:vAlign w:val="center"/>
          </w:tcPr>
          <w:p w14:paraId="2ADC3F83">
            <w:pPr>
              <w:pStyle w:val="49"/>
              <w:keepNext w:val="0"/>
              <w:keepLines w:val="0"/>
              <w:pageBreakBefore w:val="0"/>
              <w:widowControl w:val="0"/>
              <w:kinsoku/>
              <w:overflowPunct/>
              <w:topLinePunct w:val="0"/>
              <w:autoSpaceDE/>
              <w:autoSpaceDN/>
              <w:bidi w:val="0"/>
              <w:adjustRightInd/>
              <w:snapToGrid w:val="0"/>
              <w:textAlignment w:val="auto"/>
              <w:rPr>
                <w:rFonts w:hAnsi="宋体" w:cs="宋体"/>
                <w:color w:val="000000"/>
                <w:kern w:val="21"/>
                <w:szCs w:val="21"/>
              </w:rPr>
            </w:pPr>
            <w:r>
              <w:rPr>
                <w:rFonts w:hint="eastAsia" w:hAnsi="宋体" w:cs="宋体"/>
                <w:color w:val="000000"/>
                <w:kern w:val="21"/>
                <w:szCs w:val="21"/>
              </w:rPr>
              <w:t>/</w:t>
            </w:r>
          </w:p>
        </w:tc>
      </w:tr>
      <w:tr w14:paraId="338555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75" w:type="pct"/>
            <w:vMerge w:val="restart"/>
            <w:vAlign w:val="center"/>
          </w:tcPr>
          <w:p w14:paraId="6BDFCA36">
            <w:pPr>
              <w:pStyle w:val="49"/>
              <w:keepNext w:val="0"/>
              <w:keepLines w:val="0"/>
              <w:pageBreakBefore w:val="0"/>
              <w:widowControl w:val="0"/>
              <w:kinsoku/>
              <w:overflowPunct/>
              <w:topLinePunct w:val="0"/>
              <w:autoSpaceDE/>
              <w:autoSpaceDN/>
              <w:bidi w:val="0"/>
              <w:adjustRightInd/>
              <w:snapToGrid w:val="0"/>
              <w:textAlignment w:val="auto"/>
              <w:rPr>
                <w:rFonts w:hAnsi="宋体" w:cs="宋体"/>
                <w:color w:val="000000"/>
                <w:kern w:val="21"/>
                <w:szCs w:val="21"/>
              </w:rPr>
            </w:pPr>
            <w:r>
              <w:rPr>
                <w:rFonts w:hint="eastAsia"/>
              </w:rPr>
              <w:t>危险废物</w:t>
            </w:r>
          </w:p>
        </w:tc>
        <w:tc>
          <w:tcPr>
            <w:tcW w:w="582" w:type="pct"/>
            <w:vAlign w:val="center"/>
          </w:tcPr>
          <w:p w14:paraId="30453C0E">
            <w:pPr>
              <w:pStyle w:val="49"/>
              <w:keepNext w:val="0"/>
              <w:keepLines w:val="0"/>
              <w:pageBreakBefore w:val="0"/>
              <w:widowControl w:val="0"/>
              <w:kinsoku/>
              <w:overflowPunct/>
              <w:topLinePunct w:val="0"/>
              <w:autoSpaceDE/>
              <w:autoSpaceDN/>
              <w:bidi w:val="0"/>
              <w:adjustRightInd/>
              <w:snapToGrid w:val="0"/>
              <w:textAlignment w:val="auto"/>
            </w:pPr>
            <w:r>
              <w:rPr>
                <w:rFonts w:hint="eastAsia"/>
              </w:rPr>
              <w:t>清罐废液</w:t>
            </w:r>
          </w:p>
        </w:tc>
        <w:tc>
          <w:tcPr>
            <w:tcW w:w="569" w:type="pct"/>
            <w:vAlign w:val="center"/>
          </w:tcPr>
          <w:p w14:paraId="6D4750F3">
            <w:pPr>
              <w:pStyle w:val="49"/>
              <w:keepNext w:val="0"/>
              <w:keepLines w:val="0"/>
              <w:pageBreakBefore w:val="0"/>
              <w:widowControl w:val="0"/>
              <w:kinsoku/>
              <w:overflowPunct/>
              <w:topLinePunct w:val="0"/>
              <w:autoSpaceDE/>
              <w:autoSpaceDN/>
              <w:bidi w:val="0"/>
              <w:adjustRightInd/>
              <w:snapToGrid w:val="0"/>
              <w:textAlignment w:val="auto"/>
              <w:rPr>
                <w:rFonts w:hAnsi="宋体" w:cs="宋体"/>
                <w:color w:val="000000"/>
                <w:kern w:val="21"/>
                <w:szCs w:val="21"/>
              </w:rPr>
            </w:pPr>
            <w:r>
              <w:rPr>
                <w:rFonts w:hint="eastAsia" w:hAnsi="宋体" w:cs="宋体"/>
                <w:color w:val="000000"/>
                <w:kern w:val="21"/>
                <w:szCs w:val="21"/>
              </w:rPr>
              <w:t>/</w:t>
            </w:r>
          </w:p>
        </w:tc>
        <w:tc>
          <w:tcPr>
            <w:tcW w:w="442" w:type="pct"/>
            <w:vAlign w:val="center"/>
          </w:tcPr>
          <w:p w14:paraId="0CC17E34">
            <w:pPr>
              <w:pStyle w:val="49"/>
              <w:keepNext w:val="0"/>
              <w:keepLines w:val="0"/>
              <w:pageBreakBefore w:val="0"/>
              <w:widowControl w:val="0"/>
              <w:kinsoku/>
              <w:overflowPunct/>
              <w:topLinePunct w:val="0"/>
              <w:autoSpaceDE/>
              <w:autoSpaceDN/>
              <w:bidi w:val="0"/>
              <w:adjustRightInd/>
              <w:snapToGrid w:val="0"/>
              <w:textAlignment w:val="auto"/>
              <w:rPr>
                <w:rFonts w:hAnsi="宋体" w:cs="宋体"/>
                <w:color w:val="000000"/>
                <w:kern w:val="21"/>
                <w:szCs w:val="21"/>
              </w:rPr>
            </w:pPr>
            <w:r>
              <w:rPr>
                <w:rFonts w:hint="eastAsia" w:hAnsi="宋体" w:cs="宋体"/>
                <w:color w:val="000000"/>
                <w:kern w:val="21"/>
                <w:szCs w:val="21"/>
              </w:rPr>
              <w:t>/</w:t>
            </w:r>
          </w:p>
        </w:tc>
        <w:tc>
          <w:tcPr>
            <w:tcW w:w="616" w:type="pct"/>
            <w:vAlign w:val="center"/>
          </w:tcPr>
          <w:p w14:paraId="5878106A">
            <w:pPr>
              <w:pStyle w:val="49"/>
              <w:keepNext w:val="0"/>
              <w:keepLines w:val="0"/>
              <w:pageBreakBefore w:val="0"/>
              <w:widowControl w:val="0"/>
              <w:kinsoku/>
              <w:overflowPunct/>
              <w:topLinePunct w:val="0"/>
              <w:autoSpaceDE/>
              <w:autoSpaceDN/>
              <w:bidi w:val="0"/>
              <w:adjustRightInd/>
              <w:snapToGrid w:val="0"/>
              <w:textAlignment w:val="auto"/>
              <w:rPr>
                <w:rFonts w:hAnsi="宋体" w:cs="宋体"/>
                <w:color w:val="000000"/>
                <w:kern w:val="21"/>
                <w:szCs w:val="21"/>
              </w:rPr>
            </w:pPr>
            <w:r>
              <w:rPr>
                <w:rFonts w:hint="eastAsia" w:hAnsi="宋体" w:cs="宋体"/>
                <w:color w:val="000000"/>
                <w:kern w:val="21"/>
                <w:szCs w:val="21"/>
              </w:rPr>
              <w:t>/</w:t>
            </w:r>
          </w:p>
        </w:tc>
        <w:tc>
          <w:tcPr>
            <w:tcW w:w="565" w:type="pct"/>
            <w:vAlign w:val="center"/>
          </w:tcPr>
          <w:p w14:paraId="4FB64AEB">
            <w:pPr>
              <w:pStyle w:val="49"/>
              <w:keepNext w:val="0"/>
              <w:keepLines w:val="0"/>
              <w:pageBreakBefore w:val="0"/>
              <w:widowControl w:val="0"/>
              <w:kinsoku/>
              <w:overflowPunct/>
              <w:topLinePunct w:val="0"/>
              <w:autoSpaceDE/>
              <w:autoSpaceDN/>
              <w:bidi w:val="0"/>
              <w:adjustRightInd/>
              <w:snapToGrid w:val="0"/>
              <w:textAlignment w:val="auto"/>
            </w:pPr>
            <w:r>
              <w:rPr>
                <w:rFonts w:hint="eastAsia"/>
                <w:color w:val="000000"/>
                <w:szCs w:val="21"/>
              </w:rPr>
              <w:t>0.</w:t>
            </w:r>
            <w:r>
              <w:rPr>
                <w:rFonts w:hint="eastAsia"/>
                <w:color w:val="000000"/>
                <w:szCs w:val="21"/>
                <w:lang w:val="en-US" w:eastAsia="zh-CN"/>
              </w:rPr>
              <w:t>8</w:t>
            </w:r>
            <w:r>
              <w:rPr>
                <w:color w:val="000000"/>
                <w:szCs w:val="21"/>
              </w:rPr>
              <w:t>t/a</w:t>
            </w:r>
          </w:p>
        </w:tc>
        <w:tc>
          <w:tcPr>
            <w:tcW w:w="638" w:type="pct"/>
            <w:vAlign w:val="center"/>
          </w:tcPr>
          <w:p w14:paraId="5901D486">
            <w:pPr>
              <w:pStyle w:val="49"/>
              <w:keepNext w:val="0"/>
              <w:keepLines w:val="0"/>
              <w:pageBreakBefore w:val="0"/>
              <w:widowControl w:val="0"/>
              <w:kinsoku/>
              <w:overflowPunct/>
              <w:topLinePunct w:val="0"/>
              <w:autoSpaceDE/>
              <w:autoSpaceDN/>
              <w:bidi w:val="0"/>
              <w:adjustRightInd/>
              <w:snapToGrid w:val="0"/>
              <w:textAlignment w:val="auto"/>
              <w:rPr>
                <w:rFonts w:hAnsi="宋体" w:cs="宋体"/>
                <w:color w:val="000000"/>
                <w:kern w:val="21"/>
                <w:szCs w:val="21"/>
              </w:rPr>
            </w:pPr>
            <w:r>
              <w:rPr>
                <w:rFonts w:hint="eastAsia" w:hAnsi="宋体" w:cs="宋体"/>
                <w:color w:val="000000"/>
                <w:kern w:val="21"/>
                <w:szCs w:val="21"/>
              </w:rPr>
              <w:t>/</w:t>
            </w:r>
          </w:p>
        </w:tc>
        <w:tc>
          <w:tcPr>
            <w:tcW w:w="709" w:type="pct"/>
            <w:vAlign w:val="center"/>
          </w:tcPr>
          <w:p w14:paraId="535A6411">
            <w:pPr>
              <w:pStyle w:val="49"/>
              <w:keepNext w:val="0"/>
              <w:keepLines w:val="0"/>
              <w:pageBreakBefore w:val="0"/>
              <w:widowControl w:val="0"/>
              <w:kinsoku/>
              <w:overflowPunct/>
              <w:topLinePunct w:val="0"/>
              <w:autoSpaceDE/>
              <w:autoSpaceDN/>
              <w:bidi w:val="0"/>
              <w:adjustRightInd/>
              <w:snapToGrid w:val="0"/>
              <w:textAlignment w:val="auto"/>
            </w:pPr>
            <w:r>
              <w:rPr>
                <w:rFonts w:hint="eastAsia"/>
                <w:color w:val="000000"/>
                <w:szCs w:val="21"/>
              </w:rPr>
              <w:t>0.</w:t>
            </w:r>
            <w:r>
              <w:rPr>
                <w:rFonts w:hint="eastAsia"/>
                <w:color w:val="000000"/>
                <w:szCs w:val="21"/>
                <w:lang w:val="en-US" w:eastAsia="zh-CN"/>
              </w:rPr>
              <w:t>8</w:t>
            </w:r>
            <w:r>
              <w:rPr>
                <w:color w:val="000000"/>
                <w:szCs w:val="21"/>
              </w:rPr>
              <w:t>t/a</w:t>
            </w:r>
          </w:p>
        </w:tc>
        <w:tc>
          <w:tcPr>
            <w:tcW w:w="299" w:type="pct"/>
            <w:vAlign w:val="center"/>
          </w:tcPr>
          <w:p w14:paraId="09F94D85">
            <w:pPr>
              <w:pStyle w:val="49"/>
              <w:keepNext w:val="0"/>
              <w:keepLines w:val="0"/>
              <w:pageBreakBefore w:val="0"/>
              <w:widowControl w:val="0"/>
              <w:kinsoku/>
              <w:overflowPunct/>
              <w:topLinePunct w:val="0"/>
              <w:autoSpaceDE/>
              <w:autoSpaceDN/>
              <w:bidi w:val="0"/>
              <w:adjustRightInd/>
              <w:snapToGrid w:val="0"/>
              <w:textAlignment w:val="auto"/>
              <w:rPr>
                <w:rFonts w:hAnsi="宋体" w:cs="宋体"/>
                <w:color w:val="000000"/>
                <w:kern w:val="21"/>
                <w:szCs w:val="21"/>
              </w:rPr>
            </w:pPr>
            <w:r>
              <w:rPr>
                <w:rFonts w:hint="eastAsia" w:hAnsi="宋体" w:cs="宋体"/>
                <w:color w:val="000000"/>
                <w:kern w:val="21"/>
                <w:szCs w:val="21"/>
              </w:rPr>
              <w:t>/</w:t>
            </w:r>
          </w:p>
        </w:tc>
      </w:tr>
      <w:tr w14:paraId="39A5AC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75" w:type="pct"/>
            <w:vMerge w:val="continue"/>
            <w:vAlign w:val="center"/>
          </w:tcPr>
          <w:p w14:paraId="4BE7609A">
            <w:pPr>
              <w:pStyle w:val="49"/>
              <w:keepNext w:val="0"/>
              <w:keepLines w:val="0"/>
              <w:pageBreakBefore w:val="0"/>
              <w:widowControl w:val="0"/>
              <w:kinsoku/>
              <w:overflowPunct/>
              <w:topLinePunct w:val="0"/>
              <w:autoSpaceDE/>
              <w:autoSpaceDN/>
              <w:bidi w:val="0"/>
              <w:adjustRightInd/>
              <w:snapToGrid w:val="0"/>
              <w:textAlignment w:val="auto"/>
              <w:rPr>
                <w:rFonts w:hAnsi="宋体" w:cs="宋体"/>
                <w:color w:val="000000"/>
                <w:kern w:val="21"/>
                <w:szCs w:val="21"/>
              </w:rPr>
            </w:pPr>
          </w:p>
        </w:tc>
        <w:tc>
          <w:tcPr>
            <w:tcW w:w="582" w:type="pct"/>
            <w:vAlign w:val="center"/>
          </w:tcPr>
          <w:p w14:paraId="0B600DC7">
            <w:pPr>
              <w:pStyle w:val="49"/>
              <w:keepNext w:val="0"/>
              <w:keepLines w:val="0"/>
              <w:pageBreakBefore w:val="0"/>
              <w:widowControl w:val="0"/>
              <w:kinsoku/>
              <w:overflowPunct/>
              <w:topLinePunct w:val="0"/>
              <w:autoSpaceDE/>
              <w:autoSpaceDN/>
              <w:bidi w:val="0"/>
              <w:adjustRightInd/>
              <w:snapToGrid w:val="0"/>
              <w:textAlignment w:val="auto"/>
              <w:rPr>
                <w:rFonts w:hint="default" w:ascii="宋体" w:hAnsi="宋体" w:eastAsia="宋体"/>
                <w:lang w:val="en-US" w:eastAsia="zh-CN"/>
              </w:rPr>
            </w:pPr>
            <w:r>
              <w:rPr>
                <w:rFonts w:hint="eastAsia" w:ascii="宋体" w:hAnsi="宋体"/>
                <w:lang w:val="en-US" w:eastAsia="zh-CN"/>
              </w:rPr>
              <w:t>含油污泥</w:t>
            </w:r>
          </w:p>
        </w:tc>
        <w:tc>
          <w:tcPr>
            <w:tcW w:w="569" w:type="pct"/>
            <w:vAlign w:val="center"/>
          </w:tcPr>
          <w:p w14:paraId="4828951F">
            <w:pPr>
              <w:pStyle w:val="49"/>
              <w:keepNext w:val="0"/>
              <w:keepLines w:val="0"/>
              <w:pageBreakBefore w:val="0"/>
              <w:widowControl w:val="0"/>
              <w:kinsoku/>
              <w:overflowPunct/>
              <w:topLinePunct w:val="0"/>
              <w:autoSpaceDE/>
              <w:autoSpaceDN/>
              <w:bidi w:val="0"/>
              <w:adjustRightInd/>
              <w:snapToGrid w:val="0"/>
              <w:textAlignment w:val="auto"/>
              <w:rPr>
                <w:rFonts w:hAnsi="宋体" w:cs="宋体"/>
                <w:color w:val="000000"/>
                <w:kern w:val="21"/>
                <w:szCs w:val="21"/>
              </w:rPr>
            </w:pPr>
            <w:r>
              <w:rPr>
                <w:rFonts w:hint="eastAsia" w:hAnsi="宋体" w:cs="宋体"/>
                <w:color w:val="000000"/>
                <w:kern w:val="21"/>
                <w:szCs w:val="21"/>
              </w:rPr>
              <w:t>/</w:t>
            </w:r>
          </w:p>
        </w:tc>
        <w:tc>
          <w:tcPr>
            <w:tcW w:w="442" w:type="pct"/>
            <w:vAlign w:val="center"/>
          </w:tcPr>
          <w:p w14:paraId="4FA5DFC4">
            <w:pPr>
              <w:pStyle w:val="49"/>
              <w:keepNext w:val="0"/>
              <w:keepLines w:val="0"/>
              <w:pageBreakBefore w:val="0"/>
              <w:widowControl w:val="0"/>
              <w:kinsoku/>
              <w:overflowPunct/>
              <w:topLinePunct w:val="0"/>
              <w:autoSpaceDE/>
              <w:autoSpaceDN/>
              <w:bidi w:val="0"/>
              <w:adjustRightInd/>
              <w:snapToGrid w:val="0"/>
              <w:textAlignment w:val="auto"/>
              <w:rPr>
                <w:rFonts w:hAnsi="宋体" w:cs="宋体"/>
                <w:color w:val="000000"/>
                <w:kern w:val="21"/>
                <w:szCs w:val="21"/>
              </w:rPr>
            </w:pPr>
            <w:r>
              <w:rPr>
                <w:rFonts w:hint="eastAsia" w:hAnsi="宋体" w:cs="宋体"/>
                <w:color w:val="000000"/>
                <w:kern w:val="21"/>
                <w:szCs w:val="21"/>
              </w:rPr>
              <w:t>/</w:t>
            </w:r>
          </w:p>
        </w:tc>
        <w:tc>
          <w:tcPr>
            <w:tcW w:w="616" w:type="pct"/>
            <w:vAlign w:val="center"/>
          </w:tcPr>
          <w:p w14:paraId="753EF9E5">
            <w:pPr>
              <w:pStyle w:val="49"/>
              <w:keepNext w:val="0"/>
              <w:keepLines w:val="0"/>
              <w:pageBreakBefore w:val="0"/>
              <w:widowControl w:val="0"/>
              <w:kinsoku/>
              <w:overflowPunct/>
              <w:topLinePunct w:val="0"/>
              <w:autoSpaceDE/>
              <w:autoSpaceDN/>
              <w:bidi w:val="0"/>
              <w:adjustRightInd/>
              <w:snapToGrid w:val="0"/>
              <w:textAlignment w:val="auto"/>
              <w:rPr>
                <w:rFonts w:hAnsi="宋体" w:cs="宋体"/>
                <w:color w:val="000000"/>
                <w:kern w:val="21"/>
                <w:szCs w:val="21"/>
              </w:rPr>
            </w:pPr>
            <w:r>
              <w:rPr>
                <w:rFonts w:hint="eastAsia" w:hAnsi="宋体" w:cs="宋体"/>
                <w:color w:val="000000"/>
                <w:kern w:val="21"/>
                <w:szCs w:val="21"/>
              </w:rPr>
              <w:t>/</w:t>
            </w:r>
          </w:p>
        </w:tc>
        <w:tc>
          <w:tcPr>
            <w:tcW w:w="565" w:type="pct"/>
            <w:vAlign w:val="center"/>
          </w:tcPr>
          <w:p w14:paraId="7A992D09">
            <w:pPr>
              <w:pStyle w:val="49"/>
              <w:keepNext w:val="0"/>
              <w:keepLines w:val="0"/>
              <w:pageBreakBefore w:val="0"/>
              <w:widowControl w:val="0"/>
              <w:kinsoku/>
              <w:overflowPunct/>
              <w:topLinePunct w:val="0"/>
              <w:autoSpaceDE/>
              <w:autoSpaceDN/>
              <w:bidi w:val="0"/>
              <w:adjustRightInd/>
              <w:snapToGrid w:val="0"/>
              <w:textAlignment w:val="auto"/>
            </w:pPr>
            <w:r>
              <w:rPr>
                <w:rFonts w:hint="eastAsia"/>
                <w:color w:val="000000"/>
                <w:szCs w:val="21"/>
                <w:lang w:val="en-US" w:eastAsia="zh-CN"/>
              </w:rPr>
              <w:t>1.0</w:t>
            </w:r>
            <w:r>
              <w:rPr>
                <w:color w:val="000000"/>
                <w:szCs w:val="21"/>
              </w:rPr>
              <w:t>/a</w:t>
            </w:r>
          </w:p>
        </w:tc>
        <w:tc>
          <w:tcPr>
            <w:tcW w:w="638" w:type="pct"/>
            <w:vAlign w:val="center"/>
          </w:tcPr>
          <w:p w14:paraId="7E1473E9">
            <w:pPr>
              <w:pStyle w:val="49"/>
              <w:keepNext w:val="0"/>
              <w:keepLines w:val="0"/>
              <w:pageBreakBefore w:val="0"/>
              <w:widowControl w:val="0"/>
              <w:kinsoku/>
              <w:overflowPunct/>
              <w:topLinePunct w:val="0"/>
              <w:autoSpaceDE/>
              <w:autoSpaceDN/>
              <w:bidi w:val="0"/>
              <w:adjustRightInd/>
              <w:snapToGrid w:val="0"/>
              <w:textAlignment w:val="auto"/>
              <w:rPr>
                <w:rFonts w:hAnsi="宋体" w:cs="宋体"/>
                <w:color w:val="000000"/>
                <w:kern w:val="21"/>
                <w:szCs w:val="21"/>
              </w:rPr>
            </w:pPr>
            <w:r>
              <w:rPr>
                <w:rFonts w:hint="eastAsia" w:hAnsi="宋体" w:cs="宋体"/>
                <w:color w:val="000000"/>
                <w:kern w:val="21"/>
                <w:szCs w:val="21"/>
              </w:rPr>
              <w:t>/</w:t>
            </w:r>
          </w:p>
        </w:tc>
        <w:tc>
          <w:tcPr>
            <w:tcW w:w="709" w:type="pct"/>
            <w:vAlign w:val="center"/>
          </w:tcPr>
          <w:p w14:paraId="3F2335A3">
            <w:pPr>
              <w:pStyle w:val="49"/>
              <w:keepNext w:val="0"/>
              <w:keepLines w:val="0"/>
              <w:pageBreakBefore w:val="0"/>
              <w:widowControl w:val="0"/>
              <w:kinsoku/>
              <w:overflowPunct/>
              <w:topLinePunct w:val="0"/>
              <w:autoSpaceDE/>
              <w:autoSpaceDN/>
              <w:bidi w:val="0"/>
              <w:adjustRightInd/>
              <w:snapToGrid w:val="0"/>
              <w:textAlignment w:val="auto"/>
            </w:pPr>
            <w:r>
              <w:rPr>
                <w:rFonts w:hint="eastAsia"/>
                <w:color w:val="000000"/>
                <w:szCs w:val="21"/>
                <w:lang w:val="en-US" w:eastAsia="zh-CN"/>
              </w:rPr>
              <w:t>1.0</w:t>
            </w:r>
            <w:r>
              <w:rPr>
                <w:color w:val="000000"/>
                <w:szCs w:val="21"/>
              </w:rPr>
              <w:t>t/a</w:t>
            </w:r>
          </w:p>
        </w:tc>
        <w:tc>
          <w:tcPr>
            <w:tcW w:w="299" w:type="pct"/>
            <w:vAlign w:val="center"/>
          </w:tcPr>
          <w:p w14:paraId="199E1016">
            <w:pPr>
              <w:pStyle w:val="49"/>
              <w:keepNext w:val="0"/>
              <w:keepLines w:val="0"/>
              <w:pageBreakBefore w:val="0"/>
              <w:widowControl w:val="0"/>
              <w:kinsoku/>
              <w:overflowPunct/>
              <w:topLinePunct w:val="0"/>
              <w:autoSpaceDE/>
              <w:autoSpaceDN/>
              <w:bidi w:val="0"/>
              <w:adjustRightInd/>
              <w:snapToGrid w:val="0"/>
              <w:textAlignment w:val="auto"/>
              <w:rPr>
                <w:rFonts w:hAnsi="宋体" w:cs="宋体"/>
                <w:color w:val="000000"/>
                <w:kern w:val="21"/>
                <w:szCs w:val="21"/>
              </w:rPr>
            </w:pPr>
            <w:r>
              <w:rPr>
                <w:rFonts w:hint="eastAsia" w:hAnsi="宋体" w:cs="宋体"/>
                <w:color w:val="000000"/>
                <w:kern w:val="21"/>
                <w:szCs w:val="21"/>
              </w:rPr>
              <w:t>/</w:t>
            </w:r>
          </w:p>
        </w:tc>
      </w:tr>
      <w:tr w14:paraId="0FA487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575" w:type="pct"/>
            <w:vMerge w:val="continue"/>
            <w:vAlign w:val="center"/>
          </w:tcPr>
          <w:p w14:paraId="1E31C412">
            <w:pPr>
              <w:pStyle w:val="49"/>
              <w:keepNext w:val="0"/>
              <w:keepLines w:val="0"/>
              <w:pageBreakBefore w:val="0"/>
              <w:widowControl w:val="0"/>
              <w:kinsoku/>
              <w:overflowPunct/>
              <w:topLinePunct w:val="0"/>
              <w:autoSpaceDE/>
              <w:autoSpaceDN/>
              <w:bidi w:val="0"/>
              <w:adjustRightInd/>
              <w:snapToGrid w:val="0"/>
              <w:textAlignment w:val="auto"/>
              <w:rPr>
                <w:rFonts w:hAnsi="宋体" w:cs="宋体"/>
                <w:color w:val="000000"/>
                <w:kern w:val="21"/>
                <w:szCs w:val="21"/>
              </w:rPr>
            </w:pPr>
          </w:p>
        </w:tc>
        <w:tc>
          <w:tcPr>
            <w:tcW w:w="582" w:type="pct"/>
            <w:vAlign w:val="center"/>
          </w:tcPr>
          <w:p w14:paraId="1734DDB5">
            <w:pPr>
              <w:pStyle w:val="49"/>
              <w:keepNext w:val="0"/>
              <w:keepLines w:val="0"/>
              <w:pageBreakBefore w:val="0"/>
              <w:widowControl w:val="0"/>
              <w:kinsoku/>
              <w:overflowPunct/>
              <w:topLinePunct w:val="0"/>
              <w:autoSpaceDE/>
              <w:autoSpaceDN/>
              <w:bidi w:val="0"/>
              <w:adjustRightInd/>
              <w:snapToGrid w:val="0"/>
              <w:textAlignment w:val="auto"/>
              <w:rPr>
                <w:rFonts w:hint="eastAsia" w:ascii="宋体" w:hAnsi="宋体" w:eastAsia="宋体"/>
                <w:lang w:val="en-US" w:eastAsia="zh-CN"/>
              </w:rPr>
            </w:pPr>
            <w:r>
              <w:rPr>
                <w:rFonts w:hint="eastAsia" w:ascii="宋体" w:hAnsi="宋体"/>
              </w:rPr>
              <w:t>废</w:t>
            </w:r>
            <w:r>
              <w:rPr>
                <w:rFonts w:hint="eastAsia" w:ascii="宋体" w:hAnsi="宋体"/>
                <w:lang w:val="en-US" w:eastAsia="zh-CN"/>
              </w:rPr>
              <w:t>吸油毡</w:t>
            </w:r>
          </w:p>
        </w:tc>
        <w:tc>
          <w:tcPr>
            <w:tcW w:w="569" w:type="pct"/>
            <w:vAlign w:val="center"/>
          </w:tcPr>
          <w:p w14:paraId="74A8CCCB">
            <w:pPr>
              <w:pStyle w:val="49"/>
              <w:keepNext w:val="0"/>
              <w:keepLines w:val="0"/>
              <w:pageBreakBefore w:val="0"/>
              <w:widowControl w:val="0"/>
              <w:kinsoku/>
              <w:overflowPunct/>
              <w:topLinePunct w:val="0"/>
              <w:autoSpaceDE/>
              <w:autoSpaceDN/>
              <w:bidi w:val="0"/>
              <w:adjustRightInd/>
              <w:snapToGrid w:val="0"/>
              <w:textAlignment w:val="auto"/>
              <w:rPr>
                <w:rFonts w:hAnsi="宋体" w:cs="宋体"/>
                <w:color w:val="000000"/>
                <w:kern w:val="21"/>
                <w:szCs w:val="21"/>
              </w:rPr>
            </w:pPr>
            <w:r>
              <w:rPr>
                <w:rFonts w:hint="eastAsia" w:hAnsi="宋体" w:cs="宋体"/>
                <w:color w:val="000000"/>
                <w:kern w:val="21"/>
                <w:szCs w:val="21"/>
              </w:rPr>
              <w:t>/</w:t>
            </w:r>
          </w:p>
        </w:tc>
        <w:tc>
          <w:tcPr>
            <w:tcW w:w="442" w:type="pct"/>
            <w:vAlign w:val="center"/>
          </w:tcPr>
          <w:p w14:paraId="3B7B751A">
            <w:pPr>
              <w:pStyle w:val="49"/>
              <w:keepNext w:val="0"/>
              <w:keepLines w:val="0"/>
              <w:pageBreakBefore w:val="0"/>
              <w:widowControl w:val="0"/>
              <w:kinsoku/>
              <w:overflowPunct/>
              <w:topLinePunct w:val="0"/>
              <w:autoSpaceDE/>
              <w:autoSpaceDN/>
              <w:bidi w:val="0"/>
              <w:adjustRightInd/>
              <w:snapToGrid w:val="0"/>
              <w:textAlignment w:val="auto"/>
              <w:rPr>
                <w:rFonts w:hAnsi="宋体" w:cs="宋体"/>
                <w:color w:val="000000"/>
                <w:kern w:val="21"/>
                <w:szCs w:val="21"/>
              </w:rPr>
            </w:pPr>
            <w:r>
              <w:rPr>
                <w:rFonts w:hint="eastAsia" w:hAnsi="宋体" w:cs="宋体"/>
                <w:color w:val="000000"/>
                <w:kern w:val="21"/>
                <w:szCs w:val="21"/>
              </w:rPr>
              <w:t>/</w:t>
            </w:r>
          </w:p>
        </w:tc>
        <w:tc>
          <w:tcPr>
            <w:tcW w:w="616" w:type="pct"/>
            <w:vAlign w:val="center"/>
          </w:tcPr>
          <w:p w14:paraId="49A92745">
            <w:pPr>
              <w:pStyle w:val="49"/>
              <w:keepNext w:val="0"/>
              <w:keepLines w:val="0"/>
              <w:pageBreakBefore w:val="0"/>
              <w:widowControl w:val="0"/>
              <w:kinsoku/>
              <w:overflowPunct/>
              <w:topLinePunct w:val="0"/>
              <w:autoSpaceDE/>
              <w:autoSpaceDN/>
              <w:bidi w:val="0"/>
              <w:adjustRightInd/>
              <w:snapToGrid w:val="0"/>
              <w:textAlignment w:val="auto"/>
              <w:rPr>
                <w:rFonts w:hAnsi="宋体" w:cs="宋体"/>
                <w:color w:val="000000"/>
                <w:kern w:val="21"/>
                <w:szCs w:val="21"/>
              </w:rPr>
            </w:pPr>
            <w:r>
              <w:rPr>
                <w:rFonts w:hint="eastAsia" w:hAnsi="宋体" w:cs="宋体"/>
                <w:color w:val="000000"/>
                <w:kern w:val="21"/>
                <w:szCs w:val="21"/>
              </w:rPr>
              <w:t>/</w:t>
            </w:r>
          </w:p>
        </w:tc>
        <w:tc>
          <w:tcPr>
            <w:tcW w:w="565" w:type="pct"/>
            <w:vAlign w:val="center"/>
          </w:tcPr>
          <w:p w14:paraId="0FF2DF3E">
            <w:pPr>
              <w:pStyle w:val="49"/>
              <w:keepNext w:val="0"/>
              <w:keepLines w:val="0"/>
              <w:pageBreakBefore w:val="0"/>
              <w:widowControl w:val="0"/>
              <w:kinsoku/>
              <w:overflowPunct/>
              <w:topLinePunct w:val="0"/>
              <w:autoSpaceDE/>
              <w:autoSpaceDN/>
              <w:bidi w:val="0"/>
              <w:adjustRightInd/>
              <w:snapToGrid w:val="0"/>
              <w:textAlignment w:val="auto"/>
            </w:pPr>
            <w:r>
              <w:rPr>
                <w:rFonts w:hint="eastAsia"/>
                <w:color w:val="000000"/>
                <w:szCs w:val="21"/>
              </w:rPr>
              <w:t>0.</w:t>
            </w:r>
            <w:r>
              <w:rPr>
                <w:rFonts w:hint="eastAsia"/>
                <w:color w:val="000000"/>
                <w:szCs w:val="21"/>
                <w:lang w:val="en-US" w:eastAsia="zh-CN"/>
              </w:rPr>
              <w:t>2</w:t>
            </w:r>
            <w:r>
              <w:rPr>
                <w:color w:val="000000"/>
                <w:szCs w:val="21"/>
              </w:rPr>
              <w:t>t/a</w:t>
            </w:r>
          </w:p>
        </w:tc>
        <w:tc>
          <w:tcPr>
            <w:tcW w:w="638" w:type="pct"/>
            <w:vAlign w:val="center"/>
          </w:tcPr>
          <w:p w14:paraId="2806ABCE">
            <w:pPr>
              <w:pStyle w:val="49"/>
              <w:keepNext w:val="0"/>
              <w:keepLines w:val="0"/>
              <w:pageBreakBefore w:val="0"/>
              <w:widowControl w:val="0"/>
              <w:kinsoku/>
              <w:overflowPunct/>
              <w:topLinePunct w:val="0"/>
              <w:autoSpaceDE/>
              <w:autoSpaceDN/>
              <w:bidi w:val="0"/>
              <w:adjustRightInd/>
              <w:snapToGrid w:val="0"/>
              <w:textAlignment w:val="auto"/>
              <w:rPr>
                <w:rFonts w:hAnsi="宋体" w:cs="宋体"/>
                <w:color w:val="000000"/>
                <w:kern w:val="21"/>
                <w:szCs w:val="21"/>
              </w:rPr>
            </w:pPr>
            <w:r>
              <w:rPr>
                <w:rFonts w:hint="eastAsia" w:hAnsi="宋体" w:cs="宋体"/>
                <w:color w:val="000000"/>
                <w:kern w:val="21"/>
                <w:szCs w:val="21"/>
              </w:rPr>
              <w:t>/</w:t>
            </w:r>
          </w:p>
        </w:tc>
        <w:tc>
          <w:tcPr>
            <w:tcW w:w="709" w:type="pct"/>
            <w:vAlign w:val="center"/>
          </w:tcPr>
          <w:p w14:paraId="48E177A5">
            <w:pPr>
              <w:pStyle w:val="49"/>
              <w:keepNext w:val="0"/>
              <w:keepLines w:val="0"/>
              <w:pageBreakBefore w:val="0"/>
              <w:widowControl w:val="0"/>
              <w:kinsoku/>
              <w:overflowPunct/>
              <w:topLinePunct w:val="0"/>
              <w:autoSpaceDE/>
              <w:autoSpaceDN/>
              <w:bidi w:val="0"/>
              <w:adjustRightInd/>
              <w:snapToGrid w:val="0"/>
              <w:textAlignment w:val="auto"/>
            </w:pPr>
            <w:r>
              <w:rPr>
                <w:rFonts w:hint="eastAsia"/>
                <w:color w:val="000000"/>
                <w:szCs w:val="21"/>
              </w:rPr>
              <w:t>0.</w:t>
            </w:r>
            <w:r>
              <w:rPr>
                <w:rFonts w:hint="eastAsia"/>
                <w:color w:val="000000"/>
                <w:szCs w:val="21"/>
                <w:lang w:val="en-US" w:eastAsia="zh-CN"/>
              </w:rPr>
              <w:t>2</w:t>
            </w:r>
            <w:r>
              <w:rPr>
                <w:color w:val="000000"/>
                <w:szCs w:val="21"/>
              </w:rPr>
              <w:t>t/a</w:t>
            </w:r>
          </w:p>
        </w:tc>
        <w:tc>
          <w:tcPr>
            <w:tcW w:w="299" w:type="pct"/>
            <w:vAlign w:val="center"/>
          </w:tcPr>
          <w:p w14:paraId="637DAD25">
            <w:pPr>
              <w:pStyle w:val="49"/>
              <w:keepNext w:val="0"/>
              <w:keepLines w:val="0"/>
              <w:pageBreakBefore w:val="0"/>
              <w:widowControl w:val="0"/>
              <w:kinsoku/>
              <w:overflowPunct/>
              <w:topLinePunct w:val="0"/>
              <w:autoSpaceDE/>
              <w:autoSpaceDN/>
              <w:bidi w:val="0"/>
              <w:adjustRightInd/>
              <w:snapToGrid w:val="0"/>
              <w:textAlignment w:val="auto"/>
              <w:rPr>
                <w:rFonts w:hAnsi="宋体" w:cs="宋体"/>
                <w:color w:val="000000"/>
                <w:kern w:val="21"/>
                <w:szCs w:val="21"/>
              </w:rPr>
            </w:pPr>
            <w:r>
              <w:rPr>
                <w:rFonts w:hint="eastAsia" w:hAnsi="宋体" w:cs="宋体"/>
                <w:color w:val="000000"/>
                <w:kern w:val="21"/>
                <w:szCs w:val="21"/>
              </w:rPr>
              <w:t>/</w:t>
            </w:r>
          </w:p>
        </w:tc>
      </w:tr>
      <w:tr w14:paraId="7A8E1D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575" w:type="pct"/>
            <w:vMerge w:val="continue"/>
            <w:vAlign w:val="center"/>
          </w:tcPr>
          <w:p w14:paraId="563C7CC6">
            <w:pPr>
              <w:pStyle w:val="49"/>
              <w:keepNext w:val="0"/>
              <w:keepLines w:val="0"/>
              <w:pageBreakBefore w:val="0"/>
              <w:widowControl w:val="0"/>
              <w:kinsoku/>
              <w:overflowPunct/>
              <w:topLinePunct w:val="0"/>
              <w:autoSpaceDE/>
              <w:autoSpaceDN/>
              <w:bidi w:val="0"/>
              <w:adjustRightInd/>
              <w:snapToGrid w:val="0"/>
              <w:textAlignment w:val="auto"/>
            </w:pPr>
          </w:p>
        </w:tc>
        <w:tc>
          <w:tcPr>
            <w:tcW w:w="582" w:type="pct"/>
            <w:vAlign w:val="center"/>
          </w:tcPr>
          <w:p w14:paraId="356311DF">
            <w:pPr>
              <w:pStyle w:val="49"/>
              <w:keepNext w:val="0"/>
              <w:keepLines w:val="0"/>
              <w:pageBreakBefore w:val="0"/>
              <w:widowControl w:val="0"/>
              <w:kinsoku/>
              <w:overflowPunct/>
              <w:topLinePunct w:val="0"/>
              <w:autoSpaceDE/>
              <w:autoSpaceDN/>
              <w:bidi w:val="0"/>
              <w:adjustRightInd/>
              <w:snapToGrid w:val="0"/>
              <w:textAlignment w:val="auto"/>
              <w:rPr>
                <w:rFonts w:hint="default" w:ascii="宋体" w:hAnsi="宋体" w:eastAsia="宋体"/>
                <w:lang w:val="en-US" w:eastAsia="zh-CN"/>
              </w:rPr>
            </w:pPr>
            <w:r>
              <w:rPr>
                <w:rFonts w:hint="eastAsia" w:ascii="宋体" w:hAnsi="宋体"/>
                <w:lang w:val="en-US" w:eastAsia="zh-CN"/>
              </w:rPr>
              <w:t>废滤芯</w:t>
            </w:r>
          </w:p>
        </w:tc>
        <w:tc>
          <w:tcPr>
            <w:tcW w:w="569" w:type="pct"/>
            <w:vAlign w:val="center"/>
          </w:tcPr>
          <w:p w14:paraId="14D6003C">
            <w:pPr>
              <w:pStyle w:val="49"/>
              <w:keepNext w:val="0"/>
              <w:keepLines w:val="0"/>
              <w:pageBreakBefore w:val="0"/>
              <w:widowControl w:val="0"/>
              <w:kinsoku/>
              <w:overflowPunct/>
              <w:topLinePunct w:val="0"/>
              <w:autoSpaceDE/>
              <w:autoSpaceDN/>
              <w:bidi w:val="0"/>
              <w:adjustRightInd/>
              <w:snapToGrid w:val="0"/>
              <w:textAlignment w:val="auto"/>
              <w:rPr>
                <w:rFonts w:hint="eastAsia" w:ascii="宋体" w:hAnsi="宋体"/>
              </w:rPr>
            </w:pPr>
            <w:r>
              <w:rPr>
                <w:rFonts w:hint="eastAsia" w:hAnsi="宋体" w:cs="宋体"/>
                <w:color w:val="000000"/>
                <w:kern w:val="21"/>
                <w:szCs w:val="21"/>
              </w:rPr>
              <w:t>/</w:t>
            </w:r>
          </w:p>
        </w:tc>
        <w:tc>
          <w:tcPr>
            <w:tcW w:w="442" w:type="pct"/>
            <w:vAlign w:val="center"/>
          </w:tcPr>
          <w:p w14:paraId="0B876C18">
            <w:pPr>
              <w:pStyle w:val="49"/>
              <w:keepNext w:val="0"/>
              <w:keepLines w:val="0"/>
              <w:pageBreakBefore w:val="0"/>
              <w:widowControl w:val="0"/>
              <w:kinsoku/>
              <w:overflowPunct/>
              <w:topLinePunct w:val="0"/>
              <w:autoSpaceDE/>
              <w:autoSpaceDN/>
              <w:bidi w:val="0"/>
              <w:adjustRightInd/>
              <w:snapToGrid w:val="0"/>
              <w:textAlignment w:val="auto"/>
              <w:rPr>
                <w:rFonts w:hint="eastAsia" w:ascii="宋体" w:hAnsi="宋体"/>
              </w:rPr>
            </w:pPr>
            <w:r>
              <w:rPr>
                <w:rFonts w:hint="eastAsia" w:hAnsi="宋体" w:cs="宋体"/>
                <w:color w:val="000000"/>
                <w:kern w:val="21"/>
                <w:szCs w:val="21"/>
              </w:rPr>
              <w:t>/</w:t>
            </w:r>
          </w:p>
        </w:tc>
        <w:tc>
          <w:tcPr>
            <w:tcW w:w="616" w:type="pct"/>
            <w:vAlign w:val="center"/>
          </w:tcPr>
          <w:p w14:paraId="2B1F4A5C">
            <w:pPr>
              <w:pStyle w:val="49"/>
              <w:keepNext w:val="0"/>
              <w:keepLines w:val="0"/>
              <w:pageBreakBefore w:val="0"/>
              <w:widowControl w:val="0"/>
              <w:kinsoku/>
              <w:overflowPunct/>
              <w:topLinePunct w:val="0"/>
              <w:autoSpaceDE/>
              <w:autoSpaceDN/>
              <w:bidi w:val="0"/>
              <w:adjustRightInd/>
              <w:snapToGrid w:val="0"/>
              <w:textAlignment w:val="auto"/>
              <w:rPr>
                <w:rFonts w:hint="eastAsia" w:ascii="宋体" w:hAnsi="宋体"/>
              </w:rPr>
            </w:pPr>
            <w:r>
              <w:rPr>
                <w:rFonts w:hint="eastAsia" w:hAnsi="宋体" w:cs="宋体"/>
                <w:color w:val="000000"/>
                <w:kern w:val="21"/>
                <w:szCs w:val="21"/>
              </w:rPr>
              <w:t>/</w:t>
            </w:r>
          </w:p>
        </w:tc>
        <w:tc>
          <w:tcPr>
            <w:tcW w:w="565" w:type="pct"/>
            <w:vAlign w:val="center"/>
          </w:tcPr>
          <w:p w14:paraId="1A304088">
            <w:pPr>
              <w:pStyle w:val="49"/>
              <w:keepNext w:val="0"/>
              <w:keepLines w:val="0"/>
              <w:pageBreakBefore w:val="0"/>
              <w:widowControl w:val="0"/>
              <w:kinsoku/>
              <w:overflowPunct/>
              <w:topLinePunct w:val="0"/>
              <w:autoSpaceDE/>
              <w:autoSpaceDN/>
              <w:bidi w:val="0"/>
              <w:adjustRightInd/>
              <w:snapToGrid w:val="0"/>
              <w:textAlignment w:val="auto"/>
              <w:rPr>
                <w:rFonts w:hint="eastAsia" w:ascii="宋体" w:hAnsi="宋体" w:eastAsia="宋体"/>
                <w:lang w:val="en-US" w:eastAsia="zh-CN"/>
              </w:rPr>
            </w:pPr>
            <w:r>
              <w:rPr>
                <w:rFonts w:hint="eastAsia" w:ascii="Times New Roman" w:hAnsi="Times New Roman" w:cs="Times New Roman"/>
                <w:color w:val="000000"/>
                <w:szCs w:val="21"/>
                <w:lang w:val="en-US" w:eastAsia="zh-CN"/>
              </w:rPr>
              <w:t>1</w:t>
            </w:r>
            <w:r>
              <w:rPr>
                <w:rFonts w:hint="eastAsia" w:cs="Times New Roman"/>
                <w:color w:val="000000"/>
                <w:szCs w:val="21"/>
                <w:lang w:val="en-US" w:eastAsia="zh-CN"/>
              </w:rPr>
              <w:t>.0</w:t>
            </w:r>
            <w:r>
              <w:rPr>
                <w:rFonts w:hint="eastAsia" w:ascii="Times New Roman" w:hAnsi="Times New Roman" w:cs="Times New Roman"/>
                <w:color w:val="000000"/>
                <w:szCs w:val="21"/>
                <w:lang w:val="en-US" w:eastAsia="zh-CN"/>
              </w:rPr>
              <w:t>t/a</w:t>
            </w:r>
          </w:p>
        </w:tc>
        <w:tc>
          <w:tcPr>
            <w:tcW w:w="638" w:type="pct"/>
            <w:vAlign w:val="center"/>
          </w:tcPr>
          <w:p w14:paraId="1FEF14F9">
            <w:pPr>
              <w:pStyle w:val="49"/>
              <w:keepNext w:val="0"/>
              <w:keepLines w:val="0"/>
              <w:pageBreakBefore w:val="0"/>
              <w:widowControl w:val="0"/>
              <w:kinsoku/>
              <w:overflowPunct/>
              <w:topLinePunct w:val="0"/>
              <w:autoSpaceDE/>
              <w:autoSpaceDN/>
              <w:bidi w:val="0"/>
              <w:adjustRightInd/>
              <w:snapToGrid w:val="0"/>
              <w:textAlignment w:val="auto"/>
              <w:rPr>
                <w:rFonts w:hint="eastAsia" w:ascii="宋体" w:hAnsi="宋体"/>
              </w:rPr>
            </w:pPr>
            <w:r>
              <w:rPr>
                <w:rFonts w:hint="eastAsia" w:hAnsi="宋体" w:cs="宋体"/>
                <w:color w:val="000000"/>
                <w:kern w:val="21"/>
                <w:szCs w:val="21"/>
              </w:rPr>
              <w:t>/</w:t>
            </w:r>
          </w:p>
        </w:tc>
        <w:tc>
          <w:tcPr>
            <w:tcW w:w="709" w:type="pct"/>
            <w:vAlign w:val="center"/>
          </w:tcPr>
          <w:p w14:paraId="2AE67ADF">
            <w:pPr>
              <w:pStyle w:val="49"/>
              <w:keepNext w:val="0"/>
              <w:keepLines w:val="0"/>
              <w:pageBreakBefore w:val="0"/>
              <w:widowControl w:val="0"/>
              <w:kinsoku/>
              <w:overflowPunct/>
              <w:topLinePunct w:val="0"/>
              <w:autoSpaceDE/>
              <w:autoSpaceDN/>
              <w:bidi w:val="0"/>
              <w:adjustRightInd/>
              <w:snapToGrid w:val="0"/>
              <w:textAlignment w:val="auto"/>
              <w:rPr>
                <w:rFonts w:hint="eastAsia" w:ascii="宋体" w:hAnsi="宋体"/>
              </w:rPr>
            </w:pPr>
            <w:r>
              <w:rPr>
                <w:rFonts w:hint="eastAsia"/>
                <w:color w:val="000000"/>
                <w:szCs w:val="21"/>
                <w:lang w:val="en-US" w:eastAsia="zh-CN"/>
              </w:rPr>
              <w:t>1.0</w:t>
            </w:r>
            <w:r>
              <w:rPr>
                <w:color w:val="000000"/>
                <w:szCs w:val="21"/>
              </w:rPr>
              <w:t>t/a</w:t>
            </w:r>
          </w:p>
        </w:tc>
        <w:tc>
          <w:tcPr>
            <w:tcW w:w="299" w:type="pct"/>
            <w:vAlign w:val="center"/>
          </w:tcPr>
          <w:p w14:paraId="4BD96DF7">
            <w:pPr>
              <w:pStyle w:val="49"/>
              <w:keepNext w:val="0"/>
              <w:keepLines w:val="0"/>
              <w:pageBreakBefore w:val="0"/>
              <w:widowControl w:val="0"/>
              <w:kinsoku/>
              <w:overflowPunct/>
              <w:topLinePunct w:val="0"/>
              <w:autoSpaceDE/>
              <w:autoSpaceDN/>
              <w:bidi w:val="0"/>
              <w:adjustRightInd/>
              <w:snapToGrid w:val="0"/>
              <w:textAlignment w:val="auto"/>
              <w:rPr>
                <w:rFonts w:hint="eastAsia" w:ascii="宋体" w:hAnsi="宋体"/>
              </w:rPr>
            </w:pPr>
            <w:r>
              <w:rPr>
                <w:rFonts w:hint="eastAsia" w:hAnsi="宋体" w:cs="宋体"/>
                <w:color w:val="000000"/>
                <w:kern w:val="21"/>
                <w:szCs w:val="21"/>
              </w:rPr>
              <w:t>/</w:t>
            </w:r>
          </w:p>
        </w:tc>
      </w:tr>
      <w:tr w14:paraId="2DAF62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575" w:type="pct"/>
            <w:vMerge w:val="continue"/>
            <w:vAlign w:val="center"/>
          </w:tcPr>
          <w:p w14:paraId="3206DA3A">
            <w:pPr>
              <w:pStyle w:val="49"/>
              <w:keepNext w:val="0"/>
              <w:keepLines w:val="0"/>
              <w:pageBreakBefore w:val="0"/>
              <w:widowControl w:val="0"/>
              <w:kinsoku/>
              <w:overflowPunct/>
              <w:topLinePunct w:val="0"/>
              <w:autoSpaceDE/>
              <w:autoSpaceDN/>
              <w:bidi w:val="0"/>
              <w:adjustRightInd/>
              <w:snapToGrid w:val="0"/>
              <w:textAlignment w:val="auto"/>
            </w:pPr>
          </w:p>
        </w:tc>
        <w:tc>
          <w:tcPr>
            <w:tcW w:w="582" w:type="pct"/>
            <w:vAlign w:val="center"/>
          </w:tcPr>
          <w:p w14:paraId="5B806884">
            <w:pPr>
              <w:pStyle w:val="49"/>
              <w:keepNext w:val="0"/>
              <w:keepLines w:val="0"/>
              <w:pageBreakBefore w:val="0"/>
              <w:widowControl w:val="0"/>
              <w:kinsoku/>
              <w:overflowPunct/>
              <w:topLinePunct w:val="0"/>
              <w:autoSpaceDE/>
              <w:autoSpaceDN/>
              <w:bidi w:val="0"/>
              <w:adjustRightInd/>
              <w:snapToGrid w:val="0"/>
              <w:textAlignment w:val="auto"/>
              <w:rPr>
                <w:rFonts w:hint="default" w:ascii="宋体" w:hAnsi="宋体"/>
                <w:color w:val="FF0000"/>
                <w:lang w:val="en-US" w:eastAsia="zh-CN"/>
              </w:rPr>
            </w:pPr>
            <w:r>
              <w:rPr>
                <w:rFonts w:hint="eastAsia" w:ascii="宋体" w:hAnsi="宋体"/>
                <w:color w:val="FF0000"/>
                <w:lang w:val="en-US" w:eastAsia="zh-CN"/>
              </w:rPr>
              <w:t>废含油抹布手套</w:t>
            </w:r>
          </w:p>
        </w:tc>
        <w:tc>
          <w:tcPr>
            <w:tcW w:w="569" w:type="pct"/>
            <w:vAlign w:val="center"/>
          </w:tcPr>
          <w:p w14:paraId="625A3409">
            <w:pPr>
              <w:pStyle w:val="49"/>
              <w:keepNext w:val="0"/>
              <w:keepLines w:val="0"/>
              <w:pageBreakBefore w:val="0"/>
              <w:widowControl w:val="0"/>
              <w:kinsoku/>
              <w:overflowPunct/>
              <w:topLinePunct w:val="0"/>
              <w:autoSpaceDE/>
              <w:autoSpaceDN/>
              <w:bidi w:val="0"/>
              <w:adjustRightInd/>
              <w:snapToGrid w:val="0"/>
              <w:textAlignment w:val="auto"/>
              <w:rPr>
                <w:rFonts w:hint="default" w:ascii="Times New Roman" w:hAnsi="Times New Roman" w:cs="Times New Roman"/>
                <w:color w:val="FF0000"/>
                <w:lang w:val="en-US" w:eastAsia="zh-CN"/>
              </w:rPr>
            </w:pPr>
            <w:r>
              <w:rPr>
                <w:rFonts w:hint="default" w:ascii="Times New Roman" w:hAnsi="Times New Roman" w:cs="Times New Roman"/>
                <w:color w:val="FF0000"/>
                <w:kern w:val="21"/>
                <w:szCs w:val="21"/>
              </w:rPr>
              <w:t>/</w:t>
            </w:r>
          </w:p>
        </w:tc>
        <w:tc>
          <w:tcPr>
            <w:tcW w:w="442" w:type="pct"/>
            <w:vAlign w:val="center"/>
          </w:tcPr>
          <w:p w14:paraId="515913DD">
            <w:pPr>
              <w:pStyle w:val="49"/>
              <w:keepNext w:val="0"/>
              <w:keepLines w:val="0"/>
              <w:pageBreakBefore w:val="0"/>
              <w:widowControl w:val="0"/>
              <w:kinsoku/>
              <w:overflowPunct/>
              <w:topLinePunct w:val="0"/>
              <w:autoSpaceDE/>
              <w:autoSpaceDN/>
              <w:bidi w:val="0"/>
              <w:adjustRightInd/>
              <w:snapToGrid w:val="0"/>
              <w:textAlignment w:val="auto"/>
              <w:rPr>
                <w:rFonts w:hint="default" w:ascii="Times New Roman" w:hAnsi="Times New Roman" w:cs="Times New Roman"/>
                <w:color w:val="FF0000"/>
                <w:lang w:val="en-US" w:eastAsia="zh-CN"/>
              </w:rPr>
            </w:pPr>
            <w:r>
              <w:rPr>
                <w:rFonts w:hint="default" w:ascii="Times New Roman" w:hAnsi="Times New Roman" w:cs="Times New Roman"/>
                <w:color w:val="FF0000"/>
                <w:kern w:val="21"/>
                <w:szCs w:val="21"/>
              </w:rPr>
              <w:t>/</w:t>
            </w:r>
          </w:p>
        </w:tc>
        <w:tc>
          <w:tcPr>
            <w:tcW w:w="616" w:type="pct"/>
            <w:vAlign w:val="center"/>
          </w:tcPr>
          <w:p w14:paraId="6ABF056D">
            <w:pPr>
              <w:pStyle w:val="49"/>
              <w:keepNext w:val="0"/>
              <w:keepLines w:val="0"/>
              <w:pageBreakBefore w:val="0"/>
              <w:widowControl w:val="0"/>
              <w:kinsoku/>
              <w:overflowPunct/>
              <w:topLinePunct w:val="0"/>
              <w:autoSpaceDE/>
              <w:autoSpaceDN/>
              <w:bidi w:val="0"/>
              <w:adjustRightInd/>
              <w:snapToGrid w:val="0"/>
              <w:textAlignment w:val="auto"/>
              <w:rPr>
                <w:rFonts w:hint="default" w:ascii="Times New Roman" w:hAnsi="Times New Roman" w:cs="Times New Roman"/>
                <w:color w:val="FF0000"/>
                <w:lang w:val="en-US" w:eastAsia="zh-CN"/>
              </w:rPr>
            </w:pPr>
            <w:r>
              <w:rPr>
                <w:rFonts w:hint="default" w:ascii="Times New Roman" w:hAnsi="Times New Roman" w:cs="Times New Roman"/>
                <w:color w:val="FF0000"/>
                <w:kern w:val="21"/>
                <w:szCs w:val="21"/>
              </w:rPr>
              <w:t>/</w:t>
            </w:r>
          </w:p>
        </w:tc>
        <w:tc>
          <w:tcPr>
            <w:tcW w:w="565" w:type="pct"/>
            <w:vAlign w:val="center"/>
          </w:tcPr>
          <w:p w14:paraId="721116C5">
            <w:pPr>
              <w:pStyle w:val="49"/>
              <w:keepNext w:val="0"/>
              <w:keepLines w:val="0"/>
              <w:pageBreakBefore w:val="0"/>
              <w:widowControl w:val="0"/>
              <w:kinsoku/>
              <w:overflowPunct/>
              <w:topLinePunct w:val="0"/>
              <w:autoSpaceDE/>
              <w:autoSpaceDN/>
              <w:bidi w:val="0"/>
              <w:adjustRightInd/>
              <w:snapToGrid w:val="0"/>
              <w:textAlignment w:val="auto"/>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0.05</w:t>
            </w:r>
            <w:r>
              <w:rPr>
                <w:rFonts w:hint="default" w:ascii="Times New Roman" w:hAnsi="Times New Roman" w:cs="Times New Roman"/>
                <w:color w:val="FF0000"/>
                <w:szCs w:val="21"/>
                <w:lang w:val="en-US" w:eastAsia="zh-CN"/>
              </w:rPr>
              <w:t>t/a</w:t>
            </w:r>
          </w:p>
        </w:tc>
        <w:tc>
          <w:tcPr>
            <w:tcW w:w="638" w:type="pct"/>
            <w:vAlign w:val="center"/>
          </w:tcPr>
          <w:p w14:paraId="77B9F939">
            <w:pPr>
              <w:pStyle w:val="49"/>
              <w:keepNext w:val="0"/>
              <w:keepLines w:val="0"/>
              <w:pageBreakBefore w:val="0"/>
              <w:widowControl w:val="0"/>
              <w:kinsoku/>
              <w:overflowPunct/>
              <w:topLinePunct w:val="0"/>
              <w:autoSpaceDE/>
              <w:autoSpaceDN/>
              <w:bidi w:val="0"/>
              <w:adjustRightInd/>
              <w:snapToGrid w:val="0"/>
              <w:textAlignment w:val="auto"/>
              <w:rPr>
                <w:rFonts w:hint="default" w:ascii="Times New Roman" w:hAnsi="Times New Roman" w:cs="Times New Roman"/>
                <w:color w:val="FF0000"/>
                <w:lang w:val="en-US" w:eastAsia="zh-CN"/>
              </w:rPr>
            </w:pPr>
            <w:r>
              <w:rPr>
                <w:rFonts w:hint="eastAsia" w:hAnsi="宋体" w:cs="宋体"/>
                <w:color w:val="FF0000"/>
                <w:kern w:val="21"/>
                <w:szCs w:val="21"/>
              </w:rPr>
              <w:t>/</w:t>
            </w:r>
          </w:p>
        </w:tc>
        <w:tc>
          <w:tcPr>
            <w:tcW w:w="709" w:type="pct"/>
            <w:vAlign w:val="center"/>
          </w:tcPr>
          <w:p w14:paraId="3C6A66A0">
            <w:pPr>
              <w:pStyle w:val="49"/>
              <w:keepNext w:val="0"/>
              <w:keepLines w:val="0"/>
              <w:pageBreakBefore w:val="0"/>
              <w:widowControl w:val="0"/>
              <w:kinsoku/>
              <w:overflowPunct/>
              <w:topLinePunct w:val="0"/>
              <w:autoSpaceDE/>
              <w:autoSpaceDN/>
              <w:bidi w:val="0"/>
              <w:adjustRightInd/>
              <w:snapToGrid w:val="0"/>
              <w:textAlignment w:val="auto"/>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0.05</w:t>
            </w:r>
            <w:r>
              <w:rPr>
                <w:rFonts w:hint="default" w:ascii="Times New Roman" w:hAnsi="Times New Roman" w:cs="Times New Roman"/>
                <w:color w:val="FF0000"/>
                <w:szCs w:val="21"/>
                <w:lang w:val="en-US" w:eastAsia="zh-CN"/>
              </w:rPr>
              <w:t>t/a</w:t>
            </w:r>
          </w:p>
        </w:tc>
        <w:tc>
          <w:tcPr>
            <w:tcW w:w="299" w:type="pct"/>
            <w:vAlign w:val="center"/>
          </w:tcPr>
          <w:p w14:paraId="23B35A0E">
            <w:pPr>
              <w:pStyle w:val="49"/>
              <w:keepNext w:val="0"/>
              <w:keepLines w:val="0"/>
              <w:pageBreakBefore w:val="0"/>
              <w:widowControl w:val="0"/>
              <w:kinsoku/>
              <w:overflowPunct/>
              <w:topLinePunct w:val="0"/>
              <w:autoSpaceDE/>
              <w:autoSpaceDN/>
              <w:bidi w:val="0"/>
              <w:adjustRightInd/>
              <w:snapToGrid w:val="0"/>
              <w:textAlignment w:val="auto"/>
              <w:rPr>
                <w:rFonts w:hint="default" w:ascii="Times New Roman" w:hAnsi="Times New Roman" w:cs="Times New Roman"/>
                <w:color w:val="FF0000"/>
                <w:lang w:val="en-US" w:eastAsia="zh-CN"/>
              </w:rPr>
            </w:pPr>
            <w:r>
              <w:rPr>
                <w:rFonts w:hint="eastAsia" w:hAnsi="宋体" w:cs="宋体"/>
                <w:color w:val="FF0000"/>
                <w:kern w:val="21"/>
                <w:szCs w:val="21"/>
              </w:rPr>
              <w:t>/</w:t>
            </w:r>
          </w:p>
        </w:tc>
      </w:tr>
      <w:tr w14:paraId="5F1D53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75" w:type="pct"/>
            <w:vAlign w:val="center"/>
          </w:tcPr>
          <w:p w14:paraId="74CD354F">
            <w:pPr>
              <w:pStyle w:val="49"/>
              <w:keepNext w:val="0"/>
              <w:keepLines w:val="0"/>
              <w:pageBreakBefore w:val="0"/>
              <w:widowControl w:val="0"/>
              <w:kinsoku/>
              <w:overflowPunct/>
              <w:topLinePunct w:val="0"/>
              <w:autoSpaceDE/>
              <w:autoSpaceDN/>
              <w:bidi w:val="0"/>
              <w:adjustRightInd/>
              <w:snapToGrid w:val="0"/>
              <w:textAlignment w:val="auto"/>
              <w:rPr>
                <w:rFonts w:hint="default" w:hAnsi="宋体" w:eastAsia="宋体" w:cs="宋体"/>
                <w:color w:val="000000"/>
                <w:kern w:val="21"/>
                <w:szCs w:val="21"/>
                <w:lang w:val="en-US" w:eastAsia="zh-CN"/>
              </w:rPr>
            </w:pPr>
            <w:r>
              <w:rPr>
                <w:rFonts w:hint="eastAsia" w:hAnsi="宋体" w:cs="宋体"/>
                <w:color w:val="000000"/>
                <w:kern w:val="21"/>
                <w:szCs w:val="21"/>
                <w:lang w:val="en-US" w:eastAsia="zh-CN"/>
              </w:rPr>
              <w:t>生活</w:t>
            </w:r>
          </w:p>
        </w:tc>
        <w:tc>
          <w:tcPr>
            <w:tcW w:w="582" w:type="pct"/>
            <w:vAlign w:val="center"/>
          </w:tcPr>
          <w:p w14:paraId="773BF421">
            <w:pPr>
              <w:pStyle w:val="49"/>
              <w:keepNext w:val="0"/>
              <w:keepLines w:val="0"/>
              <w:pageBreakBefore w:val="0"/>
              <w:widowControl w:val="0"/>
              <w:kinsoku/>
              <w:overflowPunct/>
              <w:topLinePunct w:val="0"/>
              <w:autoSpaceDE/>
              <w:autoSpaceDN/>
              <w:bidi w:val="0"/>
              <w:adjustRightInd/>
              <w:snapToGrid w:val="0"/>
              <w:textAlignment w:val="auto"/>
            </w:pPr>
            <w:r>
              <w:t>生活垃圾</w:t>
            </w:r>
          </w:p>
        </w:tc>
        <w:tc>
          <w:tcPr>
            <w:tcW w:w="569" w:type="pct"/>
            <w:vAlign w:val="center"/>
          </w:tcPr>
          <w:p w14:paraId="1B0A1D19">
            <w:pPr>
              <w:pStyle w:val="49"/>
              <w:keepNext w:val="0"/>
              <w:keepLines w:val="0"/>
              <w:pageBreakBefore w:val="0"/>
              <w:widowControl w:val="0"/>
              <w:kinsoku/>
              <w:overflowPunct/>
              <w:topLinePunct w:val="0"/>
              <w:autoSpaceDE/>
              <w:autoSpaceDN/>
              <w:bidi w:val="0"/>
              <w:adjustRightInd/>
              <w:snapToGrid w:val="0"/>
              <w:textAlignment w:val="auto"/>
              <w:rPr>
                <w:rFonts w:hAnsi="宋体" w:cs="宋体"/>
                <w:color w:val="000000"/>
                <w:kern w:val="21"/>
                <w:szCs w:val="21"/>
              </w:rPr>
            </w:pPr>
            <w:r>
              <w:rPr>
                <w:rFonts w:hint="eastAsia" w:hAnsi="宋体" w:cs="宋体"/>
                <w:color w:val="000000"/>
                <w:kern w:val="21"/>
                <w:szCs w:val="21"/>
              </w:rPr>
              <w:t>/</w:t>
            </w:r>
          </w:p>
        </w:tc>
        <w:tc>
          <w:tcPr>
            <w:tcW w:w="442" w:type="pct"/>
            <w:vAlign w:val="center"/>
          </w:tcPr>
          <w:p w14:paraId="02981608">
            <w:pPr>
              <w:pStyle w:val="49"/>
              <w:keepNext w:val="0"/>
              <w:keepLines w:val="0"/>
              <w:pageBreakBefore w:val="0"/>
              <w:widowControl w:val="0"/>
              <w:kinsoku/>
              <w:overflowPunct/>
              <w:topLinePunct w:val="0"/>
              <w:autoSpaceDE/>
              <w:autoSpaceDN/>
              <w:bidi w:val="0"/>
              <w:adjustRightInd/>
              <w:snapToGrid w:val="0"/>
              <w:textAlignment w:val="auto"/>
              <w:rPr>
                <w:rFonts w:hAnsi="宋体" w:cs="宋体"/>
                <w:color w:val="000000"/>
                <w:kern w:val="21"/>
                <w:szCs w:val="21"/>
              </w:rPr>
            </w:pPr>
            <w:r>
              <w:rPr>
                <w:rFonts w:hint="eastAsia" w:hAnsi="宋体" w:cs="宋体"/>
                <w:color w:val="000000"/>
                <w:kern w:val="21"/>
                <w:szCs w:val="21"/>
              </w:rPr>
              <w:t>/</w:t>
            </w:r>
          </w:p>
        </w:tc>
        <w:tc>
          <w:tcPr>
            <w:tcW w:w="616" w:type="pct"/>
            <w:vAlign w:val="center"/>
          </w:tcPr>
          <w:p w14:paraId="1FAE9FBB">
            <w:pPr>
              <w:pStyle w:val="49"/>
              <w:keepNext w:val="0"/>
              <w:keepLines w:val="0"/>
              <w:pageBreakBefore w:val="0"/>
              <w:widowControl w:val="0"/>
              <w:kinsoku/>
              <w:overflowPunct/>
              <w:topLinePunct w:val="0"/>
              <w:autoSpaceDE/>
              <w:autoSpaceDN/>
              <w:bidi w:val="0"/>
              <w:adjustRightInd/>
              <w:snapToGrid w:val="0"/>
              <w:textAlignment w:val="auto"/>
              <w:rPr>
                <w:rFonts w:hAnsi="宋体" w:cs="宋体"/>
                <w:color w:val="000000"/>
                <w:kern w:val="21"/>
                <w:szCs w:val="21"/>
              </w:rPr>
            </w:pPr>
            <w:r>
              <w:rPr>
                <w:rFonts w:hint="eastAsia" w:hAnsi="宋体" w:cs="宋体"/>
                <w:color w:val="000000"/>
                <w:kern w:val="21"/>
                <w:szCs w:val="21"/>
              </w:rPr>
              <w:t>/</w:t>
            </w:r>
          </w:p>
        </w:tc>
        <w:tc>
          <w:tcPr>
            <w:tcW w:w="565" w:type="pct"/>
            <w:vAlign w:val="center"/>
          </w:tcPr>
          <w:p w14:paraId="30A27451">
            <w:pPr>
              <w:pStyle w:val="49"/>
              <w:keepNext w:val="0"/>
              <w:keepLines w:val="0"/>
              <w:pageBreakBefore w:val="0"/>
              <w:widowControl w:val="0"/>
              <w:kinsoku/>
              <w:overflowPunct/>
              <w:topLinePunct w:val="0"/>
              <w:autoSpaceDE/>
              <w:autoSpaceDN/>
              <w:bidi w:val="0"/>
              <w:adjustRightInd/>
              <w:snapToGrid w:val="0"/>
              <w:textAlignment w:val="auto"/>
            </w:pPr>
            <w:r>
              <w:rPr>
                <w:rFonts w:hint="eastAsia"/>
                <w:color w:val="000000"/>
                <w:szCs w:val="21"/>
                <w:lang w:val="en-US" w:eastAsia="zh-CN"/>
              </w:rPr>
              <w:t>3.1</w:t>
            </w:r>
            <w:r>
              <w:rPr>
                <w:color w:val="000000"/>
                <w:szCs w:val="21"/>
              </w:rPr>
              <w:t>t/a</w:t>
            </w:r>
          </w:p>
        </w:tc>
        <w:tc>
          <w:tcPr>
            <w:tcW w:w="638" w:type="pct"/>
            <w:vAlign w:val="center"/>
          </w:tcPr>
          <w:p w14:paraId="232A2AB4">
            <w:pPr>
              <w:pStyle w:val="49"/>
              <w:keepNext w:val="0"/>
              <w:keepLines w:val="0"/>
              <w:pageBreakBefore w:val="0"/>
              <w:widowControl w:val="0"/>
              <w:kinsoku/>
              <w:overflowPunct/>
              <w:topLinePunct w:val="0"/>
              <w:autoSpaceDE/>
              <w:autoSpaceDN/>
              <w:bidi w:val="0"/>
              <w:adjustRightInd/>
              <w:snapToGrid w:val="0"/>
              <w:textAlignment w:val="auto"/>
              <w:rPr>
                <w:rFonts w:hAnsi="宋体" w:cs="宋体"/>
                <w:color w:val="000000"/>
                <w:kern w:val="21"/>
                <w:szCs w:val="21"/>
              </w:rPr>
            </w:pPr>
            <w:r>
              <w:rPr>
                <w:rFonts w:hint="eastAsia" w:hAnsi="宋体" w:cs="宋体"/>
                <w:color w:val="000000"/>
                <w:kern w:val="21"/>
                <w:szCs w:val="21"/>
              </w:rPr>
              <w:t>/</w:t>
            </w:r>
          </w:p>
        </w:tc>
        <w:tc>
          <w:tcPr>
            <w:tcW w:w="709" w:type="pct"/>
            <w:vAlign w:val="center"/>
          </w:tcPr>
          <w:p w14:paraId="520230E9">
            <w:pPr>
              <w:pStyle w:val="49"/>
              <w:keepNext w:val="0"/>
              <w:keepLines w:val="0"/>
              <w:pageBreakBefore w:val="0"/>
              <w:widowControl w:val="0"/>
              <w:kinsoku/>
              <w:overflowPunct/>
              <w:topLinePunct w:val="0"/>
              <w:autoSpaceDE/>
              <w:autoSpaceDN/>
              <w:bidi w:val="0"/>
              <w:adjustRightInd/>
              <w:snapToGrid w:val="0"/>
              <w:textAlignment w:val="auto"/>
            </w:pPr>
            <w:r>
              <w:rPr>
                <w:rFonts w:hint="eastAsia"/>
                <w:color w:val="000000"/>
                <w:szCs w:val="21"/>
                <w:lang w:val="en-US" w:eastAsia="zh-CN"/>
              </w:rPr>
              <w:t>3.1</w:t>
            </w:r>
            <w:r>
              <w:rPr>
                <w:color w:val="000000"/>
                <w:szCs w:val="21"/>
              </w:rPr>
              <w:t>t/a</w:t>
            </w:r>
          </w:p>
        </w:tc>
        <w:tc>
          <w:tcPr>
            <w:tcW w:w="299" w:type="pct"/>
            <w:vAlign w:val="center"/>
          </w:tcPr>
          <w:p w14:paraId="12DD799D">
            <w:pPr>
              <w:pStyle w:val="49"/>
              <w:keepNext w:val="0"/>
              <w:keepLines w:val="0"/>
              <w:pageBreakBefore w:val="0"/>
              <w:widowControl w:val="0"/>
              <w:kinsoku/>
              <w:overflowPunct/>
              <w:topLinePunct w:val="0"/>
              <w:autoSpaceDE/>
              <w:autoSpaceDN/>
              <w:bidi w:val="0"/>
              <w:adjustRightInd/>
              <w:snapToGrid w:val="0"/>
              <w:textAlignment w:val="auto"/>
              <w:rPr>
                <w:rFonts w:hAnsi="宋体" w:cs="宋体"/>
                <w:color w:val="000000"/>
                <w:kern w:val="21"/>
                <w:szCs w:val="21"/>
              </w:rPr>
            </w:pPr>
            <w:r>
              <w:rPr>
                <w:rFonts w:hint="eastAsia" w:hAnsi="宋体" w:cs="宋体"/>
                <w:color w:val="000000"/>
                <w:kern w:val="21"/>
                <w:szCs w:val="21"/>
              </w:rPr>
              <w:t>/</w:t>
            </w:r>
          </w:p>
        </w:tc>
      </w:tr>
    </w:tbl>
    <w:p w14:paraId="61621854">
      <w:pPr>
        <w:pStyle w:val="49"/>
        <w:wordWrap w:val="0"/>
        <w:jc w:val="both"/>
        <w:rPr>
          <w:sz w:val="21"/>
          <w:szCs w:val="21"/>
        </w:rPr>
      </w:pPr>
      <w:r>
        <w:rPr>
          <w:rFonts w:hint="eastAsia" w:ascii="仿宋" w:hAnsi="仿宋" w:eastAsia="仿宋" w:cs="仿宋"/>
          <w:snapToGrid w:val="0"/>
          <w:color w:val="auto"/>
          <w:kern w:val="21"/>
          <w:sz w:val="21"/>
          <w:szCs w:val="21"/>
        </w:rPr>
        <w:t>注：</w:t>
      </w:r>
      <w:r>
        <w:rPr>
          <w:rFonts w:hint="eastAsia" w:ascii="仿宋" w:hAnsi="仿宋" w:eastAsia="仿宋" w:cs="仿宋"/>
          <w:snapToGrid w:val="0"/>
          <w:color w:val="auto"/>
          <w:spacing w:val="-16"/>
          <w:kern w:val="21"/>
          <w:sz w:val="21"/>
          <w:szCs w:val="21"/>
        </w:rPr>
        <w:fldChar w:fldCharType="begin"/>
      </w:r>
      <w:r>
        <w:rPr>
          <w:rFonts w:hint="eastAsia" w:ascii="仿宋" w:hAnsi="仿宋" w:eastAsia="仿宋" w:cs="仿宋"/>
          <w:snapToGrid w:val="0"/>
          <w:color w:val="auto"/>
          <w:spacing w:val="-16"/>
          <w:kern w:val="21"/>
          <w:sz w:val="21"/>
          <w:szCs w:val="21"/>
        </w:rPr>
        <w:instrText xml:space="preserve"> = 6 \* GB3 \* MERGEFORMAT </w:instrText>
      </w:r>
      <w:r>
        <w:rPr>
          <w:rFonts w:hint="eastAsia" w:ascii="仿宋" w:hAnsi="仿宋" w:eastAsia="仿宋" w:cs="仿宋"/>
          <w:snapToGrid w:val="0"/>
          <w:color w:val="auto"/>
          <w:spacing w:val="-16"/>
          <w:kern w:val="21"/>
          <w:sz w:val="21"/>
          <w:szCs w:val="21"/>
        </w:rPr>
        <w:fldChar w:fldCharType="separate"/>
      </w:r>
      <w:r>
        <w:rPr>
          <w:rFonts w:hint="eastAsia" w:ascii="仿宋" w:hAnsi="仿宋" w:eastAsia="仿宋" w:cs="仿宋"/>
          <w:color w:val="auto"/>
          <w:sz w:val="21"/>
          <w:szCs w:val="21"/>
        </w:rPr>
        <w:t>⑥</w:t>
      </w:r>
      <w:r>
        <w:rPr>
          <w:rFonts w:hint="eastAsia" w:ascii="仿宋" w:hAnsi="仿宋" w:eastAsia="仿宋" w:cs="仿宋"/>
          <w:snapToGrid w:val="0"/>
          <w:color w:val="auto"/>
          <w:spacing w:val="-16"/>
          <w:kern w:val="21"/>
          <w:sz w:val="21"/>
          <w:szCs w:val="21"/>
        </w:rPr>
        <w:fldChar w:fldCharType="end"/>
      </w:r>
      <w:r>
        <w:rPr>
          <w:rFonts w:hint="eastAsia" w:ascii="仿宋" w:hAnsi="仿宋" w:eastAsia="仿宋" w:cs="仿宋"/>
          <w:snapToGrid w:val="0"/>
          <w:color w:val="auto"/>
          <w:spacing w:val="-16"/>
          <w:kern w:val="21"/>
          <w:sz w:val="21"/>
          <w:szCs w:val="21"/>
        </w:rPr>
        <w:t>=</w:t>
      </w:r>
      <w:r>
        <w:rPr>
          <w:rFonts w:hint="eastAsia" w:ascii="仿宋" w:hAnsi="仿宋" w:eastAsia="仿宋" w:cs="仿宋"/>
          <w:snapToGrid w:val="0"/>
          <w:color w:val="auto"/>
          <w:spacing w:val="-6"/>
          <w:kern w:val="21"/>
          <w:sz w:val="21"/>
          <w:szCs w:val="21"/>
        </w:rPr>
        <w:fldChar w:fldCharType="begin"/>
      </w:r>
      <w:r>
        <w:rPr>
          <w:rFonts w:hint="eastAsia" w:ascii="仿宋" w:hAnsi="仿宋" w:eastAsia="仿宋" w:cs="仿宋"/>
          <w:snapToGrid w:val="0"/>
          <w:color w:val="auto"/>
          <w:spacing w:val="-6"/>
          <w:kern w:val="21"/>
          <w:sz w:val="21"/>
          <w:szCs w:val="21"/>
        </w:rPr>
        <w:instrText xml:space="preserve"> = 1 \* GB3 \* MERGEFORMAT </w:instrText>
      </w:r>
      <w:r>
        <w:rPr>
          <w:rFonts w:hint="eastAsia" w:ascii="仿宋" w:hAnsi="仿宋" w:eastAsia="仿宋" w:cs="仿宋"/>
          <w:snapToGrid w:val="0"/>
          <w:color w:val="auto"/>
          <w:spacing w:val="-6"/>
          <w:kern w:val="21"/>
          <w:sz w:val="21"/>
          <w:szCs w:val="21"/>
        </w:rPr>
        <w:fldChar w:fldCharType="separate"/>
      </w:r>
      <w:r>
        <w:rPr>
          <w:rFonts w:hint="eastAsia" w:ascii="仿宋" w:hAnsi="仿宋" w:eastAsia="仿宋" w:cs="仿宋"/>
          <w:color w:val="auto"/>
          <w:sz w:val="21"/>
          <w:szCs w:val="21"/>
        </w:rPr>
        <w:t>①</w:t>
      </w:r>
      <w:r>
        <w:rPr>
          <w:rFonts w:hint="eastAsia" w:ascii="仿宋" w:hAnsi="仿宋" w:eastAsia="仿宋" w:cs="仿宋"/>
          <w:snapToGrid w:val="0"/>
          <w:color w:val="auto"/>
          <w:spacing w:val="-6"/>
          <w:kern w:val="21"/>
          <w:sz w:val="21"/>
          <w:szCs w:val="21"/>
        </w:rPr>
        <w:fldChar w:fldCharType="end"/>
      </w:r>
      <w:r>
        <w:rPr>
          <w:rFonts w:hint="eastAsia" w:ascii="仿宋" w:hAnsi="仿宋" w:eastAsia="仿宋" w:cs="仿宋"/>
          <w:snapToGrid w:val="0"/>
          <w:color w:val="auto"/>
          <w:spacing w:val="-6"/>
          <w:kern w:val="21"/>
          <w:sz w:val="21"/>
          <w:szCs w:val="21"/>
        </w:rPr>
        <w:t>+</w:t>
      </w:r>
      <w:r>
        <w:rPr>
          <w:rFonts w:hint="eastAsia" w:ascii="仿宋" w:hAnsi="仿宋" w:eastAsia="仿宋" w:cs="仿宋"/>
          <w:snapToGrid w:val="0"/>
          <w:color w:val="auto"/>
          <w:spacing w:val="-6"/>
          <w:kern w:val="21"/>
          <w:sz w:val="21"/>
          <w:szCs w:val="21"/>
        </w:rPr>
        <w:fldChar w:fldCharType="begin"/>
      </w:r>
      <w:r>
        <w:rPr>
          <w:rFonts w:hint="eastAsia" w:ascii="仿宋" w:hAnsi="仿宋" w:eastAsia="仿宋" w:cs="仿宋"/>
          <w:snapToGrid w:val="0"/>
          <w:color w:val="auto"/>
          <w:spacing w:val="-6"/>
          <w:kern w:val="21"/>
          <w:sz w:val="21"/>
          <w:szCs w:val="21"/>
        </w:rPr>
        <w:instrText xml:space="preserve"> = 3 \* GB3 \* MERGEFORMAT </w:instrText>
      </w:r>
      <w:r>
        <w:rPr>
          <w:rFonts w:hint="eastAsia" w:ascii="仿宋" w:hAnsi="仿宋" w:eastAsia="仿宋" w:cs="仿宋"/>
          <w:snapToGrid w:val="0"/>
          <w:color w:val="auto"/>
          <w:spacing w:val="-6"/>
          <w:kern w:val="21"/>
          <w:sz w:val="21"/>
          <w:szCs w:val="21"/>
        </w:rPr>
        <w:fldChar w:fldCharType="separate"/>
      </w:r>
      <w:r>
        <w:rPr>
          <w:rFonts w:hint="eastAsia" w:ascii="仿宋" w:hAnsi="仿宋" w:eastAsia="仿宋" w:cs="仿宋"/>
          <w:color w:val="auto"/>
          <w:sz w:val="21"/>
          <w:szCs w:val="21"/>
        </w:rPr>
        <w:t>③</w:t>
      </w:r>
      <w:r>
        <w:rPr>
          <w:rFonts w:hint="eastAsia" w:ascii="仿宋" w:hAnsi="仿宋" w:eastAsia="仿宋" w:cs="仿宋"/>
          <w:snapToGrid w:val="0"/>
          <w:color w:val="auto"/>
          <w:spacing w:val="-6"/>
          <w:kern w:val="21"/>
          <w:sz w:val="21"/>
          <w:szCs w:val="21"/>
        </w:rPr>
        <w:fldChar w:fldCharType="end"/>
      </w:r>
      <w:r>
        <w:rPr>
          <w:rFonts w:hint="eastAsia" w:ascii="仿宋" w:hAnsi="仿宋" w:eastAsia="仿宋" w:cs="仿宋"/>
          <w:snapToGrid w:val="0"/>
          <w:color w:val="auto"/>
          <w:spacing w:val="-6"/>
          <w:kern w:val="21"/>
          <w:sz w:val="21"/>
          <w:szCs w:val="21"/>
        </w:rPr>
        <w:t>+</w:t>
      </w:r>
      <w:r>
        <w:rPr>
          <w:rFonts w:hint="eastAsia" w:ascii="仿宋" w:hAnsi="仿宋" w:eastAsia="仿宋" w:cs="仿宋"/>
          <w:snapToGrid w:val="0"/>
          <w:color w:val="auto"/>
          <w:spacing w:val="-6"/>
          <w:kern w:val="21"/>
          <w:sz w:val="21"/>
          <w:szCs w:val="21"/>
        </w:rPr>
        <w:fldChar w:fldCharType="begin"/>
      </w:r>
      <w:r>
        <w:rPr>
          <w:rFonts w:hint="eastAsia" w:ascii="仿宋" w:hAnsi="仿宋" w:eastAsia="仿宋" w:cs="仿宋"/>
          <w:snapToGrid w:val="0"/>
          <w:color w:val="auto"/>
          <w:spacing w:val="-6"/>
          <w:kern w:val="21"/>
          <w:sz w:val="21"/>
          <w:szCs w:val="21"/>
        </w:rPr>
        <w:instrText xml:space="preserve"> = 4 \* GB3 \* MERGEFORMAT </w:instrText>
      </w:r>
      <w:r>
        <w:rPr>
          <w:rFonts w:hint="eastAsia" w:ascii="仿宋" w:hAnsi="仿宋" w:eastAsia="仿宋" w:cs="仿宋"/>
          <w:snapToGrid w:val="0"/>
          <w:color w:val="auto"/>
          <w:spacing w:val="-6"/>
          <w:kern w:val="21"/>
          <w:sz w:val="21"/>
          <w:szCs w:val="21"/>
        </w:rPr>
        <w:fldChar w:fldCharType="separate"/>
      </w:r>
      <w:r>
        <w:rPr>
          <w:rFonts w:hint="eastAsia" w:ascii="仿宋" w:hAnsi="仿宋" w:eastAsia="仿宋" w:cs="仿宋"/>
          <w:color w:val="auto"/>
          <w:sz w:val="21"/>
          <w:szCs w:val="21"/>
        </w:rPr>
        <w:t>④</w:t>
      </w:r>
      <w:r>
        <w:rPr>
          <w:rFonts w:hint="eastAsia" w:ascii="仿宋" w:hAnsi="仿宋" w:eastAsia="仿宋" w:cs="仿宋"/>
          <w:snapToGrid w:val="0"/>
          <w:color w:val="auto"/>
          <w:spacing w:val="-6"/>
          <w:kern w:val="21"/>
          <w:sz w:val="21"/>
          <w:szCs w:val="21"/>
        </w:rPr>
        <w:fldChar w:fldCharType="end"/>
      </w:r>
      <w:r>
        <w:rPr>
          <w:rFonts w:hint="eastAsia" w:ascii="仿宋" w:hAnsi="仿宋" w:eastAsia="仿宋" w:cs="仿宋"/>
          <w:snapToGrid w:val="0"/>
          <w:color w:val="auto"/>
          <w:spacing w:val="-6"/>
          <w:kern w:val="21"/>
          <w:sz w:val="21"/>
          <w:szCs w:val="21"/>
        </w:rPr>
        <w:t>-</w:t>
      </w:r>
      <w:r>
        <w:rPr>
          <w:rFonts w:hint="eastAsia" w:ascii="仿宋" w:hAnsi="仿宋" w:eastAsia="仿宋" w:cs="仿宋"/>
          <w:snapToGrid w:val="0"/>
          <w:color w:val="auto"/>
          <w:spacing w:val="-16"/>
          <w:kern w:val="21"/>
          <w:sz w:val="21"/>
          <w:szCs w:val="21"/>
        </w:rPr>
        <w:fldChar w:fldCharType="begin"/>
      </w:r>
      <w:r>
        <w:rPr>
          <w:rFonts w:hint="eastAsia" w:ascii="仿宋" w:hAnsi="仿宋" w:eastAsia="仿宋" w:cs="仿宋"/>
          <w:snapToGrid w:val="0"/>
          <w:color w:val="auto"/>
          <w:spacing w:val="-16"/>
          <w:kern w:val="21"/>
          <w:sz w:val="21"/>
          <w:szCs w:val="21"/>
        </w:rPr>
        <w:instrText xml:space="preserve"> = 5 \* GB3 \* MERGEFORMAT </w:instrText>
      </w:r>
      <w:r>
        <w:rPr>
          <w:rFonts w:hint="eastAsia" w:ascii="仿宋" w:hAnsi="仿宋" w:eastAsia="仿宋" w:cs="仿宋"/>
          <w:snapToGrid w:val="0"/>
          <w:color w:val="auto"/>
          <w:spacing w:val="-16"/>
          <w:kern w:val="21"/>
          <w:sz w:val="21"/>
          <w:szCs w:val="21"/>
        </w:rPr>
        <w:fldChar w:fldCharType="separate"/>
      </w:r>
      <w:r>
        <w:rPr>
          <w:rFonts w:hint="eastAsia" w:ascii="仿宋" w:hAnsi="仿宋" w:eastAsia="仿宋" w:cs="仿宋"/>
          <w:color w:val="auto"/>
          <w:sz w:val="21"/>
          <w:szCs w:val="21"/>
        </w:rPr>
        <w:t>⑤</w:t>
      </w:r>
      <w:r>
        <w:rPr>
          <w:rFonts w:hint="eastAsia" w:ascii="仿宋" w:hAnsi="仿宋" w:eastAsia="仿宋" w:cs="仿宋"/>
          <w:snapToGrid w:val="0"/>
          <w:color w:val="auto"/>
          <w:spacing w:val="-16"/>
          <w:kern w:val="21"/>
          <w:sz w:val="21"/>
          <w:szCs w:val="21"/>
        </w:rPr>
        <w:fldChar w:fldCharType="end"/>
      </w:r>
      <w:r>
        <w:rPr>
          <w:rFonts w:hint="eastAsia" w:ascii="仿宋" w:hAnsi="仿宋" w:eastAsia="仿宋" w:cs="仿宋"/>
          <w:snapToGrid w:val="0"/>
          <w:color w:val="auto"/>
          <w:spacing w:val="-16"/>
          <w:kern w:val="21"/>
          <w:sz w:val="21"/>
          <w:szCs w:val="21"/>
        </w:rPr>
        <w:t>；</w:t>
      </w:r>
      <w:r>
        <w:rPr>
          <w:rFonts w:hint="eastAsia" w:ascii="仿宋" w:hAnsi="仿宋" w:eastAsia="仿宋" w:cs="仿宋"/>
          <w:snapToGrid w:val="0"/>
          <w:color w:val="auto"/>
          <w:spacing w:val="-6"/>
          <w:kern w:val="21"/>
          <w:sz w:val="21"/>
          <w:szCs w:val="21"/>
        </w:rPr>
        <w:fldChar w:fldCharType="begin"/>
      </w:r>
      <w:r>
        <w:rPr>
          <w:rFonts w:hint="eastAsia" w:ascii="仿宋" w:hAnsi="仿宋" w:eastAsia="仿宋" w:cs="仿宋"/>
          <w:snapToGrid w:val="0"/>
          <w:color w:val="auto"/>
          <w:spacing w:val="-6"/>
          <w:kern w:val="21"/>
          <w:sz w:val="21"/>
          <w:szCs w:val="21"/>
        </w:rPr>
        <w:instrText xml:space="preserve"> = 7 \* GB3 \* MERGEFORMAT </w:instrText>
      </w:r>
      <w:r>
        <w:rPr>
          <w:rFonts w:hint="eastAsia" w:ascii="仿宋" w:hAnsi="仿宋" w:eastAsia="仿宋" w:cs="仿宋"/>
          <w:snapToGrid w:val="0"/>
          <w:color w:val="auto"/>
          <w:spacing w:val="-6"/>
          <w:kern w:val="21"/>
          <w:sz w:val="21"/>
          <w:szCs w:val="21"/>
        </w:rPr>
        <w:fldChar w:fldCharType="separate"/>
      </w:r>
      <w:r>
        <w:rPr>
          <w:rFonts w:hint="eastAsia" w:ascii="仿宋" w:hAnsi="仿宋" w:eastAsia="仿宋" w:cs="仿宋"/>
          <w:color w:val="auto"/>
          <w:sz w:val="21"/>
          <w:szCs w:val="21"/>
        </w:rPr>
        <w:t>⑦</w:t>
      </w:r>
      <w:r>
        <w:rPr>
          <w:rFonts w:hint="eastAsia" w:ascii="仿宋" w:hAnsi="仿宋" w:eastAsia="仿宋" w:cs="仿宋"/>
          <w:snapToGrid w:val="0"/>
          <w:color w:val="auto"/>
          <w:spacing w:val="-6"/>
          <w:kern w:val="21"/>
          <w:sz w:val="21"/>
          <w:szCs w:val="21"/>
        </w:rPr>
        <w:fldChar w:fldCharType="end"/>
      </w:r>
      <w:r>
        <w:rPr>
          <w:rFonts w:hint="eastAsia" w:ascii="仿宋" w:hAnsi="仿宋" w:eastAsia="仿宋" w:cs="仿宋"/>
          <w:snapToGrid w:val="0"/>
          <w:color w:val="auto"/>
          <w:spacing w:val="-6"/>
          <w:kern w:val="21"/>
          <w:sz w:val="21"/>
          <w:szCs w:val="21"/>
        </w:rPr>
        <w:t>=</w:t>
      </w:r>
      <w:r>
        <w:rPr>
          <w:rFonts w:hint="eastAsia" w:ascii="仿宋" w:hAnsi="仿宋" w:eastAsia="仿宋" w:cs="仿宋"/>
          <w:snapToGrid w:val="0"/>
          <w:color w:val="auto"/>
          <w:spacing w:val="-16"/>
          <w:kern w:val="21"/>
          <w:sz w:val="21"/>
          <w:szCs w:val="21"/>
        </w:rPr>
        <w:fldChar w:fldCharType="begin"/>
      </w:r>
      <w:r>
        <w:rPr>
          <w:rFonts w:hint="eastAsia" w:ascii="仿宋" w:hAnsi="仿宋" w:eastAsia="仿宋" w:cs="仿宋"/>
          <w:snapToGrid w:val="0"/>
          <w:color w:val="auto"/>
          <w:spacing w:val="-16"/>
          <w:kern w:val="21"/>
          <w:sz w:val="21"/>
          <w:szCs w:val="21"/>
        </w:rPr>
        <w:instrText xml:space="preserve"> = 6 \* GB3 \* MERGEFORMAT </w:instrText>
      </w:r>
      <w:r>
        <w:rPr>
          <w:rFonts w:hint="eastAsia" w:ascii="仿宋" w:hAnsi="仿宋" w:eastAsia="仿宋" w:cs="仿宋"/>
          <w:snapToGrid w:val="0"/>
          <w:color w:val="auto"/>
          <w:spacing w:val="-16"/>
          <w:kern w:val="21"/>
          <w:sz w:val="21"/>
          <w:szCs w:val="21"/>
        </w:rPr>
        <w:fldChar w:fldCharType="separate"/>
      </w:r>
      <w:r>
        <w:rPr>
          <w:rFonts w:hint="eastAsia" w:ascii="仿宋" w:hAnsi="仿宋" w:eastAsia="仿宋" w:cs="仿宋"/>
          <w:color w:val="auto"/>
          <w:sz w:val="21"/>
          <w:szCs w:val="21"/>
        </w:rPr>
        <w:t>⑥</w:t>
      </w:r>
      <w:r>
        <w:rPr>
          <w:rFonts w:hint="eastAsia" w:ascii="仿宋" w:hAnsi="仿宋" w:eastAsia="仿宋" w:cs="仿宋"/>
          <w:snapToGrid w:val="0"/>
          <w:color w:val="auto"/>
          <w:spacing w:val="-16"/>
          <w:kern w:val="21"/>
          <w:sz w:val="21"/>
          <w:szCs w:val="21"/>
        </w:rPr>
        <w:fldChar w:fldCharType="end"/>
      </w:r>
      <w:r>
        <w:rPr>
          <w:rFonts w:hint="eastAsia" w:ascii="仿宋" w:hAnsi="仿宋" w:eastAsia="仿宋" w:cs="仿宋"/>
          <w:snapToGrid w:val="0"/>
          <w:color w:val="auto"/>
          <w:spacing w:val="-16"/>
          <w:kern w:val="21"/>
          <w:sz w:val="21"/>
          <w:szCs w:val="21"/>
        </w:rPr>
        <w:t>-</w:t>
      </w:r>
      <w:r>
        <w:rPr>
          <w:rFonts w:hint="eastAsia" w:ascii="仿宋" w:hAnsi="仿宋" w:eastAsia="仿宋" w:cs="仿宋"/>
          <w:snapToGrid w:val="0"/>
          <w:color w:val="auto"/>
          <w:spacing w:val="-6"/>
          <w:kern w:val="21"/>
          <w:sz w:val="21"/>
          <w:szCs w:val="21"/>
        </w:rPr>
        <w:fldChar w:fldCharType="begin"/>
      </w:r>
      <w:r>
        <w:rPr>
          <w:rFonts w:hint="eastAsia" w:ascii="仿宋" w:hAnsi="仿宋" w:eastAsia="仿宋" w:cs="仿宋"/>
          <w:snapToGrid w:val="0"/>
          <w:color w:val="auto"/>
          <w:spacing w:val="-6"/>
          <w:kern w:val="21"/>
          <w:sz w:val="21"/>
          <w:szCs w:val="21"/>
        </w:rPr>
        <w:instrText xml:space="preserve"> = 1 \* GB3 \* MERGEFORMAT </w:instrText>
      </w:r>
      <w:r>
        <w:rPr>
          <w:rFonts w:hint="eastAsia" w:ascii="仿宋" w:hAnsi="仿宋" w:eastAsia="仿宋" w:cs="仿宋"/>
          <w:snapToGrid w:val="0"/>
          <w:color w:val="auto"/>
          <w:spacing w:val="-6"/>
          <w:kern w:val="21"/>
          <w:sz w:val="21"/>
          <w:szCs w:val="21"/>
        </w:rPr>
        <w:fldChar w:fldCharType="separate"/>
      </w:r>
      <w:r>
        <w:rPr>
          <w:rFonts w:hint="eastAsia" w:ascii="仿宋" w:hAnsi="仿宋" w:eastAsia="仿宋" w:cs="仿宋"/>
          <w:color w:val="auto"/>
          <w:sz w:val="21"/>
          <w:szCs w:val="21"/>
        </w:rPr>
        <w:t>①</w:t>
      </w:r>
      <w:r>
        <w:rPr>
          <w:rFonts w:hint="eastAsia" w:ascii="仿宋" w:hAnsi="仿宋" w:eastAsia="仿宋" w:cs="仿宋"/>
          <w:snapToGrid w:val="0"/>
          <w:color w:val="auto"/>
          <w:spacing w:val="-6"/>
          <w:kern w:val="21"/>
          <w:sz w:val="21"/>
          <w:szCs w:val="21"/>
        </w:rPr>
        <w:fldChar w:fldCharType="end"/>
      </w:r>
    </w:p>
    <w:sectPr>
      <w:pgSz w:w="16838" w:h="11906" w:orient="landscape"/>
      <w:pgMar w:top="1440" w:right="1080" w:bottom="1440" w:left="1080" w:header="851" w:footer="851" w:gutter="0"/>
      <w:pgBorders>
        <w:top w:val="none" w:sz="0" w:space="0"/>
        <w:left w:val="none" w:sz="0" w:space="0"/>
        <w:bottom w:val="none" w:sz="0" w:space="0"/>
        <w:right w:val="none" w:sz="0" w:space="0"/>
      </w:pgBorders>
      <w:pgNumType w:fmt="decimal"/>
      <w:cols w:space="720"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03" w:usb1="288F0000" w:usb2="00000006" w:usb3="00000000" w:csb0="00040001" w:csb1="00000000"/>
  </w:font>
  <w:font w:name="方正小标宋_GBK">
    <w:altName w:val="Arial Unicode MS"/>
    <w:panose1 w:val="02000000000000000000"/>
    <w:charset w:val="86"/>
    <w:family w:val="script"/>
    <w:pitch w:val="default"/>
    <w:sig w:usb0="00000000" w:usb1="00000000" w:usb2="00082016" w:usb3="00000000" w:csb0="00040001" w:csb1="00000000"/>
  </w:font>
  <w:font w:name="Arial Unicode MS">
    <w:panose1 w:val="020B0604020202020204"/>
    <w:charset w:val="86"/>
    <w:family w:val="auto"/>
    <w:pitch w:val="default"/>
    <w:sig w:usb0="FFFFFFFF" w:usb1="E9FFFFFF" w:usb2="0000003F" w:usb3="00000000" w:csb0="603F01FF" w:csb1="FFFF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 w:name="..ì.">
    <w:altName w:val="宋体"/>
    <w:panose1 w:val="00000000000000000000"/>
    <w:charset w:val="86"/>
    <w:family w:val="roma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Segoe UI">
    <w:panose1 w:val="020B0502040204020203"/>
    <w:charset w:val="00"/>
    <w:family w:val="auto"/>
    <w:pitch w:val="default"/>
    <w:sig w:usb0="E4002EFF" w:usb1="C000E47F" w:usb2="00000009" w:usb3="00000000" w:csb0="200001FF" w:csb1="00000000"/>
  </w:font>
  <w:font w:name="仿宋_GB2312">
    <w:altName w:val="仿宋"/>
    <w:panose1 w:val="00000000000000000000"/>
    <w:charset w:val="00"/>
    <w:family w:val="auto"/>
    <w:pitch w:val="default"/>
    <w:sig w:usb0="00000000" w:usb1="00000000" w:usb2="00000000" w:usb3="00000000" w:csb0="00000000" w:csb1="00000000"/>
  </w:font>
  <w:font w:name="system">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A0834F">
    <w:pPr>
      <w:pStyle w:val="21"/>
      <w:ind w:right="360" w:firstLine="42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F5B3E7">
    <w:pPr>
      <w:pStyle w:val="2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400685" cy="153035"/>
              <wp:effectExtent l="0" t="0" r="18415" b="18415"/>
              <wp:wrapNone/>
              <wp:docPr id="11"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400685" cy="153035"/>
                      </a:xfrm>
                      <a:prstGeom prst="rect">
                        <a:avLst/>
                      </a:prstGeom>
                      <a:noFill/>
                      <a:ln>
                        <a:noFill/>
                      </a:ln>
                    </wps:spPr>
                    <wps:txbx>
                      <w:txbxContent>
                        <w:p w14:paraId="364DF7E6">
                          <w:pPr>
                            <w:pStyle w:val="21"/>
                            <w:rPr>
                              <w:szCs w:val="21"/>
                            </w:rPr>
                          </w:pPr>
                          <w:r>
                            <w:rPr>
                              <w:szCs w:val="21"/>
                            </w:rPr>
                            <w:t xml:space="preserve">— </w:t>
                          </w:r>
                          <w:r>
                            <w:rPr>
                              <w:szCs w:val="21"/>
                            </w:rPr>
                            <w:fldChar w:fldCharType="begin"/>
                          </w:r>
                          <w:r>
                            <w:rPr>
                              <w:szCs w:val="21"/>
                            </w:rPr>
                            <w:instrText xml:space="preserve"> PAGE  \* MERGEFORMAT </w:instrText>
                          </w:r>
                          <w:r>
                            <w:rPr>
                              <w:szCs w:val="21"/>
                            </w:rPr>
                            <w:fldChar w:fldCharType="separate"/>
                          </w:r>
                          <w:r>
                            <w:rPr>
                              <w:szCs w:val="21"/>
                            </w:rPr>
                            <w:t>4</w:t>
                          </w:r>
                          <w:r>
                            <w:rPr>
                              <w:szCs w:val="21"/>
                            </w:rPr>
                            <w:fldChar w:fldCharType="end"/>
                          </w:r>
                          <w:r>
                            <w:rPr>
                              <w:szCs w:val="21"/>
                            </w:rPr>
                            <w:t xml:space="preserve"> —</w:t>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2.05pt;width:31.55pt;mso-position-horizontal:center;mso-position-horizontal-relative:margin;mso-wrap-style:none;z-index:251661312;mso-width-relative:page;mso-height-relative:page;" filled="f" stroked="f" coordsize="21600,21600" o:gfxdata="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741hn0gAAAAMBAAAPAAAAAAAAAAEAIAAAACIAAABkcnMv&#10;ZG93bnJldi54bWxQSwECFAAUAAAACACHTuJAiChEBgkCAAAEBAAADgAAAAAAAAABACAAAAAhAQAA&#10;ZHJzL2Uyb0RvYy54bWxQSwUGAAAAAAYABgBZAQAAnAUAAAAA&#10;">
              <v:fill on="f" focussize="0,0"/>
              <v:stroke on="f"/>
              <v:imagedata o:title=""/>
              <o:lock v:ext="edit" aspectratio="f"/>
              <v:textbox inset="0mm,0mm,0mm,0mm" style="mso-fit-shape-to-text:t;">
                <w:txbxContent>
                  <w:p w14:paraId="364DF7E6">
                    <w:pPr>
                      <w:pStyle w:val="21"/>
                      <w:rPr>
                        <w:szCs w:val="21"/>
                      </w:rPr>
                    </w:pPr>
                    <w:r>
                      <w:rPr>
                        <w:szCs w:val="21"/>
                      </w:rPr>
                      <w:t xml:space="preserve">— </w:t>
                    </w:r>
                    <w:r>
                      <w:rPr>
                        <w:szCs w:val="21"/>
                      </w:rPr>
                      <w:fldChar w:fldCharType="begin"/>
                    </w:r>
                    <w:r>
                      <w:rPr>
                        <w:szCs w:val="21"/>
                      </w:rPr>
                      <w:instrText xml:space="preserve"> PAGE  \* MERGEFORMAT </w:instrText>
                    </w:r>
                    <w:r>
                      <w:rPr>
                        <w:szCs w:val="21"/>
                      </w:rPr>
                      <w:fldChar w:fldCharType="separate"/>
                    </w:r>
                    <w:r>
                      <w:rPr>
                        <w:szCs w:val="21"/>
                      </w:rPr>
                      <w:t>4</w:t>
                    </w:r>
                    <w:r>
                      <w:rPr>
                        <w:szCs w:val="21"/>
                      </w:rPr>
                      <w:fldChar w:fldCharType="end"/>
                    </w:r>
                    <w:r>
                      <w:rPr>
                        <w:szCs w:val="21"/>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3014B">
    <w:pPr>
      <w:pStyle w:val="2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BC7708">
    <w:pPr>
      <w:pStyle w:val="21"/>
      <w:rPr>
        <w:sz w:val="18"/>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400685" cy="153035"/>
              <wp:effectExtent l="0" t="0" r="18415" b="18415"/>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00685" cy="153035"/>
                      </a:xfrm>
                      <a:prstGeom prst="rect">
                        <a:avLst/>
                      </a:prstGeom>
                      <a:noFill/>
                      <a:ln>
                        <a:noFill/>
                      </a:ln>
                    </wps:spPr>
                    <wps:txbx>
                      <w:txbxContent>
                        <w:p w14:paraId="304F5183">
                          <w:pPr>
                            <w:pStyle w:val="21"/>
                            <w:rPr>
                              <w:szCs w:val="21"/>
                            </w:rPr>
                          </w:pPr>
                          <w:r>
                            <w:rPr>
                              <w:szCs w:val="21"/>
                            </w:rPr>
                            <w:t xml:space="preserve">— </w:t>
                          </w:r>
                          <w:r>
                            <w:rPr>
                              <w:szCs w:val="21"/>
                            </w:rPr>
                            <w:fldChar w:fldCharType="begin"/>
                          </w:r>
                          <w:r>
                            <w:rPr>
                              <w:szCs w:val="21"/>
                            </w:rPr>
                            <w:instrText xml:space="preserve"> PAGE  \* MERGEFORMAT </w:instrText>
                          </w:r>
                          <w:r>
                            <w:rPr>
                              <w:szCs w:val="21"/>
                            </w:rPr>
                            <w:fldChar w:fldCharType="separate"/>
                          </w:r>
                          <w:r>
                            <w:rPr>
                              <w:szCs w:val="21"/>
                            </w:rPr>
                            <w:t>1</w:t>
                          </w:r>
                          <w:r>
                            <w:rPr>
                              <w:szCs w:val="21"/>
                            </w:rPr>
                            <w:fldChar w:fldCharType="end"/>
                          </w:r>
                          <w:r>
                            <w:rPr>
                              <w:szCs w:val="21"/>
                            </w:rPr>
                            <w:t xml:space="preserve"> —</w:t>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2.05pt;width:31.55pt;mso-position-horizontal:center;mso-position-horizontal-relative:margin;mso-wrap-style:none;z-index:251660288;mso-width-relative:page;mso-height-relative:page;" filled="f" stroked="f" coordsize="21600,21600" o:gfxdata="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NYZ9IAAAADAQAADwAAAAAAAAABACAAAAAiAAAAZHJz&#10;L2Rvd25yZXYueG1sUEsBAhQAFAAAAAgAh07iQBPyRscKAgAAAgQAAA4AAAAAAAAAAQAgAAAAIQEA&#10;AGRycy9lMm9Eb2MueG1sUEsFBgAAAAAGAAYAWQEAAJ0FAAAAAA==&#10;">
              <v:fill on="f" focussize="0,0"/>
              <v:stroke on="f"/>
              <v:imagedata o:title=""/>
              <o:lock v:ext="edit" aspectratio="f"/>
              <v:textbox inset="0mm,0mm,0mm,0mm" style="mso-fit-shape-to-text:t;">
                <w:txbxContent>
                  <w:p w14:paraId="304F5183">
                    <w:pPr>
                      <w:pStyle w:val="21"/>
                      <w:rPr>
                        <w:szCs w:val="21"/>
                      </w:rPr>
                    </w:pPr>
                    <w:r>
                      <w:rPr>
                        <w:szCs w:val="21"/>
                      </w:rPr>
                      <w:t xml:space="preserve">— </w:t>
                    </w:r>
                    <w:r>
                      <w:rPr>
                        <w:szCs w:val="21"/>
                      </w:rPr>
                      <w:fldChar w:fldCharType="begin"/>
                    </w:r>
                    <w:r>
                      <w:rPr>
                        <w:szCs w:val="21"/>
                      </w:rPr>
                      <w:instrText xml:space="preserve"> PAGE  \* MERGEFORMAT </w:instrText>
                    </w:r>
                    <w:r>
                      <w:rPr>
                        <w:szCs w:val="21"/>
                      </w:rPr>
                      <w:fldChar w:fldCharType="separate"/>
                    </w:r>
                    <w:r>
                      <w:rPr>
                        <w:szCs w:val="21"/>
                      </w:rPr>
                      <w:t>1</w:t>
                    </w:r>
                    <w:r>
                      <w:rPr>
                        <w:szCs w:val="21"/>
                      </w:rPr>
                      <w:fldChar w:fldCharType="end"/>
                    </w:r>
                    <w:r>
                      <w:rPr>
                        <w:szCs w:val="21"/>
                      </w:rPr>
                      <w:t xml:space="preserve"> —</w:t>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inside</wp:align>
              </wp:positionH>
              <wp:positionV relativeFrom="paragraph">
                <wp:posOffset>0</wp:posOffset>
              </wp:positionV>
              <wp:extent cx="400685" cy="153035"/>
              <wp:effectExtent l="0" t="0" r="3175" b="0"/>
              <wp:wrapNone/>
              <wp:docPr id="8" name="文本框 8"/>
              <wp:cNvGraphicFramePr/>
              <a:graphic xmlns:a="http://schemas.openxmlformats.org/drawingml/2006/main">
                <a:graphicData uri="http://schemas.microsoft.com/office/word/2010/wordprocessingShape">
                  <wps:wsp>
                    <wps:cNvSpPr txBox="1">
                      <a:spLocks noChangeArrowheads="1"/>
                    </wps:cNvSpPr>
                    <wps:spPr bwMode="auto">
                      <a:xfrm>
                        <a:off x="0" y="0"/>
                        <a:ext cx="400685" cy="153035"/>
                      </a:xfrm>
                      <a:prstGeom prst="rect">
                        <a:avLst/>
                      </a:prstGeom>
                      <a:noFill/>
                      <a:ln>
                        <a:noFill/>
                      </a:ln>
                    </wps:spPr>
                    <wps:txbx>
                      <w:txbxContent>
                        <w:p w14:paraId="46061CD9">
                          <w:pPr>
                            <w:pStyle w:val="21"/>
                            <w:ind w:firstLine="210"/>
                            <w:rPr>
                              <w:szCs w:val="21"/>
                            </w:rPr>
                          </w:pP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2.05pt;width:31.55pt;mso-position-horizontal:inside;mso-position-horizontal-relative:margin;mso-wrap-style:none;z-index:251659264;mso-width-relative:page;mso-height-relative:page;" filled="f" stroked="f" coordsize="21600,21600" o:gfxdata="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NYZ9IAAAADAQAADwAAAAAAAAABACAAAAAiAAAAZHJz&#10;L2Rvd25yZXYueG1sUEsBAhQAFAAAAAgAh07iQOA5LzoKAgAAAgQAAA4AAAAAAAAAAQAgAAAAIQEA&#10;AGRycy9lMm9Eb2MueG1sUEsFBgAAAAAGAAYAWQEAAJ0FAAAAAA==&#10;">
              <v:fill on="f" focussize="0,0"/>
              <v:stroke on="f"/>
              <v:imagedata o:title=""/>
              <o:lock v:ext="edit" aspectratio="f"/>
              <v:textbox inset="0mm,0mm,0mm,0mm" style="mso-fit-shape-to-text:t;">
                <w:txbxContent>
                  <w:p w14:paraId="46061CD9">
                    <w:pPr>
                      <w:pStyle w:val="21"/>
                      <w:ind w:firstLine="210"/>
                      <w:rPr>
                        <w:szCs w:val="21"/>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28ECC7">
    <w:pPr>
      <w:pStyle w:val="21"/>
      <w:rPr>
        <w:sz w:val="18"/>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400685" cy="153035"/>
              <wp:effectExtent l="0" t="0" r="0" b="0"/>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400685" cy="153035"/>
                      </a:xfrm>
                      <a:prstGeom prst="rect">
                        <a:avLst/>
                      </a:prstGeom>
                      <a:noFill/>
                      <a:ln>
                        <a:noFill/>
                      </a:ln>
                    </wps:spPr>
                    <wps:txbx>
                      <w:txbxContent>
                        <w:p w14:paraId="51290D3E">
                          <w:pPr>
                            <w:pStyle w:val="21"/>
                            <w:rPr>
                              <w:szCs w:val="21"/>
                            </w:rPr>
                          </w:pPr>
                          <w:r>
                            <w:rPr>
                              <w:szCs w:val="21"/>
                            </w:rPr>
                            <w:t xml:space="preserve">— </w:t>
                          </w:r>
                          <w:r>
                            <w:rPr>
                              <w:szCs w:val="21"/>
                            </w:rPr>
                            <w:fldChar w:fldCharType="begin"/>
                          </w:r>
                          <w:r>
                            <w:rPr>
                              <w:szCs w:val="21"/>
                            </w:rPr>
                            <w:instrText xml:space="preserve"> PAGE  \* MERGEFORMAT </w:instrText>
                          </w:r>
                          <w:r>
                            <w:rPr>
                              <w:szCs w:val="21"/>
                            </w:rPr>
                            <w:fldChar w:fldCharType="separate"/>
                          </w:r>
                          <w:r>
                            <w:rPr>
                              <w:szCs w:val="21"/>
                            </w:rPr>
                            <w:t>1</w:t>
                          </w:r>
                          <w:r>
                            <w:rPr>
                              <w:szCs w:val="21"/>
                            </w:rPr>
                            <w:fldChar w:fldCharType="end"/>
                          </w:r>
                          <w:r>
                            <w:rPr>
                              <w:szCs w:val="21"/>
                            </w:rPr>
                            <w:t xml:space="preserve"> —</w:t>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2.05pt;width:31.55pt;mso-position-horizontal:center;mso-position-horizontal-relative:margin;mso-wrap-style:none;z-index:251663360;mso-width-relative:page;mso-height-relative:page;" filled="f" stroked="f" coordsize="21600,21600" o:gfxdata="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vjWGfSAAAAAwEAAA8AAAAAAAAAAQAgAAAAIgAAAGRycy9k&#10;b3ducmV2LnhtbFBLAQIUABQAAAAIAIdO4kCbLZIACAIAAAIEAAAOAAAAAAAAAAEAIAAAACEBAABk&#10;cnMvZTJvRG9jLnhtbFBLBQYAAAAABgAGAFkBAACbBQAAAAA=&#10;">
              <v:fill on="f" focussize="0,0"/>
              <v:stroke on="f"/>
              <v:imagedata o:title=""/>
              <o:lock v:ext="edit" aspectratio="f"/>
              <v:textbox inset="0mm,0mm,0mm,0mm" style="mso-fit-shape-to-text:t;">
                <w:txbxContent>
                  <w:p w14:paraId="51290D3E">
                    <w:pPr>
                      <w:pStyle w:val="21"/>
                      <w:rPr>
                        <w:szCs w:val="21"/>
                      </w:rPr>
                    </w:pPr>
                    <w:r>
                      <w:rPr>
                        <w:szCs w:val="21"/>
                      </w:rPr>
                      <w:t xml:space="preserve">— </w:t>
                    </w:r>
                    <w:r>
                      <w:rPr>
                        <w:szCs w:val="21"/>
                      </w:rPr>
                      <w:fldChar w:fldCharType="begin"/>
                    </w:r>
                    <w:r>
                      <w:rPr>
                        <w:szCs w:val="21"/>
                      </w:rPr>
                      <w:instrText xml:space="preserve"> PAGE  \* MERGEFORMAT </w:instrText>
                    </w:r>
                    <w:r>
                      <w:rPr>
                        <w:szCs w:val="21"/>
                      </w:rPr>
                      <w:fldChar w:fldCharType="separate"/>
                    </w:r>
                    <w:r>
                      <w:rPr>
                        <w:szCs w:val="21"/>
                      </w:rPr>
                      <w:t>1</w:t>
                    </w:r>
                    <w:r>
                      <w:rPr>
                        <w:szCs w:val="21"/>
                      </w:rPr>
                      <w:fldChar w:fldCharType="end"/>
                    </w:r>
                    <w:r>
                      <w:rPr>
                        <w:szCs w:val="21"/>
                      </w:rPr>
                      <w:t xml:space="preserve"> —</w:t>
                    </w:r>
                  </w:p>
                </w:txbxContent>
              </v:textbox>
            </v:shape>
          </w:pict>
        </mc:Fallback>
      </mc:AlternateContent>
    </w:r>
    <w:r>
      <w:rPr>
        <w:sz w:val="18"/>
      </w:rPr>
      <mc:AlternateContent>
        <mc:Choice Requires="wps">
          <w:drawing>
            <wp:anchor distT="0" distB="0" distL="114300" distR="114300" simplePos="0" relativeHeight="251662336" behindDoc="0" locked="0" layoutInCell="1" allowOverlap="1">
              <wp:simplePos x="0" y="0"/>
              <wp:positionH relativeFrom="margin">
                <wp:align>inside</wp:align>
              </wp:positionH>
              <wp:positionV relativeFrom="paragraph">
                <wp:posOffset>0</wp:posOffset>
              </wp:positionV>
              <wp:extent cx="400685" cy="153035"/>
              <wp:effectExtent l="0" t="0" r="0" b="0"/>
              <wp:wrapNone/>
              <wp:docPr id="6" name="文本框 6"/>
              <wp:cNvGraphicFramePr/>
              <a:graphic xmlns:a="http://schemas.openxmlformats.org/drawingml/2006/main">
                <a:graphicData uri="http://schemas.microsoft.com/office/word/2010/wordprocessingShape">
                  <wps:wsp>
                    <wps:cNvSpPr txBox="1">
                      <a:spLocks noChangeArrowheads="1"/>
                    </wps:cNvSpPr>
                    <wps:spPr bwMode="auto">
                      <a:xfrm>
                        <a:off x="0" y="0"/>
                        <a:ext cx="400685" cy="153035"/>
                      </a:xfrm>
                      <a:prstGeom prst="rect">
                        <a:avLst/>
                      </a:prstGeom>
                      <a:noFill/>
                      <a:ln>
                        <a:noFill/>
                      </a:ln>
                    </wps:spPr>
                    <wps:txbx>
                      <w:txbxContent>
                        <w:p w14:paraId="1F8BCEE9">
                          <w:pPr>
                            <w:pStyle w:val="21"/>
                            <w:ind w:firstLine="210"/>
                            <w:rPr>
                              <w:szCs w:val="21"/>
                            </w:rPr>
                          </w:pP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2.05pt;width:31.55pt;mso-position-horizontal:inside;mso-position-horizontal-relative:margin;mso-wrap-style:none;z-index:251662336;mso-width-relative:page;mso-height-relative:page;" filled="f" stroked="f" coordsize="21600,21600" o:gfxdata="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NYZ9IAAAADAQAADwAAAAAAAAABACAAAAAiAAAAZHJz&#10;L2Rvd25yZXYueG1sUEsBAhQAFAAAAAgAh07iQLIh+RYKAgAAAgQAAA4AAAAAAAAAAQAgAAAAIQEA&#10;AGRycy9lMm9Eb2MueG1sUEsFBgAAAAAGAAYAWQEAAJ0FAAAAAA==&#10;">
              <v:fill on="f" focussize="0,0"/>
              <v:stroke on="f"/>
              <v:imagedata o:title=""/>
              <o:lock v:ext="edit" aspectratio="f"/>
              <v:textbox inset="0mm,0mm,0mm,0mm" style="mso-fit-shape-to-text:t;">
                <w:txbxContent>
                  <w:p w14:paraId="1F8BCEE9">
                    <w:pPr>
                      <w:pStyle w:val="21"/>
                      <w:ind w:firstLine="210"/>
                      <w:rPr>
                        <w:szCs w:val="21"/>
                      </w:rPr>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48862F">
    <w:pPr>
      <w:pStyle w:val="21"/>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400685" cy="153035"/>
              <wp:effectExtent l="0" t="0" r="0" b="0"/>
              <wp:wrapNone/>
              <wp:docPr id="14" name="文本框 14"/>
              <wp:cNvGraphicFramePr/>
              <a:graphic xmlns:a="http://schemas.openxmlformats.org/drawingml/2006/main">
                <a:graphicData uri="http://schemas.microsoft.com/office/word/2010/wordprocessingShape">
                  <wps:wsp>
                    <wps:cNvSpPr txBox="1">
                      <a:spLocks noChangeArrowheads="1"/>
                    </wps:cNvSpPr>
                    <wps:spPr bwMode="auto">
                      <a:xfrm>
                        <a:off x="0" y="0"/>
                        <a:ext cx="400685" cy="153035"/>
                      </a:xfrm>
                      <a:prstGeom prst="rect">
                        <a:avLst/>
                      </a:prstGeom>
                      <a:noFill/>
                      <a:ln>
                        <a:noFill/>
                      </a:ln>
                    </wps:spPr>
                    <wps:txbx>
                      <w:txbxContent>
                        <w:p w14:paraId="4E4A5F89">
                          <w:pPr>
                            <w:pStyle w:val="21"/>
                            <w:rPr>
                              <w:szCs w:val="21"/>
                            </w:rPr>
                          </w:pPr>
                          <w:r>
                            <w:rPr>
                              <w:szCs w:val="21"/>
                            </w:rPr>
                            <w:t xml:space="preserve">— </w:t>
                          </w:r>
                          <w:r>
                            <w:rPr>
                              <w:szCs w:val="21"/>
                            </w:rPr>
                            <w:fldChar w:fldCharType="begin"/>
                          </w:r>
                          <w:r>
                            <w:rPr>
                              <w:szCs w:val="21"/>
                            </w:rPr>
                            <w:instrText xml:space="preserve"> PAGE  \* MERGEFORMAT </w:instrText>
                          </w:r>
                          <w:r>
                            <w:rPr>
                              <w:szCs w:val="21"/>
                            </w:rPr>
                            <w:fldChar w:fldCharType="separate"/>
                          </w:r>
                          <w:r>
                            <w:rPr>
                              <w:szCs w:val="21"/>
                            </w:rPr>
                            <w:t>4</w:t>
                          </w:r>
                          <w:r>
                            <w:rPr>
                              <w:szCs w:val="21"/>
                            </w:rPr>
                            <w:fldChar w:fldCharType="end"/>
                          </w:r>
                          <w:r>
                            <w:rPr>
                              <w:szCs w:val="21"/>
                            </w:rPr>
                            <w:t xml:space="preserve"> —</w:t>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2.05pt;width:31.55pt;mso-position-horizontal:center;mso-position-horizontal-relative:margin;mso-wrap-style:none;z-index:251664384;mso-width-relative:page;mso-height-relative:page;" filled="f" stroked="f" coordsize="21600,21600" o:gfxdata="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&#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vjWGfSAAAAAwEAAA8AAAAAAAAAAQAgAAAAIgAAAGRy&#10;cy9kb3ducmV2LnhtbFBLAQIUABQAAAAIAIdO4kCL0/IVCwIAAAQEAAAOAAAAAAAAAAEAIAAAACEB&#10;AABkcnMvZTJvRG9jLnhtbFBLBQYAAAAABgAGAFkBAACeBQAAAAA=&#10;">
              <v:fill on="f" focussize="0,0"/>
              <v:stroke on="f"/>
              <v:imagedata o:title=""/>
              <o:lock v:ext="edit" aspectratio="f"/>
              <v:textbox inset="0mm,0mm,0mm,0mm" style="mso-fit-shape-to-text:t;">
                <w:txbxContent>
                  <w:p w14:paraId="4E4A5F89">
                    <w:pPr>
                      <w:pStyle w:val="21"/>
                      <w:rPr>
                        <w:szCs w:val="21"/>
                      </w:rPr>
                    </w:pPr>
                    <w:r>
                      <w:rPr>
                        <w:szCs w:val="21"/>
                      </w:rPr>
                      <w:t xml:space="preserve">— </w:t>
                    </w:r>
                    <w:r>
                      <w:rPr>
                        <w:szCs w:val="21"/>
                      </w:rPr>
                      <w:fldChar w:fldCharType="begin"/>
                    </w:r>
                    <w:r>
                      <w:rPr>
                        <w:szCs w:val="21"/>
                      </w:rPr>
                      <w:instrText xml:space="preserve"> PAGE  \* MERGEFORMAT </w:instrText>
                    </w:r>
                    <w:r>
                      <w:rPr>
                        <w:szCs w:val="21"/>
                      </w:rPr>
                      <w:fldChar w:fldCharType="separate"/>
                    </w:r>
                    <w:r>
                      <w:rPr>
                        <w:szCs w:val="21"/>
                      </w:rPr>
                      <w:t>4</w:t>
                    </w:r>
                    <w:r>
                      <w:rPr>
                        <w:szCs w:val="21"/>
                      </w:rPr>
                      <w:fldChar w:fldCharType="end"/>
                    </w:r>
                    <w:r>
                      <w:rPr>
                        <w:szCs w:val="21"/>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594F19">
    <w:pPr>
      <w:ind w:firstLine="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A3978">
    <w:pPr>
      <w:keepNext w:val="0"/>
      <w:keepLines w:val="0"/>
      <w:pageBreakBefore w:val="0"/>
      <w:widowControl w:val="0"/>
      <w:kinsoku/>
      <w:wordWrap/>
      <w:overflowPunct/>
      <w:topLinePunct w:val="0"/>
      <w:bidi w:val="0"/>
      <w:adjustRightInd/>
      <w:snapToGrid w:val="0"/>
      <w:spacing w:line="240" w:lineRule="auto"/>
      <w:ind w:firstLine="0" w:firstLineChars="0"/>
      <w:textAlignment w:val="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197263">
    <w:pPr>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C8DA46">
    <w:pPr>
      <w:pStyle w:val="25"/>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2AE0E2">
    <w:pPr>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BEA58F1"/>
    <w:multiLevelType w:val="multilevel"/>
    <w:tmpl w:val="5BEA58F1"/>
    <w:lvl w:ilvl="0" w:tentative="0">
      <w:start w:val="1"/>
      <w:numFmt w:val="decimal"/>
      <w:suff w:val="nothing"/>
      <w:lvlText w:val="%1"/>
      <w:lvlJc w:val="left"/>
      <w:pPr>
        <w:ind w:left="0" w:firstLine="0"/>
      </w:pPr>
      <w:rPr>
        <w:rFonts w:hint="eastAsia"/>
      </w:rPr>
    </w:lvl>
    <w:lvl w:ilvl="1" w:tentative="0">
      <w:start w:val="1"/>
      <w:numFmt w:val="decimal"/>
      <w:lvlText w:val="（%2）"/>
      <w:lvlJc w:val="left"/>
      <w:pPr>
        <w:ind w:left="1140"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644D3847"/>
    <w:multiLevelType w:val="multilevel"/>
    <w:tmpl w:val="644D3847"/>
    <w:lvl w:ilvl="0" w:tentative="0">
      <w:start w:val="1"/>
      <w:numFmt w:val="none"/>
      <w:suff w:val="nothing"/>
      <w:lvlText w:val="%1"/>
      <w:lvlJc w:val="left"/>
      <w:pPr>
        <w:ind w:left="0" w:firstLine="0"/>
      </w:pPr>
      <w:rPr>
        <w:rFonts w:hint="eastAsia"/>
      </w:rPr>
    </w:lvl>
    <w:lvl w:ilvl="1" w:tentative="0">
      <w:start w:val="1"/>
      <w:numFmt w:val="chineseCountingThousand"/>
      <w:suff w:val="nothing"/>
      <w:lvlText w:val="%2、"/>
      <w:lvlJc w:val="left"/>
      <w:pPr>
        <w:ind w:left="0" w:firstLine="0"/>
      </w:pPr>
      <w:rPr>
        <w:rFonts w:hint="eastAsia"/>
      </w:rPr>
    </w:lvl>
    <w:lvl w:ilvl="2" w:tentative="0">
      <w:start w:val="1"/>
      <w:numFmt w:val="decimal"/>
      <w:pStyle w:val="70"/>
      <w:suff w:val="nothing"/>
      <w:lvlText w:val="%3、"/>
      <w:lvlJc w:val="left"/>
      <w:pPr>
        <w:ind w:left="210" w:firstLine="0"/>
      </w:pPr>
      <w:rPr>
        <w:rFonts w:hint="eastAsia"/>
        <w:b w:val="0"/>
      </w:rPr>
    </w:lvl>
    <w:lvl w:ilvl="3" w:tentative="0">
      <w:start w:val="1"/>
      <w:numFmt w:val="decimal"/>
      <w:pStyle w:val="71"/>
      <w:suff w:val="space"/>
      <w:lvlText w:val="%3.%4"/>
      <w:lvlJc w:val="left"/>
      <w:pPr>
        <w:ind w:left="420" w:firstLine="0"/>
      </w:pPr>
      <w:rPr>
        <w:rFonts w:hint="eastAsia"/>
      </w:rPr>
    </w:lvl>
    <w:lvl w:ilvl="4" w:tentative="0">
      <w:start w:val="1"/>
      <w:numFmt w:val="decimal"/>
      <w:pStyle w:val="72"/>
      <w:suff w:val="space"/>
      <w:lvlText w:val="%3.%4.%5"/>
      <w:lvlJc w:val="left"/>
      <w:pPr>
        <w:ind w:left="0" w:firstLine="0"/>
      </w:pPr>
      <w:rPr>
        <w:rFonts w:hint="eastAsia"/>
      </w:rPr>
    </w:lvl>
    <w:lvl w:ilvl="5" w:tentative="0">
      <w:start w:val="1"/>
      <w:numFmt w:val="decimal"/>
      <w:lvlRestart w:val="0"/>
      <w:pStyle w:val="73"/>
      <w:suff w:val="space"/>
      <w:lvlText w:val="表%6"/>
      <w:lvlJc w:val="center"/>
      <w:pPr>
        <w:ind w:left="0" w:firstLine="0"/>
      </w:pPr>
      <w:rPr>
        <w:rFonts w:hint="default"/>
        <w:b/>
        <w:bCs/>
        <w:sz w:val="22"/>
        <w:szCs w:val="22"/>
      </w:rPr>
    </w:lvl>
    <w:lvl w:ilvl="6" w:tentative="0">
      <w:start w:val="1"/>
      <w:numFmt w:val="decimal"/>
      <w:lvlRestart w:val="0"/>
      <w:suff w:val="space"/>
      <w:lvlText w:val="图%7"/>
      <w:lvlJc w:val="center"/>
      <w:pPr>
        <w:ind w:left="0" w:firstLine="0"/>
      </w:pPr>
      <w:rPr>
        <w:rFonts w:hint="eastAsia"/>
      </w:rPr>
    </w:lvl>
    <w:lvl w:ilvl="7" w:tentative="0">
      <w:start w:val="1"/>
      <w:numFmt w:val="lowerLetter"/>
      <w:lvlText w:val="%8)"/>
      <w:lvlJc w:val="left"/>
      <w:pPr>
        <w:ind w:left="0" w:firstLine="0"/>
      </w:pPr>
      <w:rPr>
        <w:rFonts w:hint="eastAsia"/>
      </w:rPr>
    </w:lvl>
    <w:lvl w:ilvl="8" w:tentative="0">
      <w:start w:val="1"/>
      <w:numFmt w:val="lowerRoman"/>
      <w:lvlText w:val="%9."/>
      <w:lvlJc w:val="right"/>
      <w:pPr>
        <w:ind w:left="0" w:firstLine="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attachedTemplate r:id="rId1"/>
  <w:documentProtection w:edit="trackedChanges" w:enforcement="0"/>
  <w:defaultTabStop w:val="423"/>
  <w:doNotHyphenateCaps/>
  <w:evenAndOddHeaders w:val="1"/>
  <w:drawingGridHorizontalSpacing w:val="240"/>
  <w:drawingGridVerticalSpacing w:val="156"/>
  <w:displayHorizontalDrawingGridEvery w:val="1"/>
  <w:displayVerticalDrawingGridEvery w:val="1"/>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gzZThiOGY1ODVjY2M2NzM0MDUyMmFjNTZlYjE4YzkifQ=="/>
  </w:docVars>
  <w:rsids>
    <w:rsidRoot w:val="00A14947"/>
    <w:rsid w:val="0000110F"/>
    <w:rsid w:val="00004C8D"/>
    <w:rsid w:val="000060B3"/>
    <w:rsid w:val="0000731D"/>
    <w:rsid w:val="00010380"/>
    <w:rsid w:val="000105D1"/>
    <w:rsid w:val="00015279"/>
    <w:rsid w:val="00017949"/>
    <w:rsid w:val="00020D97"/>
    <w:rsid w:val="00021A4B"/>
    <w:rsid w:val="000220C0"/>
    <w:rsid w:val="00023189"/>
    <w:rsid w:val="00024925"/>
    <w:rsid w:val="000263F9"/>
    <w:rsid w:val="00032CE9"/>
    <w:rsid w:val="00037CB3"/>
    <w:rsid w:val="0004201E"/>
    <w:rsid w:val="0004364B"/>
    <w:rsid w:val="00043DAF"/>
    <w:rsid w:val="000502AA"/>
    <w:rsid w:val="000578BC"/>
    <w:rsid w:val="000617FC"/>
    <w:rsid w:val="00061B1F"/>
    <w:rsid w:val="0006274A"/>
    <w:rsid w:val="00064739"/>
    <w:rsid w:val="00066515"/>
    <w:rsid w:val="0006795D"/>
    <w:rsid w:val="0007133D"/>
    <w:rsid w:val="000733C4"/>
    <w:rsid w:val="00073474"/>
    <w:rsid w:val="00074783"/>
    <w:rsid w:val="00075A82"/>
    <w:rsid w:val="0007736C"/>
    <w:rsid w:val="0008070B"/>
    <w:rsid w:val="000810AC"/>
    <w:rsid w:val="00081A02"/>
    <w:rsid w:val="00082231"/>
    <w:rsid w:val="00082D68"/>
    <w:rsid w:val="00092C7D"/>
    <w:rsid w:val="00092D38"/>
    <w:rsid w:val="0009377B"/>
    <w:rsid w:val="000940A1"/>
    <w:rsid w:val="00095532"/>
    <w:rsid w:val="00096789"/>
    <w:rsid w:val="000A1EA6"/>
    <w:rsid w:val="000A20C9"/>
    <w:rsid w:val="000B058F"/>
    <w:rsid w:val="000B4467"/>
    <w:rsid w:val="000B4DB9"/>
    <w:rsid w:val="000B59D6"/>
    <w:rsid w:val="000C09AC"/>
    <w:rsid w:val="000C536F"/>
    <w:rsid w:val="000C767F"/>
    <w:rsid w:val="000C7E67"/>
    <w:rsid w:val="000D10C2"/>
    <w:rsid w:val="000D4D9F"/>
    <w:rsid w:val="000D5A44"/>
    <w:rsid w:val="000E3ED2"/>
    <w:rsid w:val="000F1231"/>
    <w:rsid w:val="000F5457"/>
    <w:rsid w:val="000F7330"/>
    <w:rsid w:val="00101921"/>
    <w:rsid w:val="001021CD"/>
    <w:rsid w:val="001045FC"/>
    <w:rsid w:val="00104C47"/>
    <w:rsid w:val="001060A4"/>
    <w:rsid w:val="00106F2E"/>
    <w:rsid w:val="00110CD3"/>
    <w:rsid w:val="001116EB"/>
    <w:rsid w:val="00114FAD"/>
    <w:rsid w:val="00115491"/>
    <w:rsid w:val="00120D65"/>
    <w:rsid w:val="00120DD2"/>
    <w:rsid w:val="0012296F"/>
    <w:rsid w:val="001235EE"/>
    <w:rsid w:val="00124668"/>
    <w:rsid w:val="00124B30"/>
    <w:rsid w:val="001250FB"/>
    <w:rsid w:val="00131F42"/>
    <w:rsid w:val="001328D4"/>
    <w:rsid w:val="00133210"/>
    <w:rsid w:val="001357F1"/>
    <w:rsid w:val="00135BAF"/>
    <w:rsid w:val="00140CA3"/>
    <w:rsid w:val="00140E16"/>
    <w:rsid w:val="00140FA8"/>
    <w:rsid w:val="00142FEB"/>
    <w:rsid w:val="00143536"/>
    <w:rsid w:val="00143A2D"/>
    <w:rsid w:val="00144273"/>
    <w:rsid w:val="00144382"/>
    <w:rsid w:val="001454C8"/>
    <w:rsid w:val="00145A41"/>
    <w:rsid w:val="00151675"/>
    <w:rsid w:val="00154E2F"/>
    <w:rsid w:val="00154F0E"/>
    <w:rsid w:val="00156D7C"/>
    <w:rsid w:val="00157435"/>
    <w:rsid w:val="00157D44"/>
    <w:rsid w:val="00161A72"/>
    <w:rsid w:val="00162BD8"/>
    <w:rsid w:val="00165432"/>
    <w:rsid w:val="0017020A"/>
    <w:rsid w:val="00172499"/>
    <w:rsid w:val="001731BD"/>
    <w:rsid w:val="00174893"/>
    <w:rsid w:val="0017504D"/>
    <w:rsid w:val="0017671A"/>
    <w:rsid w:val="00177422"/>
    <w:rsid w:val="00184590"/>
    <w:rsid w:val="00185359"/>
    <w:rsid w:val="001870D1"/>
    <w:rsid w:val="0018781E"/>
    <w:rsid w:val="0019137E"/>
    <w:rsid w:val="00191F7D"/>
    <w:rsid w:val="0019262D"/>
    <w:rsid w:val="00193193"/>
    <w:rsid w:val="00196AD4"/>
    <w:rsid w:val="00197E88"/>
    <w:rsid w:val="001A0DDA"/>
    <w:rsid w:val="001A1B35"/>
    <w:rsid w:val="001A334E"/>
    <w:rsid w:val="001A3DD7"/>
    <w:rsid w:val="001A48A2"/>
    <w:rsid w:val="001A6F61"/>
    <w:rsid w:val="001A7A57"/>
    <w:rsid w:val="001B1128"/>
    <w:rsid w:val="001B18AC"/>
    <w:rsid w:val="001B31B0"/>
    <w:rsid w:val="001B72B8"/>
    <w:rsid w:val="001B7EDC"/>
    <w:rsid w:val="001C18C8"/>
    <w:rsid w:val="001C4A7B"/>
    <w:rsid w:val="001C69B3"/>
    <w:rsid w:val="001C7D15"/>
    <w:rsid w:val="001D5595"/>
    <w:rsid w:val="001D625E"/>
    <w:rsid w:val="001D7874"/>
    <w:rsid w:val="001D7F22"/>
    <w:rsid w:val="001E1041"/>
    <w:rsid w:val="001E17B1"/>
    <w:rsid w:val="001E1CAB"/>
    <w:rsid w:val="001E2A78"/>
    <w:rsid w:val="001E2FC0"/>
    <w:rsid w:val="001E669C"/>
    <w:rsid w:val="001F0F17"/>
    <w:rsid w:val="001F3347"/>
    <w:rsid w:val="001F69E4"/>
    <w:rsid w:val="001F79A4"/>
    <w:rsid w:val="002043D9"/>
    <w:rsid w:val="0020459E"/>
    <w:rsid w:val="002106BD"/>
    <w:rsid w:val="002125B4"/>
    <w:rsid w:val="00214FA7"/>
    <w:rsid w:val="002155B8"/>
    <w:rsid w:val="00217FC2"/>
    <w:rsid w:val="002228B6"/>
    <w:rsid w:val="00224839"/>
    <w:rsid w:val="002249B2"/>
    <w:rsid w:val="00226574"/>
    <w:rsid w:val="002278EC"/>
    <w:rsid w:val="0023280E"/>
    <w:rsid w:val="00233081"/>
    <w:rsid w:val="0023399F"/>
    <w:rsid w:val="00233BC6"/>
    <w:rsid w:val="00235C81"/>
    <w:rsid w:val="00236DA2"/>
    <w:rsid w:val="002377D1"/>
    <w:rsid w:val="0023782C"/>
    <w:rsid w:val="002404EC"/>
    <w:rsid w:val="00245D2A"/>
    <w:rsid w:val="00245EA7"/>
    <w:rsid w:val="002471F4"/>
    <w:rsid w:val="002506BC"/>
    <w:rsid w:val="0025203F"/>
    <w:rsid w:val="002532AC"/>
    <w:rsid w:val="00254345"/>
    <w:rsid w:val="00255653"/>
    <w:rsid w:val="00264557"/>
    <w:rsid w:val="00264C06"/>
    <w:rsid w:val="0027075B"/>
    <w:rsid w:val="00271A99"/>
    <w:rsid w:val="002744B7"/>
    <w:rsid w:val="00277209"/>
    <w:rsid w:val="002805AB"/>
    <w:rsid w:val="0028091B"/>
    <w:rsid w:val="00282059"/>
    <w:rsid w:val="00283446"/>
    <w:rsid w:val="00283B3E"/>
    <w:rsid w:val="00283F22"/>
    <w:rsid w:val="00284204"/>
    <w:rsid w:val="002865DD"/>
    <w:rsid w:val="00286615"/>
    <w:rsid w:val="00287E6E"/>
    <w:rsid w:val="00291773"/>
    <w:rsid w:val="00292F2A"/>
    <w:rsid w:val="00292F4D"/>
    <w:rsid w:val="00296456"/>
    <w:rsid w:val="00297019"/>
    <w:rsid w:val="002A168C"/>
    <w:rsid w:val="002A3DC7"/>
    <w:rsid w:val="002A465E"/>
    <w:rsid w:val="002A6519"/>
    <w:rsid w:val="002B1D67"/>
    <w:rsid w:val="002B49E2"/>
    <w:rsid w:val="002B7B00"/>
    <w:rsid w:val="002B7C44"/>
    <w:rsid w:val="002C037F"/>
    <w:rsid w:val="002C17DC"/>
    <w:rsid w:val="002C2B17"/>
    <w:rsid w:val="002C4763"/>
    <w:rsid w:val="002C7D4B"/>
    <w:rsid w:val="002D3DD0"/>
    <w:rsid w:val="002D7C1A"/>
    <w:rsid w:val="002E1F3A"/>
    <w:rsid w:val="002E2816"/>
    <w:rsid w:val="002E298A"/>
    <w:rsid w:val="002E2AD7"/>
    <w:rsid w:val="002E57BB"/>
    <w:rsid w:val="002E6217"/>
    <w:rsid w:val="002E6FDD"/>
    <w:rsid w:val="002F2F09"/>
    <w:rsid w:val="002F534A"/>
    <w:rsid w:val="002F54A8"/>
    <w:rsid w:val="003006C9"/>
    <w:rsid w:val="00301978"/>
    <w:rsid w:val="0030332C"/>
    <w:rsid w:val="003051C2"/>
    <w:rsid w:val="00306560"/>
    <w:rsid w:val="003068D8"/>
    <w:rsid w:val="00306E78"/>
    <w:rsid w:val="00307540"/>
    <w:rsid w:val="00312296"/>
    <w:rsid w:val="00314664"/>
    <w:rsid w:val="00314F0E"/>
    <w:rsid w:val="0031503B"/>
    <w:rsid w:val="003152A2"/>
    <w:rsid w:val="00321D8E"/>
    <w:rsid w:val="00325928"/>
    <w:rsid w:val="0032630B"/>
    <w:rsid w:val="00326AB2"/>
    <w:rsid w:val="00327E52"/>
    <w:rsid w:val="00332863"/>
    <w:rsid w:val="00335E43"/>
    <w:rsid w:val="0033684D"/>
    <w:rsid w:val="00337B42"/>
    <w:rsid w:val="00341B42"/>
    <w:rsid w:val="0034348F"/>
    <w:rsid w:val="00344732"/>
    <w:rsid w:val="00345E03"/>
    <w:rsid w:val="003471E8"/>
    <w:rsid w:val="003500CC"/>
    <w:rsid w:val="0035050B"/>
    <w:rsid w:val="00352DC3"/>
    <w:rsid w:val="003530E6"/>
    <w:rsid w:val="00353322"/>
    <w:rsid w:val="00356653"/>
    <w:rsid w:val="0035689F"/>
    <w:rsid w:val="0035743F"/>
    <w:rsid w:val="003574A7"/>
    <w:rsid w:val="00357BE2"/>
    <w:rsid w:val="003604BA"/>
    <w:rsid w:val="003614C8"/>
    <w:rsid w:val="0036170C"/>
    <w:rsid w:val="00362F6C"/>
    <w:rsid w:val="00363D41"/>
    <w:rsid w:val="00366E0F"/>
    <w:rsid w:val="00370307"/>
    <w:rsid w:val="00372F27"/>
    <w:rsid w:val="00375EC7"/>
    <w:rsid w:val="00375F93"/>
    <w:rsid w:val="003770EE"/>
    <w:rsid w:val="00380AFB"/>
    <w:rsid w:val="00381A72"/>
    <w:rsid w:val="00384676"/>
    <w:rsid w:val="00390857"/>
    <w:rsid w:val="00392810"/>
    <w:rsid w:val="003937F7"/>
    <w:rsid w:val="0039436E"/>
    <w:rsid w:val="00397DC0"/>
    <w:rsid w:val="003A1ACB"/>
    <w:rsid w:val="003A32C9"/>
    <w:rsid w:val="003A4BF3"/>
    <w:rsid w:val="003B0247"/>
    <w:rsid w:val="003B340B"/>
    <w:rsid w:val="003B420D"/>
    <w:rsid w:val="003B6D14"/>
    <w:rsid w:val="003C0160"/>
    <w:rsid w:val="003C1908"/>
    <w:rsid w:val="003C53CE"/>
    <w:rsid w:val="003C59BE"/>
    <w:rsid w:val="003C6C16"/>
    <w:rsid w:val="003D794D"/>
    <w:rsid w:val="003E02B4"/>
    <w:rsid w:val="003E09F9"/>
    <w:rsid w:val="003E0BEE"/>
    <w:rsid w:val="003E1177"/>
    <w:rsid w:val="003E18FA"/>
    <w:rsid w:val="003E3058"/>
    <w:rsid w:val="003E3FFD"/>
    <w:rsid w:val="003E63CB"/>
    <w:rsid w:val="003E76A9"/>
    <w:rsid w:val="003E7AAC"/>
    <w:rsid w:val="003F0809"/>
    <w:rsid w:val="003F13A7"/>
    <w:rsid w:val="003F6A8C"/>
    <w:rsid w:val="003F755C"/>
    <w:rsid w:val="00405FA8"/>
    <w:rsid w:val="004066F7"/>
    <w:rsid w:val="00406F01"/>
    <w:rsid w:val="00410B8C"/>
    <w:rsid w:val="00412B4A"/>
    <w:rsid w:val="00414B7A"/>
    <w:rsid w:val="0041575D"/>
    <w:rsid w:val="00415E7B"/>
    <w:rsid w:val="00416D50"/>
    <w:rsid w:val="00416FD5"/>
    <w:rsid w:val="00417772"/>
    <w:rsid w:val="00420E6A"/>
    <w:rsid w:val="00422CE3"/>
    <w:rsid w:val="004245CE"/>
    <w:rsid w:val="00424E10"/>
    <w:rsid w:val="0042574D"/>
    <w:rsid w:val="00425A9E"/>
    <w:rsid w:val="00426D6B"/>
    <w:rsid w:val="00427A39"/>
    <w:rsid w:val="00431E6C"/>
    <w:rsid w:val="00432827"/>
    <w:rsid w:val="00433CE7"/>
    <w:rsid w:val="004403FA"/>
    <w:rsid w:val="00442128"/>
    <w:rsid w:val="00443A62"/>
    <w:rsid w:val="004461D4"/>
    <w:rsid w:val="00452738"/>
    <w:rsid w:val="00456091"/>
    <w:rsid w:val="0045760F"/>
    <w:rsid w:val="00457C83"/>
    <w:rsid w:val="004613C0"/>
    <w:rsid w:val="004621E0"/>
    <w:rsid w:val="0046268E"/>
    <w:rsid w:val="00466321"/>
    <w:rsid w:val="0046643D"/>
    <w:rsid w:val="00470FAA"/>
    <w:rsid w:val="004743A2"/>
    <w:rsid w:val="00475B04"/>
    <w:rsid w:val="00480694"/>
    <w:rsid w:val="0048185C"/>
    <w:rsid w:val="00484B9B"/>
    <w:rsid w:val="004855F6"/>
    <w:rsid w:val="0048661E"/>
    <w:rsid w:val="004869C6"/>
    <w:rsid w:val="00486C56"/>
    <w:rsid w:val="00486E87"/>
    <w:rsid w:val="00494482"/>
    <w:rsid w:val="00494670"/>
    <w:rsid w:val="00496EFF"/>
    <w:rsid w:val="00496F9D"/>
    <w:rsid w:val="004A1110"/>
    <w:rsid w:val="004A1C48"/>
    <w:rsid w:val="004A31CE"/>
    <w:rsid w:val="004A34D0"/>
    <w:rsid w:val="004A3823"/>
    <w:rsid w:val="004A64A8"/>
    <w:rsid w:val="004B22F2"/>
    <w:rsid w:val="004B7014"/>
    <w:rsid w:val="004B7040"/>
    <w:rsid w:val="004B76C8"/>
    <w:rsid w:val="004C55B8"/>
    <w:rsid w:val="004C698F"/>
    <w:rsid w:val="004C7E0C"/>
    <w:rsid w:val="004D13D0"/>
    <w:rsid w:val="004D2118"/>
    <w:rsid w:val="004D53C7"/>
    <w:rsid w:val="004D6FA8"/>
    <w:rsid w:val="004E0B31"/>
    <w:rsid w:val="004E0D02"/>
    <w:rsid w:val="004E37B8"/>
    <w:rsid w:val="004E537C"/>
    <w:rsid w:val="004E6946"/>
    <w:rsid w:val="004F0FE1"/>
    <w:rsid w:val="004F1AD8"/>
    <w:rsid w:val="004F61F7"/>
    <w:rsid w:val="004F7CDE"/>
    <w:rsid w:val="0050087C"/>
    <w:rsid w:val="005008F5"/>
    <w:rsid w:val="005039CB"/>
    <w:rsid w:val="00505254"/>
    <w:rsid w:val="0050558F"/>
    <w:rsid w:val="00506286"/>
    <w:rsid w:val="00507A20"/>
    <w:rsid w:val="00510813"/>
    <w:rsid w:val="00511990"/>
    <w:rsid w:val="00511DE0"/>
    <w:rsid w:val="00512351"/>
    <w:rsid w:val="00514870"/>
    <w:rsid w:val="00514B9B"/>
    <w:rsid w:val="00517F02"/>
    <w:rsid w:val="00524303"/>
    <w:rsid w:val="005258A2"/>
    <w:rsid w:val="00526288"/>
    <w:rsid w:val="00533AE2"/>
    <w:rsid w:val="00536D98"/>
    <w:rsid w:val="005370DA"/>
    <w:rsid w:val="00537256"/>
    <w:rsid w:val="005401AE"/>
    <w:rsid w:val="00540AA7"/>
    <w:rsid w:val="00541226"/>
    <w:rsid w:val="00542E07"/>
    <w:rsid w:val="00545424"/>
    <w:rsid w:val="00552EDE"/>
    <w:rsid w:val="00554A7B"/>
    <w:rsid w:val="00554AB8"/>
    <w:rsid w:val="0055572C"/>
    <w:rsid w:val="00556DB9"/>
    <w:rsid w:val="005571B2"/>
    <w:rsid w:val="0056106A"/>
    <w:rsid w:val="005623F8"/>
    <w:rsid w:val="00562CEB"/>
    <w:rsid w:val="005667AE"/>
    <w:rsid w:val="00567BA2"/>
    <w:rsid w:val="00570A3F"/>
    <w:rsid w:val="00571517"/>
    <w:rsid w:val="005715BA"/>
    <w:rsid w:val="005720AE"/>
    <w:rsid w:val="00585761"/>
    <w:rsid w:val="00585C27"/>
    <w:rsid w:val="00585ED5"/>
    <w:rsid w:val="005903D8"/>
    <w:rsid w:val="005928B0"/>
    <w:rsid w:val="00594D77"/>
    <w:rsid w:val="005969E4"/>
    <w:rsid w:val="005A06B7"/>
    <w:rsid w:val="005A1759"/>
    <w:rsid w:val="005A22BA"/>
    <w:rsid w:val="005A5AEA"/>
    <w:rsid w:val="005A68A7"/>
    <w:rsid w:val="005B04AE"/>
    <w:rsid w:val="005B3532"/>
    <w:rsid w:val="005B57CF"/>
    <w:rsid w:val="005B7654"/>
    <w:rsid w:val="005C0F93"/>
    <w:rsid w:val="005C1F20"/>
    <w:rsid w:val="005C52B7"/>
    <w:rsid w:val="005D0822"/>
    <w:rsid w:val="005D36AB"/>
    <w:rsid w:val="005D3E4F"/>
    <w:rsid w:val="005E1FD2"/>
    <w:rsid w:val="005F0661"/>
    <w:rsid w:val="005F0B5C"/>
    <w:rsid w:val="005F1584"/>
    <w:rsid w:val="005F15F5"/>
    <w:rsid w:val="005F5AB1"/>
    <w:rsid w:val="005F5AD0"/>
    <w:rsid w:val="005F5D97"/>
    <w:rsid w:val="00600DAF"/>
    <w:rsid w:val="00600E78"/>
    <w:rsid w:val="0060410E"/>
    <w:rsid w:val="0060595D"/>
    <w:rsid w:val="00614F3E"/>
    <w:rsid w:val="006179C0"/>
    <w:rsid w:val="00617CC3"/>
    <w:rsid w:val="00621D13"/>
    <w:rsid w:val="006229B0"/>
    <w:rsid w:val="00624C00"/>
    <w:rsid w:val="006277E8"/>
    <w:rsid w:val="00631842"/>
    <w:rsid w:val="006324AA"/>
    <w:rsid w:val="00632E4B"/>
    <w:rsid w:val="006331F3"/>
    <w:rsid w:val="006364FC"/>
    <w:rsid w:val="00636E2E"/>
    <w:rsid w:val="006377A6"/>
    <w:rsid w:val="00637A3D"/>
    <w:rsid w:val="006411EF"/>
    <w:rsid w:val="006412B0"/>
    <w:rsid w:val="00642FEE"/>
    <w:rsid w:val="006432CB"/>
    <w:rsid w:val="0064362B"/>
    <w:rsid w:val="00644BD8"/>
    <w:rsid w:val="00645533"/>
    <w:rsid w:val="006541B7"/>
    <w:rsid w:val="00656D9B"/>
    <w:rsid w:val="00672B98"/>
    <w:rsid w:val="006748B8"/>
    <w:rsid w:val="006775C3"/>
    <w:rsid w:val="00685080"/>
    <w:rsid w:val="00685E21"/>
    <w:rsid w:val="0068774D"/>
    <w:rsid w:val="00690AD1"/>
    <w:rsid w:val="00691BF6"/>
    <w:rsid w:val="0069290A"/>
    <w:rsid w:val="00694407"/>
    <w:rsid w:val="0069775A"/>
    <w:rsid w:val="00697813"/>
    <w:rsid w:val="006A1F4F"/>
    <w:rsid w:val="006A3EE8"/>
    <w:rsid w:val="006A4683"/>
    <w:rsid w:val="006A5900"/>
    <w:rsid w:val="006A7184"/>
    <w:rsid w:val="006A72BF"/>
    <w:rsid w:val="006B03F2"/>
    <w:rsid w:val="006B37DC"/>
    <w:rsid w:val="006B4F68"/>
    <w:rsid w:val="006B71F4"/>
    <w:rsid w:val="006C0103"/>
    <w:rsid w:val="006C0592"/>
    <w:rsid w:val="006C17A2"/>
    <w:rsid w:val="006C272E"/>
    <w:rsid w:val="006C5479"/>
    <w:rsid w:val="006C5A59"/>
    <w:rsid w:val="006C6241"/>
    <w:rsid w:val="006D13B5"/>
    <w:rsid w:val="006D4EAC"/>
    <w:rsid w:val="006E12FF"/>
    <w:rsid w:val="006E3B28"/>
    <w:rsid w:val="006E3F14"/>
    <w:rsid w:val="006E48C7"/>
    <w:rsid w:val="006E607E"/>
    <w:rsid w:val="006E7635"/>
    <w:rsid w:val="006F23DC"/>
    <w:rsid w:val="006F4C81"/>
    <w:rsid w:val="00702F3D"/>
    <w:rsid w:val="00705336"/>
    <w:rsid w:val="00706C5D"/>
    <w:rsid w:val="0070728E"/>
    <w:rsid w:val="007076CD"/>
    <w:rsid w:val="0071296C"/>
    <w:rsid w:val="007150FB"/>
    <w:rsid w:val="00716E14"/>
    <w:rsid w:val="00722796"/>
    <w:rsid w:val="00722BBC"/>
    <w:rsid w:val="00724552"/>
    <w:rsid w:val="007261F0"/>
    <w:rsid w:val="00732503"/>
    <w:rsid w:val="00732922"/>
    <w:rsid w:val="00733D7E"/>
    <w:rsid w:val="007355BC"/>
    <w:rsid w:val="00741557"/>
    <w:rsid w:val="007431E9"/>
    <w:rsid w:val="007434FB"/>
    <w:rsid w:val="007461A6"/>
    <w:rsid w:val="0075162E"/>
    <w:rsid w:val="00752EAB"/>
    <w:rsid w:val="0075382E"/>
    <w:rsid w:val="00753D57"/>
    <w:rsid w:val="00753E8A"/>
    <w:rsid w:val="00754034"/>
    <w:rsid w:val="00756556"/>
    <w:rsid w:val="0076094F"/>
    <w:rsid w:val="007618C4"/>
    <w:rsid w:val="00763178"/>
    <w:rsid w:val="00764298"/>
    <w:rsid w:val="00766174"/>
    <w:rsid w:val="007664B7"/>
    <w:rsid w:val="00767980"/>
    <w:rsid w:val="00770B19"/>
    <w:rsid w:val="00773ED0"/>
    <w:rsid w:val="0077463F"/>
    <w:rsid w:val="007759CE"/>
    <w:rsid w:val="007761CA"/>
    <w:rsid w:val="007770AC"/>
    <w:rsid w:val="00783087"/>
    <w:rsid w:val="007836EA"/>
    <w:rsid w:val="0078371F"/>
    <w:rsid w:val="00784CDA"/>
    <w:rsid w:val="007906C4"/>
    <w:rsid w:val="007923C1"/>
    <w:rsid w:val="00793BDE"/>
    <w:rsid w:val="007940EA"/>
    <w:rsid w:val="007967E8"/>
    <w:rsid w:val="007A1939"/>
    <w:rsid w:val="007A2170"/>
    <w:rsid w:val="007A22BF"/>
    <w:rsid w:val="007A3323"/>
    <w:rsid w:val="007A39DF"/>
    <w:rsid w:val="007A65FF"/>
    <w:rsid w:val="007B41C1"/>
    <w:rsid w:val="007B43A4"/>
    <w:rsid w:val="007B72B8"/>
    <w:rsid w:val="007B7A40"/>
    <w:rsid w:val="007B7A58"/>
    <w:rsid w:val="007C21B5"/>
    <w:rsid w:val="007C7076"/>
    <w:rsid w:val="007D17A0"/>
    <w:rsid w:val="007E05B9"/>
    <w:rsid w:val="007E2B44"/>
    <w:rsid w:val="007E4BD2"/>
    <w:rsid w:val="007F01D1"/>
    <w:rsid w:val="007F3689"/>
    <w:rsid w:val="007F4243"/>
    <w:rsid w:val="007F71ED"/>
    <w:rsid w:val="00801393"/>
    <w:rsid w:val="00802974"/>
    <w:rsid w:val="00802F88"/>
    <w:rsid w:val="0080681C"/>
    <w:rsid w:val="0081009C"/>
    <w:rsid w:val="0081293E"/>
    <w:rsid w:val="008130DC"/>
    <w:rsid w:val="00815465"/>
    <w:rsid w:val="00817E9A"/>
    <w:rsid w:val="008207D8"/>
    <w:rsid w:val="00824F6C"/>
    <w:rsid w:val="008306BD"/>
    <w:rsid w:val="00831041"/>
    <w:rsid w:val="00831A80"/>
    <w:rsid w:val="00832016"/>
    <w:rsid w:val="008327C0"/>
    <w:rsid w:val="00832D0E"/>
    <w:rsid w:val="00832D3D"/>
    <w:rsid w:val="00833743"/>
    <w:rsid w:val="008340A4"/>
    <w:rsid w:val="00837350"/>
    <w:rsid w:val="00841058"/>
    <w:rsid w:val="008462FF"/>
    <w:rsid w:val="00850A48"/>
    <w:rsid w:val="00851D96"/>
    <w:rsid w:val="00854938"/>
    <w:rsid w:val="008556EC"/>
    <w:rsid w:val="0085576D"/>
    <w:rsid w:val="008579C3"/>
    <w:rsid w:val="0086384F"/>
    <w:rsid w:val="00865CFF"/>
    <w:rsid w:val="0087135F"/>
    <w:rsid w:val="00872D94"/>
    <w:rsid w:val="00874469"/>
    <w:rsid w:val="0087562C"/>
    <w:rsid w:val="00877458"/>
    <w:rsid w:val="00880364"/>
    <w:rsid w:val="00883085"/>
    <w:rsid w:val="0088456D"/>
    <w:rsid w:val="00884C9A"/>
    <w:rsid w:val="00885BFE"/>
    <w:rsid w:val="0089019E"/>
    <w:rsid w:val="00891592"/>
    <w:rsid w:val="00891E9E"/>
    <w:rsid w:val="00892D29"/>
    <w:rsid w:val="00893ECE"/>
    <w:rsid w:val="00894F87"/>
    <w:rsid w:val="008966BC"/>
    <w:rsid w:val="008A2F68"/>
    <w:rsid w:val="008B2E11"/>
    <w:rsid w:val="008B4B16"/>
    <w:rsid w:val="008B4FA6"/>
    <w:rsid w:val="008B5282"/>
    <w:rsid w:val="008B6353"/>
    <w:rsid w:val="008B71FB"/>
    <w:rsid w:val="008B7C17"/>
    <w:rsid w:val="008C2D01"/>
    <w:rsid w:val="008C40E6"/>
    <w:rsid w:val="008C46E1"/>
    <w:rsid w:val="008C4DA0"/>
    <w:rsid w:val="008C4DC2"/>
    <w:rsid w:val="008C651E"/>
    <w:rsid w:val="008D0F7A"/>
    <w:rsid w:val="008D13D1"/>
    <w:rsid w:val="008D1FE3"/>
    <w:rsid w:val="008D2F34"/>
    <w:rsid w:val="008D647C"/>
    <w:rsid w:val="008D68E4"/>
    <w:rsid w:val="008E0506"/>
    <w:rsid w:val="008E0CFF"/>
    <w:rsid w:val="008E37C9"/>
    <w:rsid w:val="008E4BA1"/>
    <w:rsid w:val="008E5D6B"/>
    <w:rsid w:val="008E6E34"/>
    <w:rsid w:val="008E76F0"/>
    <w:rsid w:val="008F0527"/>
    <w:rsid w:val="008F15FE"/>
    <w:rsid w:val="008F2D29"/>
    <w:rsid w:val="008F5187"/>
    <w:rsid w:val="008F60D8"/>
    <w:rsid w:val="008F7BBB"/>
    <w:rsid w:val="0090093C"/>
    <w:rsid w:val="009019B7"/>
    <w:rsid w:val="00901CF7"/>
    <w:rsid w:val="00902727"/>
    <w:rsid w:val="0090312B"/>
    <w:rsid w:val="009037EE"/>
    <w:rsid w:val="00906CB7"/>
    <w:rsid w:val="00914E76"/>
    <w:rsid w:val="00916F5C"/>
    <w:rsid w:val="0091736D"/>
    <w:rsid w:val="00917B77"/>
    <w:rsid w:val="00921C37"/>
    <w:rsid w:val="00923584"/>
    <w:rsid w:val="00923DD8"/>
    <w:rsid w:val="00924840"/>
    <w:rsid w:val="0092601E"/>
    <w:rsid w:val="00926E2D"/>
    <w:rsid w:val="0093037A"/>
    <w:rsid w:val="009313DE"/>
    <w:rsid w:val="0093166B"/>
    <w:rsid w:val="009316EB"/>
    <w:rsid w:val="009329B6"/>
    <w:rsid w:val="00937EF6"/>
    <w:rsid w:val="0094154D"/>
    <w:rsid w:val="00944F88"/>
    <w:rsid w:val="00945719"/>
    <w:rsid w:val="009473A5"/>
    <w:rsid w:val="0095155F"/>
    <w:rsid w:val="00952B67"/>
    <w:rsid w:val="00954429"/>
    <w:rsid w:val="009563CE"/>
    <w:rsid w:val="00957F67"/>
    <w:rsid w:val="00966C5C"/>
    <w:rsid w:val="00971439"/>
    <w:rsid w:val="0097508A"/>
    <w:rsid w:val="00976328"/>
    <w:rsid w:val="0097680D"/>
    <w:rsid w:val="00982438"/>
    <w:rsid w:val="0098404C"/>
    <w:rsid w:val="00985283"/>
    <w:rsid w:val="009933AE"/>
    <w:rsid w:val="00995992"/>
    <w:rsid w:val="009A03E5"/>
    <w:rsid w:val="009A0F3B"/>
    <w:rsid w:val="009A1BB4"/>
    <w:rsid w:val="009A2628"/>
    <w:rsid w:val="009A2C3D"/>
    <w:rsid w:val="009A3200"/>
    <w:rsid w:val="009A5857"/>
    <w:rsid w:val="009B0897"/>
    <w:rsid w:val="009B16EF"/>
    <w:rsid w:val="009B1A8F"/>
    <w:rsid w:val="009B267D"/>
    <w:rsid w:val="009B3EA9"/>
    <w:rsid w:val="009B7BD9"/>
    <w:rsid w:val="009C7DD5"/>
    <w:rsid w:val="009D0D14"/>
    <w:rsid w:val="009D4F7A"/>
    <w:rsid w:val="009D50A4"/>
    <w:rsid w:val="009E148C"/>
    <w:rsid w:val="009E1DBC"/>
    <w:rsid w:val="009E227D"/>
    <w:rsid w:val="009E31B5"/>
    <w:rsid w:val="009E5019"/>
    <w:rsid w:val="009E66A9"/>
    <w:rsid w:val="009E735F"/>
    <w:rsid w:val="009F13CA"/>
    <w:rsid w:val="009F16BA"/>
    <w:rsid w:val="009F2B21"/>
    <w:rsid w:val="009F39A2"/>
    <w:rsid w:val="009F4711"/>
    <w:rsid w:val="009F6881"/>
    <w:rsid w:val="009F712F"/>
    <w:rsid w:val="00A00915"/>
    <w:rsid w:val="00A04F1B"/>
    <w:rsid w:val="00A0501B"/>
    <w:rsid w:val="00A13E64"/>
    <w:rsid w:val="00A14733"/>
    <w:rsid w:val="00A14947"/>
    <w:rsid w:val="00A14F60"/>
    <w:rsid w:val="00A233C6"/>
    <w:rsid w:val="00A25AE4"/>
    <w:rsid w:val="00A25AE7"/>
    <w:rsid w:val="00A32A83"/>
    <w:rsid w:val="00A35242"/>
    <w:rsid w:val="00A35C1E"/>
    <w:rsid w:val="00A35F25"/>
    <w:rsid w:val="00A361F5"/>
    <w:rsid w:val="00A368DB"/>
    <w:rsid w:val="00A423AA"/>
    <w:rsid w:val="00A43781"/>
    <w:rsid w:val="00A53D3F"/>
    <w:rsid w:val="00A53EC6"/>
    <w:rsid w:val="00A54DAF"/>
    <w:rsid w:val="00A55A87"/>
    <w:rsid w:val="00A55C0F"/>
    <w:rsid w:val="00A65A96"/>
    <w:rsid w:val="00A66101"/>
    <w:rsid w:val="00A7200F"/>
    <w:rsid w:val="00A7210A"/>
    <w:rsid w:val="00A72991"/>
    <w:rsid w:val="00A81135"/>
    <w:rsid w:val="00A8122D"/>
    <w:rsid w:val="00A82E91"/>
    <w:rsid w:val="00A8713F"/>
    <w:rsid w:val="00A90BA1"/>
    <w:rsid w:val="00A91A8B"/>
    <w:rsid w:val="00A93D97"/>
    <w:rsid w:val="00A9690A"/>
    <w:rsid w:val="00A96F36"/>
    <w:rsid w:val="00A97A9A"/>
    <w:rsid w:val="00AA0384"/>
    <w:rsid w:val="00AA0671"/>
    <w:rsid w:val="00AA2035"/>
    <w:rsid w:val="00AA2531"/>
    <w:rsid w:val="00AA2A2A"/>
    <w:rsid w:val="00AA4666"/>
    <w:rsid w:val="00AB1E09"/>
    <w:rsid w:val="00AB35C0"/>
    <w:rsid w:val="00AB5330"/>
    <w:rsid w:val="00AB6E99"/>
    <w:rsid w:val="00AB7747"/>
    <w:rsid w:val="00AC14CE"/>
    <w:rsid w:val="00AC1A55"/>
    <w:rsid w:val="00AC24D1"/>
    <w:rsid w:val="00AC2A56"/>
    <w:rsid w:val="00AC7701"/>
    <w:rsid w:val="00AD055E"/>
    <w:rsid w:val="00AD2AAD"/>
    <w:rsid w:val="00AD47A7"/>
    <w:rsid w:val="00AD5008"/>
    <w:rsid w:val="00AD75E5"/>
    <w:rsid w:val="00AE273E"/>
    <w:rsid w:val="00AE3A2C"/>
    <w:rsid w:val="00AE49E4"/>
    <w:rsid w:val="00AE612F"/>
    <w:rsid w:val="00AF0CBF"/>
    <w:rsid w:val="00AF257F"/>
    <w:rsid w:val="00AF33CF"/>
    <w:rsid w:val="00AF447E"/>
    <w:rsid w:val="00AF4D50"/>
    <w:rsid w:val="00AF5AB6"/>
    <w:rsid w:val="00AF6179"/>
    <w:rsid w:val="00AF6590"/>
    <w:rsid w:val="00AF6859"/>
    <w:rsid w:val="00B003EE"/>
    <w:rsid w:val="00B00828"/>
    <w:rsid w:val="00B00F80"/>
    <w:rsid w:val="00B042FE"/>
    <w:rsid w:val="00B11150"/>
    <w:rsid w:val="00B1295A"/>
    <w:rsid w:val="00B12B0F"/>
    <w:rsid w:val="00B140BD"/>
    <w:rsid w:val="00B159D1"/>
    <w:rsid w:val="00B20A45"/>
    <w:rsid w:val="00B222AB"/>
    <w:rsid w:val="00B22C5C"/>
    <w:rsid w:val="00B24F30"/>
    <w:rsid w:val="00B262ED"/>
    <w:rsid w:val="00B31ABF"/>
    <w:rsid w:val="00B31CE0"/>
    <w:rsid w:val="00B32826"/>
    <w:rsid w:val="00B33BE3"/>
    <w:rsid w:val="00B3445D"/>
    <w:rsid w:val="00B373C5"/>
    <w:rsid w:val="00B37CDF"/>
    <w:rsid w:val="00B40A95"/>
    <w:rsid w:val="00B44956"/>
    <w:rsid w:val="00B46AFB"/>
    <w:rsid w:val="00B4771D"/>
    <w:rsid w:val="00B53B5D"/>
    <w:rsid w:val="00B54F00"/>
    <w:rsid w:val="00B556A9"/>
    <w:rsid w:val="00B569F1"/>
    <w:rsid w:val="00B6053A"/>
    <w:rsid w:val="00B6055E"/>
    <w:rsid w:val="00B60896"/>
    <w:rsid w:val="00B611B4"/>
    <w:rsid w:val="00B614B3"/>
    <w:rsid w:val="00B6317D"/>
    <w:rsid w:val="00B64A95"/>
    <w:rsid w:val="00B65608"/>
    <w:rsid w:val="00B67CAF"/>
    <w:rsid w:val="00B7723F"/>
    <w:rsid w:val="00B77775"/>
    <w:rsid w:val="00B80534"/>
    <w:rsid w:val="00B839E7"/>
    <w:rsid w:val="00B8433C"/>
    <w:rsid w:val="00B87491"/>
    <w:rsid w:val="00B95CDD"/>
    <w:rsid w:val="00BA0CE3"/>
    <w:rsid w:val="00BA29E9"/>
    <w:rsid w:val="00BA32C6"/>
    <w:rsid w:val="00BA5F3F"/>
    <w:rsid w:val="00BA6178"/>
    <w:rsid w:val="00BA684B"/>
    <w:rsid w:val="00BA7142"/>
    <w:rsid w:val="00BB042B"/>
    <w:rsid w:val="00BB237C"/>
    <w:rsid w:val="00BB41A3"/>
    <w:rsid w:val="00BB4762"/>
    <w:rsid w:val="00BB4C38"/>
    <w:rsid w:val="00BB6E71"/>
    <w:rsid w:val="00BC04A0"/>
    <w:rsid w:val="00BC1018"/>
    <w:rsid w:val="00BC1E11"/>
    <w:rsid w:val="00BC2C21"/>
    <w:rsid w:val="00BC2C28"/>
    <w:rsid w:val="00BC32DC"/>
    <w:rsid w:val="00BC35B6"/>
    <w:rsid w:val="00BC4C74"/>
    <w:rsid w:val="00BC6882"/>
    <w:rsid w:val="00BD1B51"/>
    <w:rsid w:val="00BD34C6"/>
    <w:rsid w:val="00BD4596"/>
    <w:rsid w:val="00BD48C3"/>
    <w:rsid w:val="00BD5B53"/>
    <w:rsid w:val="00BD7E38"/>
    <w:rsid w:val="00BE1405"/>
    <w:rsid w:val="00BE14B4"/>
    <w:rsid w:val="00BE1CBD"/>
    <w:rsid w:val="00BE312D"/>
    <w:rsid w:val="00BE67BF"/>
    <w:rsid w:val="00BF04DE"/>
    <w:rsid w:val="00BF1C20"/>
    <w:rsid w:val="00BF6F85"/>
    <w:rsid w:val="00BF7E3B"/>
    <w:rsid w:val="00C01761"/>
    <w:rsid w:val="00C01888"/>
    <w:rsid w:val="00C07DE1"/>
    <w:rsid w:val="00C10578"/>
    <w:rsid w:val="00C124D3"/>
    <w:rsid w:val="00C12805"/>
    <w:rsid w:val="00C135BC"/>
    <w:rsid w:val="00C136A4"/>
    <w:rsid w:val="00C15C95"/>
    <w:rsid w:val="00C1703A"/>
    <w:rsid w:val="00C20013"/>
    <w:rsid w:val="00C24A60"/>
    <w:rsid w:val="00C2530E"/>
    <w:rsid w:val="00C2596A"/>
    <w:rsid w:val="00C271B2"/>
    <w:rsid w:val="00C27537"/>
    <w:rsid w:val="00C27588"/>
    <w:rsid w:val="00C31351"/>
    <w:rsid w:val="00C328FE"/>
    <w:rsid w:val="00C33507"/>
    <w:rsid w:val="00C34E7B"/>
    <w:rsid w:val="00C36212"/>
    <w:rsid w:val="00C36343"/>
    <w:rsid w:val="00C379EB"/>
    <w:rsid w:val="00C411B9"/>
    <w:rsid w:val="00C41871"/>
    <w:rsid w:val="00C43753"/>
    <w:rsid w:val="00C43D21"/>
    <w:rsid w:val="00C4409D"/>
    <w:rsid w:val="00C44E72"/>
    <w:rsid w:val="00C4562B"/>
    <w:rsid w:val="00C457A1"/>
    <w:rsid w:val="00C45A06"/>
    <w:rsid w:val="00C45D62"/>
    <w:rsid w:val="00C46050"/>
    <w:rsid w:val="00C47E5B"/>
    <w:rsid w:val="00C51316"/>
    <w:rsid w:val="00C51F39"/>
    <w:rsid w:val="00C570EB"/>
    <w:rsid w:val="00C57F09"/>
    <w:rsid w:val="00C61E4B"/>
    <w:rsid w:val="00C6468A"/>
    <w:rsid w:val="00C647E7"/>
    <w:rsid w:val="00C64BFF"/>
    <w:rsid w:val="00C70307"/>
    <w:rsid w:val="00C704E9"/>
    <w:rsid w:val="00C75E79"/>
    <w:rsid w:val="00C763C9"/>
    <w:rsid w:val="00C80057"/>
    <w:rsid w:val="00C82232"/>
    <w:rsid w:val="00C82913"/>
    <w:rsid w:val="00C84737"/>
    <w:rsid w:val="00C8726F"/>
    <w:rsid w:val="00C919D3"/>
    <w:rsid w:val="00C9398A"/>
    <w:rsid w:val="00C972B1"/>
    <w:rsid w:val="00C973B3"/>
    <w:rsid w:val="00CA02EA"/>
    <w:rsid w:val="00CA25F2"/>
    <w:rsid w:val="00CA2CCE"/>
    <w:rsid w:val="00CA43FD"/>
    <w:rsid w:val="00CA52B8"/>
    <w:rsid w:val="00CA7EF8"/>
    <w:rsid w:val="00CB45AD"/>
    <w:rsid w:val="00CC489B"/>
    <w:rsid w:val="00CC5191"/>
    <w:rsid w:val="00CD2BCD"/>
    <w:rsid w:val="00CD3A4C"/>
    <w:rsid w:val="00CD6692"/>
    <w:rsid w:val="00CD7EF4"/>
    <w:rsid w:val="00CE10E9"/>
    <w:rsid w:val="00CE2910"/>
    <w:rsid w:val="00CE3541"/>
    <w:rsid w:val="00CE4E40"/>
    <w:rsid w:val="00CE4FA1"/>
    <w:rsid w:val="00CE5393"/>
    <w:rsid w:val="00CF1104"/>
    <w:rsid w:val="00CF36BE"/>
    <w:rsid w:val="00CF6000"/>
    <w:rsid w:val="00D003F3"/>
    <w:rsid w:val="00D02900"/>
    <w:rsid w:val="00D0364F"/>
    <w:rsid w:val="00D04B23"/>
    <w:rsid w:val="00D06834"/>
    <w:rsid w:val="00D126EE"/>
    <w:rsid w:val="00D14792"/>
    <w:rsid w:val="00D21CBA"/>
    <w:rsid w:val="00D243C6"/>
    <w:rsid w:val="00D249D8"/>
    <w:rsid w:val="00D24E73"/>
    <w:rsid w:val="00D24FBB"/>
    <w:rsid w:val="00D308ED"/>
    <w:rsid w:val="00D30D31"/>
    <w:rsid w:val="00D33B6C"/>
    <w:rsid w:val="00D36D86"/>
    <w:rsid w:val="00D41E76"/>
    <w:rsid w:val="00D41F5F"/>
    <w:rsid w:val="00D428AA"/>
    <w:rsid w:val="00D42A14"/>
    <w:rsid w:val="00D50A34"/>
    <w:rsid w:val="00D52A7E"/>
    <w:rsid w:val="00D536F6"/>
    <w:rsid w:val="00D538EB"/>
    <w:rsid w:val="00D53EFA"/>
    <w:rsid w:val="00D60E3C"/>
    <w:rsid w:val="00D62B3B"/>
    <w:rsid w:val="00D6443F"/>
    <w:rsid w:val="00D71663"/>
    <w:rsid w:val="00D73468"/>
    <w:rsid w:val="00D91516"/>
    <w:rsid w:val="00D93A8F"/>
    <w:rsid w:val="00D93F5E"/>
    <w:rsid w:val="00D94045"/>
    <w:rsid w:val="00D94A7C"/>
    <w:rsid w:val="00D9545B"/>
    <w:rsid w:val="00D95896"/>
    <w:rsid w:val="00D95A95"/>
    <w:rsid w:val="00DA16EB"/>
    <w:rsid w:val="00DA2074"/>
    <w:rsid w:val="00DA2300"/>
    <w:rsid w:val="00DB1209"/>
    <w:rsid w:val="00DB2983"/>
    <w:rsid w:val="00DB4118"/>
    <w:rsid w:val="00DB4253"/>
    <w:rsid w:val="00DB6FA7"/>
    <w:rsid w:val="00DC1257"/>
    <w:rsid w:val="00DC3A11"/>
    <w:rsid w:val="00DC3DC0"/>
    <w:rsid w:val="00DC5B2B"/>
    <w:rsid w:val="00DC7111"/>
    <w:rsid w:val="00DD0B9C"/>
    <w:rsid w:val="00DD318D"/>
    <w:rsid w:val="00DD3452"/>
    <w:rsid w:val="00DD39BB"/>
    <w:rsid w:val="00DD4408"/>
    <w:rsid w:val="00DD4A10"/>
    <w:rsid w:val="00DD4E3D"/>
    <w:rsid w:val="00DD6E2C"/>
    <w:rsid w:val="00DE098B"/>
    <w:rsid w:val="00DE4CB5"/>
    <w:rsid w:val="00DE5EA9"/>
    <w:rsid w:val="00DE64F8"/>
    <w:rsid w:val="00DF2E12"/>
    <w:rsid w:val="00DF4E56"/>
    <w:rsid w:val="00DF514A"/>
    <w:rsid w:val="00DF6690"/>
    <w:rsid w:val="00DF6804"/>
    <w:rsid w:val="00DF7942"/>
    <w:rsid w:val="00DF7A03"/>
    <w:rsid w:val="00DF7AEB"/>
    <w:rsid w:val="00E0024A"/>
    <w:rsid w:val="00E005A2"/>
    <w:rsid w:val="00E00E34"/>
    <w:rsid w:val="00E0358D"/>
    <w:rsid w:val="00E04323"/>
    <w:rsid w:val="00E04CF5"/>
    <w:rsid w:val="00E04ECA"/>
    <w:rsid w:val="00E059E9"/>
    <w:rsid w:val="00E070A2"/>
    <w:rsid w:val="00E12849"/>
    <w:rsid w:val="00E14132"/>
    <w:rsid w:val="00E20A6C"/>
    <w:rsid w:val="00E2656A"/>
    <w:rsid w:val="00E3299F"/>
    <w:rsid w:val="00E32A53"/>
    <w:rsid w:val="00E3307F"/>
    <w:rsid w:val="00E412D0"/>
    <w:rsid w:val="00E4266C"/>
    <w:rsid w:val="00E50047"/>
    <w:rsid w:val="00E53602"/>
    <w:rsid w:val="00E536F2"/>
    <w:rsid w:val="00E5566C"/>
    <w:rsid w:val="00E56322"/>
    <w:rsid w:val="00E57969"/>
    <w:rsid w:val="00E60982"/>
    <w:rsid w:val="00E62C62"/>
    <w:rsid w:val="00E64CA4"/>
    <w:rsid w:val="00E654C1"/>
    <w:rsid w:val="00E6589F"/>
    <w:rsid w:val="00E65D97"/>
    <w:rsid w:val="00E70367"/>
    <w:rsid w:val="00E711EE"/>
    <w:rsid w:val="00E72A5A"/>
    <w:rsid w:val="00E73354"/>
    <w:rsid w:val="00E76D53"/>
    <w:rsid w:val="00E76EDC"/>
    <w:rsid w:val="00E77B18"/>
    <w:rsid w:val="00E85F4D"/>
    <w:rsid w:val="00E9242D"/>
    <w:rsid w:val="00E9390F"/>
    <w:rsid w:val="00EA498B"/>
    <w:rsid w:val="00EB2134"/>
    <w:rsid w:val="00EB25DA"/>
    <w:rsid w:val="00EB3CFE"/>
    <w:rsid w:val="00EB4736"/>
    <w:rsid w:val="00EB5255"/>
    <w:rsid w:val="00EB5C47"/>
    <w:rsid w:val="00EB6E06"/>
    <w:rsid w:val="00EC3B4A"/>
    <w:rsid w:val="00EC4649"/>
    <w:rsid w:val="00EC4A2A"/>
    <w:rsid w:val="00EC5E37"/>
    <w:rsid w:val="00EC6C8E"/>
    <w:rsid w:val="00EC76E1"/>
    <w:rsid w:val="00EC7F64"/>
    <w:rsid w:val="00ED0639"/>
    <w:rsid w:val="00EF1203"/>
    <w:rsid w:val="00EF4755"/>
    <w:rsid w:val="00EF7135"/>
    <w:rsid w:val="00F0077A"/>
    <w:rsid w:val="00F02032"/>
    <w:rsid w:val="00F027DB"/>
    <w:rsid w:val="00F049E6"/>
    <w:rsid w:val="00F076FC"/>
    <w:rsid w:val="00F14A7A"/>
    <w:rsid w:val="00F16773"/>
    <w:rsid w:val="00F17AB2"/>
    <w:rsid w:val="00F213BD"/>
    <w:rsid w:val="00F21561"/>
    <w:rsid w:val="00F221F3"/>
    <w:rsid w:val="00F223DD"/>
    <w:rsid w:val="00F22985"/>
    <w:rsid w:val="00F23BE9"/>
    <w:rsid w:val="00F23F1F"/>
    <w:rsid w:val="00F24AE9"/>
    <w:rsid w:val="00F26B31"/>
    <w:rsid w:val="00F30C6B"/>
    <w:rsid w:val="00F3383E"/>
    <w:rsid w:val="00F465A7"/>
    <w:rsid w:val="00F50B7C"/>
    <w:rsid w:val="00F5354F"/>
    <w:rsid w:val="00F550E6"/>
    <w:rsid w:val="00F56088"/>
    <w:rsid w:val="00F575C7"/>
    <w:rsid w:val="00F651C7"/>
    <w:rsid w:val="00F679E9"/>
    <w:rsid w:val="00F71ADF"/>
    <w:rsid w:val="00F74345"/>
    <w:rsid w:val="00F80A0A"/>
    <w:rsid w:val="00F82B19"/>
    <w:rsid w:val="00F840C9"/>
    <w:rsid w:val="00F84F47"/>
    <w:rsid w:val="00F86826"/>
    <w:rsid w:val="00F87B88"/>
    <w:rsid w:val="00F9212D"/>
    <w:rsid w:val="00F93045"/>
    <w:rsid w:val="00F95A8E"/>
    <w:rsid w:val="00F95CD1"/>
    <w:rsid w:val="00F965DA"/>
    <w:rsid w:val="00F978DC"/>
    <w:rsid w:val="00FA28EF"/>
    <w:rsid w:val="00FA3C04"/>
    <w:rsid w:val="00FA406A"/>
    <w:rsid w:val="00FA6F9A"/>
    <w:rsid w:val="00FB12C7"/>
    <w:rsid w:val="00FB18B5"/>
    <w:rsid w:val="00FB3748"/>
    <w:rsid w:val="00FB503A"/>
    <w:rsid w:val="00FB516C"/>
    <w:rsid w:val="00FB5D65"/>
    <w:rsid w:val="00FB72DE"/>
    <w:rsid w:val="00FD0236"/>
    <w:rsid w:val="00FD18F4"/>
    <w:rsid w:val="00FD261E"/>
    <w:rsid w:val="00FD307C"/>
    <w:rsid w:val="00FD4415"/>
    <w:rsid w:val="00FD54DB"/>
    <w:rsid w:val="00FD619F"/>
    <w:rsid w:val="00FD7402"/>
    <w:rsid w:val="00FE3FD5"/>
    <w:rsid w:val="00FE68A7"/>
    <w:rsid w:val="00FE6948"/>
    <w:rsid w:val="00FF3790"/>
    <w:rsid w:val="00FF783D"/>
    <w:rsid w:val="00FF7CF7"/>
    <w:rsid w:val="01290F7E"/>
    <w:rsid w:val="015D1E09"/>
    <w:rsid w:val="01675739"/>
    <w:rsid w:val="018067FB"/>
    <w:rsid w:val="023615AF"/>
    <w:rsid w:val="02697903"/>
    <w:rsid w:val="02753E85"/>
    <w:rsid w:val="029167E5"/>
    <w:rsid w:val="02F4124E"/>
    <w:rsid w:val="02F96569"/>
    <w:rsid w:val="03EA7B21"/>
    <w:rsid w:val="046643CE"/>
    <w:rsid w:val="04697A1A"/>
    <w:rsid w:val="04A171B4"/>
    <w:rsid w:val="05A54A82"/>
    <w:rsid w:val="05BE1FE7"/>
    <w:rsid w:val="05C70E9C"/>
    <w:rsid w:val="05F83EAE"/>
    <w:rsid w:val="063E7D85"/>
    <w:rsid w:val="0661309E"/>
    <w:rsid w:val="07293586"/>
    <w:rsid w:val="07295285"/>
    <w:rsid w:val="07636392"/>
    <w:rsid w:val="07770C56"/>
    <w:rsid w:val="078200C2"/>
    <w:rsid w:val="07D7113E"/>
    <w:rsid w:val="083245C7"/>
    <w:rsid w:val="08365E65"/>
    <w:rsid w:val="0837398B"/>
    <w:rsid w:val="084C5688"/>
    <w:rsid w:val="08670714"/>
    <w:rsid w:val="090F532B"/>
    <w:rsid w:val="091B505B"/>
    <w:rsid w:val="092217DD"/>
    <w:rsid w:val="093A7294"/>
    <w:rsid w:val="0A263993"/>
    <w:rsid w:val="0A2D3AC2"/>
    <w:rsid w:val="0A6071C9"/>
    <w:rsid w:val="0A7E1460"/>
    <w:rsid w:val="0AA755DF"/>
    <w:rsid w:val="0B120D44"/>
    <w:rsid w:val="0B325009"/>
    <w:rsid w:val="0BD27BF6"/>
    <w:rsid w:val="0C3B3C7D"/>
    <w:rsid w:val="0CAB2EAE"/>
    <w:rsid w:val="0D3D37F2"/>
    <w:rsid w:val="0D556D8D"/>
    <w:rsid w:val="0D621C7D"/>
    <w:rsid w:val="0DA73361"/>
    <w:rsid w:val="0E6D45AA"/>
    <w:rsid w:val="0E73034D"/>
    <w:rsid w:val="0EB83A78"/>
    <w:rsid w:val="0ECA5559"/>
    <w:rsid w:val="0F13775A"/>
    <w:rsid w:val="0F5F45FE"/>
    <w:rsid w:val="0F9A112B"/>
    <w:rsid w:val="0FD7171A"/>
    <w:rsid w:val="0FE268D2"/>
    <w:rsid w:val="106D2F64"/>
    <w:rsid w:val="10790FE5"/>
    <w:rsid w:val="107E65FB"/>
    <w:rsid w:val="10B63710"/>
    <w:rsid w:val="10C04E65"/>
    <w:rsid w:val="10F10820"/>
    <w:rsid w:val="111C2F7A"/>
    <w:rsid w:val="11665CA1"/>
    <w:rsid w:val="11AC0F46"/>
    <w:rsid w:val="11B147AE"/>
    <w:rsid w:val="11B60016"/>
    <w:rsid w:val="122D02D9"/>
    <w:rsid w:val="12D746E8"/>
    <w:rsid w:val="13034E09"/>
    <w:rsid w:val="13951726"/>
    <w:rsid w:val="13FD017F"/>
    <w:rsid w:val="13FF7A53"/>
    <w:rsid w:val="142D5BB0"/>
    <w:rsid w:val="14396509"/>
    <w:rsid w:val="145C4FE3"/>
    <w:rsid w:val="1497412F"/>
    <w:rsid w:val="14DD2C3C"/>
    <w:rsid w:val="15D849FF"/>
    <w:rsid w:val="16087E1D"/>
    <w:rsid w:val="16897AA8"/>
    <w:rsid w:val="16B56AEF"/>
    <w:rsid w:val="16C32FBA"/>
    <w:rsid w:val="170F26A3"/>
    <w:rsid w:val="176F4EEF"/>
    <w:rsid w:val="17701D14"/>
    <w:rsid w:val="17735226"/>
    <w:rsid w:val="17771FF6"/>
    <w:rsid w:val="189F624C"/>
    <w:rsid w:val="19704F4F"/>
    <w:rsid w:val="199E7D0E"/>
    <w:rsid w:val="19F33BB6"/>
    <w:rsid w:val="1A1C66C0"/>
    <w:rsid w:val="1A42393B"/>
    <w:rsid w:val="1A5F2FF9"/>
    <w:rsid w:val="1A6177AC"/>
    <w:rsid w:val="1AAD45DE"/>
    <w:rsid w:val="1AC9700C"/>
    <w:rsid w:val="1B0342CC"/>
    <w:rsid w:val="1B046F80"/>
    <w:rsid w:val="1B2A7AAB"/>
    <w:rsid w:val="1B313EE5"/>
    <w:rsid w:val="1B3267B5"/>
    <w:rsid w:val="1B40161D"/>
    <w:rsid w:val="1B441859"/>
    <w:rsid w:val="1B6606B1"/>
    <w:rsid w:val="1B7725C5"/>
    <w:rsid w:val="1C1419B1"/>
    <w:rsid w:val="1C2E276D"/>
    <w:rsid w:val="1C485D0F"/>
    <w:rsid w:val="1C4C1CA3"/>
    <w:rsid w:val="1C5E7925"/>
    <w:rsid w:val="1CAE64BA"/>
    <w:rsid w:val="1CCC6940"/>
    <w:rsid w:val="1CFD070F"/>
    <w:rsid w:val="1D2E13A9"/>
    <w:rsid w:val="1D5F6196"/>
    <w:rsid w:val="1D6132A5"/>
    <w:rsid w:val="1D750D86"/>
    <w:rsid w:val="1D8E56D5"/>
    <w:rsid w:val="1DB45D52"/>
    <w:rsid w:val="1E7A43DA"/>
    <w:rsid w:val="1F5A4EC3"/>
    <w:rsid w:val="1F7A08D5"/>
    <w:rsid w:val="1FC85AE5"/>
    <w:rsid w:val="1FE7539E"/>
    <w:rsid w:val="1FF00B97"/>
    <w:rsid w:val="2059673D"/>
    <w:rsid w:val="20671BE0"/>
    <w:rsid w:val="20963CB8"/>
    <w:rsid w:val="20A81A1B"/>
    <w:rsid w:val="20B07FB6"/>
    <w:rsid w:val="20B646FB"/>
    <w:rsid w:val="213B74B1"/>
    <w:rsid w:val="215A2310"/>
    <w:rsid w:val="2173382E"/>
    <w:rsid w:val="21AA2481"/>
    <w:rsid w:val="21DE318A"/>
    <w:rsid w:val="21E07116"/>
    <w:rsid w:val="21EF5B80"/>
    <w:rsid w:val="22576990"/>
    <w:rsid w:val="226B6771"/>
    <w:rsid w:val="227E248B"/>
    <w:rsid w:val="22F47480"/>
    <w:rsid w:val="23377209"/>
    <w:rsid w:val="238E494F"/>
    <w:rsid w:val="23BD2DF7"/>
    <w:rsid w:val="23C44815"/>
    <w:rsid w:val="23DE1C48"/>
    <w:rsid w:val="240210CD"/>
    <w:rsid w:val="249C4E4A"/>
    <w:rsid w:val="24BF09F7"/>
    <w:rsid w:val="24D9609E"/>
    <w:rsid w:val="2524556B"/>
    <w:rsid w:val="252D53FE"/>
    <w:rsid w:val="25421E95"/>
    <w:rsid w:val="257A162F"/>
    <w:rsid w:val="25EC2D81"/>
    <w:rsid w:val="264B6B28"/>
    <w:rsid w:val="277057A2"/>
    <w:rsid w:val="27D36DD5"/>
    <w:rsid w:val="27F07987"/>
    <w:rsid w:val="28112E76"/>
    <w:rsid w:val="29023E15"/>
    <w:rsid w:val="291E49C7"/>
    <w:rsid w:val="29206EB8"/>
    <w:rsid w:val="292A6EC8"/>
    <w:rsid w:val="29595666"/>
    <w:rsid w:val="29812FFC"/>
    <w:rsid w:val="29874881"/>
    <w:rsid w:val="298F1421"/>
    <w:rsid w:val="29E11C7D"/>
    <w:rsid w:val="29E325E0"/>
    <w:rsid w:val="2A0616E3"/>
    <w:rsid w:val="2A452503"/>
    <w:rsid w:val="2A8207C7"/>
    <w:rsid w:val="2AEF2177"/>
    <w:rsid w:val="2B5B5A5F"/>
    <w:rsid w:val="2B78557C"/>
    <w:rsid w:val="2BA936A8"/>
    <w:rsid w:val="2C315A5A"/>
    <w:rsid w:val="2C3167C0"/>
    <w:rsid w:val="2C4B1C25"/>
    <w:rsid w:val="2C534988"/>
    <w:rsid w:val="2D4157BB"/>
    <w:rsid w:val="2D4F33A1"/>
    <w:rsid w:val="2D55028C"/>
    <w:rsid w:val="2D9E56F5"/>
    <w:rsid w:val="2DC31699"/>
    <w:rsid w:val="2DF950BB"/>
    <w:rsid w:val="2E560A6C"/>
    <w:rsid w:val="2E667F96"/>
    <w:rsid w:val="2E8226AB"/>
    <w:rsid w:val="2EEB70FA"/>
    <w:rsid w:val="2EFC4E63"/>
    <w:rsid w:val="2F1E127D"/>
    <w:rsid w:val="2F490470"/>
    <w:rsid w:val="2F963509"/>
    <w:rsid w:val="2FD065E6"/>
    <w:rsid w:val="2FD96870"/>
    <w:rsid w:val="2FF41FDE"/>
    <w:rsid w:val="2FF81ACE"/>
    <w:rsid w:val="300D4E4E"/>
    <w:rsid w:val="301D1535"/>
    <w:rsid w:val="30354AD0"/>
    <w:rsid w:val="30450A8C"/>
    <w:rsid w:val="30580BC9"/>
    <w:rsid w:val="307355F9"/>
    <w:rsid w:val="30ED53AB"/>
    <w:rsid w:val="311E2ED7"/>
    <w:rsid w:val="3126266B"/>
    <w:rsid w:val="315619EE"/>
    <w:rsid w:val="315C449C"/>
    <w:rsid w:val="31B82709"/>
    <w:rsid w:val="31C12394"/>
    <w:rsid w:val="31D05482"/>
    <w:rsid w:val="32335040"/>
    <w:rsid w:val="32400B34"/>
    <w:rsid w:val="325D030E"/>
    <w:rsid w:val="329E6876"/>
    <w:rsid w:val="329F6277"/>
    <w:rsid w:val="32B75C71"/>
    <w:rsid w:val="33036606"/>
    <w:rsid w:val="333015F2"/>
    <w:rsid w:val="334B6320"/>
    <w:rsid w:val="33721B98"/>
    <w:rsid w:val="33C70135"/>
    <w:rsid w:val="33D934D4"/>
    <w:rsid w:val="33DC5263"/>
    <w:rsid w:val="33FE2F6A"/>
    <w:rsid w:val="340B78F6"/>
    <w:rsid w:val="340E07E5"/>
    <w:rsid w:val="34235BF7"/>
    <w:rsid w:val="35417A73"/>
    <w:rsid w:val="35531555"/>
    <w:rsid w:val="356D0868"/>
    <w:rsid w:val="358C5FA8"/>
    <w:rsid w:val="359A3628"/>
    <w:rsid w:val="35BC359E"/>
    <w:rsid w:val="35C15DF1"/>
    <w:rsid w:val="35CB558F"/>
    <w:rsid w:val="36064819"/>
    <w:rsid w:val="36074A7F"/>
    <w:rsid w:val="360B0081"/>
    <w:rsid w:val="3619279E"/>
    <w:rsid w:val="36923549"/>
    <w:rsid w:val="36B75FBF"/>
    <w:rsid w:val="36BD0C45"/>
    <w:rsid w:val="37023232"/>
    <w:rsid w:val="372C02AF"/>
    <w:rsid w:val="37B24C58"/>
    <w:rsid w:val="37E00298"/>
    <w:rsid w:val="380A6843"/>
    <w:rsid w:val="38431D54"/>
    <w:rsid w:val="38B302F9"/>
    <w:rsid w:val="38F12CD3"/>
    <w:rsid w:val="38F94775"/>
    <w:rsid w:val="39051CC4"/>
    <w:rsid w:val="391E1E7A"/>
    <w:rsid w:val="392971ED"/>
    <w:rsid w:val="39325651"/>
    <w:rsid w:val="3950297B"/>
    <w:rsid w:val="39873EC3"/>
    <w:rsid w:val="39F74BA5"/>
    <w:rsid w:val="3A872856"/>
    <w:rsid w:val="3B3763D1"/>
    <w:rsid w:val="3C2F6E1E"/>
    <w:rsid w:val="3C4F64BA"/>
    <w:rsid w:val="3C8D7A42"/>
    <w:rsid w:val="3CD016DD"/>
    <w:rsid w:val="3CDA245A"/>
    <w:rsid w:val="3D1E06B7"/>
    <w:rsid w:val="3D3D6D72"/>
    <w:rsid w:val="3D8F3346"/>
    <w:rsid w:val="3E6A003B"/>
    <w:rsid w:val="3EDA0523"/>
    <w:rsid w:val="3F0A35CC"/>
    <w:rsid w:val="3F400D9C"/>
    <w:rsid w:val="3F662B49"/>
    <w:rsid w:val="4021297B"/>
    <w:rsid w:val="402B1A4C"/>
    <w:rsid w:val="407A6407"/>
    <w:rsid w:val="408B24EB"/>
    <w:rsid w:val="409273D5"/>
    <w:rsid w:val="40976CE2"/>
    <w:rsid w:val="4099416E"/>
    <w:rsid w:val="40D53766"/>
    <w:rsid w:val="41B9630E"/>
    <w:rsid w:val="4200449D"/>
    <w:rsid w:val="423A3BCC"/>
    <w:rsid w:val="424E57D2"/>
    <w:rsid w:val="42672AE3"/>
    <w:rsid w:val="42997141"/>
    <w:rsid w:val="429E4757"/>
    <w:rsid w:val="42B26C49"/>
    <w:rsid w:val="42E3216A"/>
    <w:rsid w:val="433A6FE6"/>
    <w:rsid w:val="43480868"/>
    <w:rsid w:val="4350713C"/>
    <w:rsid w:val="436653E0"/>
    <w:rsid w:val="43683AE2"/>
    <w:rsid w:val="4392593E"/>
    <w:rsid w:val="43C4431A"/>
    <w:rsid w:val="44134CD1"/>
    <w:rsid w:val="443609BF"/>
    <w:rsid w:val="44B02520"/>
    <w:rsid w:val="44B951CC"/>
    <w:rsid w:val="44CD14E0"/>
    <w:rsid w:val="44F20B0B"/>
    <w:rsid w:val="452B604A"/>
    <w:rsid w:val="452E5F4C"/>
    <w:rsid w:val="45612018"/>
    <w:rsid w:val="45682DFA"/>
    <w:rsid w:val="45800144"/>
    <w:rsid w:val="458946E9"/>
    <w:rsid w:val="458B6AE9"/>
    <w:rsid w:val="45A47C0E"/>
    <w:rsid w:val="45C142B9"/>
    <w:rsid w:val="45C30031"/>
    <w:rsid w:val="45ED3300"/>
    <w:rsid w:val="45F75F2C"/>
    <w:rsid w:val="460F771A"/>
    <w:rsid w:val="46577FD6"/>
    <w:rsid w:val="468477C0"/>
    <w:rsid w:val="46AA5B1A"/>
    <w:rsid w:val="46D955A7"/>
    <w:rsid w:val="46E01D80"/>
    <w:rsid w:val="4700585C"/>
    <w:rsid w:val="47133957"/>
    <w:rsid w:val="473531B0"/>
    <w:rsid w:val="47451645"/>
    <w:rsid w:val="4779309D"/>
    <w:rsid w:val="47A07E0C"/>
    <w:rsid w:val="4870272E"/>
    <w:rsid w:val="48D52555"/>
    <w:rsid w:val="48F6071D"/>
    <w:rsid w:val="4950607F"/>
    <w:rsid w:val="49D05CB3"/>
    <w:rsid w:val="49DC7715"/>
    <w:rsid w:val="49EF3AEA"/>
    <w:rsid w:val="4A023139"/>
    <w:rsid w:val="4A201EF6"/>
    <w:rsid w:val="4A767D68"/>
    <w:rsid w:val="4A7B576F"/>
    <w:rsid w:val="4A9F72BE"/>
    <w:rsid w:val="4AF561A9"/>
    <w:rsid w:val="4B4B4D50"/>
    <w:rsid w:val="4B95421D"/>
    <w:rsid w:val="4B9E1696"/>
    <w:rsid w:val="4BC66ACD"/>
    <w:rsid w:val="4C1E06B7"/>
    <w:rsid w:val="4C431ECB"/>
    <w:rsid w:val="4C4A0649"/>
    <w:rsid w:val="4C7E5ECA"/>
    <w:rsid w:val="4C876AA5"/>
    <w:rsid w:val="4D0E00FB"/>
    <w:rsid w:val="4D176606"/>
    <w:rsid w:val="4DE26E17"/>
    <w:rsid w:val="4DEC4FB0"/>
    <w:rsid w:val="4E075D8A"/>
    <w:rsid w:val="4EC00FAD"/>
    <w:rsid w:val="4F473A81"/>
    <w:rsid w:val="4F683DD2"/>
    <w:rsid w:val="4F840831"/>
    <w:rsid w:val="4F9843DC"/>
    <w:rsid w:val="4FAC7D88"/>
    <w:rsid w:val="4FBB5100"/>
    <w:rsid w:val="4FC62A8C"/>
    <w:rsid w:val="4FE20F0D"/>
    <w:rsid w:val="4FE51552"/>
    <w:rsid w:val="50151DD1"/>
    <w:rsid w:val="50504C4B"/>
    <w:rsid w:val="509C6E7C"/>
    <w:rsid w:val="50D43A3A"/>
    <w:rsid w:val="51200A2D"/>
    <w:rsid w:val="5162104E"/>
    <w:rsid w:val="51723BDB"/>
    <w:rsid w:val="525E7A5F"/>
    <w:rsid w:val="52AC46FE"/>
    <w:rsid w:val="530028C4"/>
    <w:rsid w:val="5300727C"/>
    <w:rsid w:val="53143DC0"/>
    <w:rsid w:val="533C6CAE"/>
    <w:rsid w:val="53742AEE"/>
    <w:rsid w:val="53A039CC"/>
    <w:rsid w:val="53A1505A"/>
    <w:rsid w:val="53EB5322"/>
    <w:rsid w:val="540168F4"/>
    <w:rsid w:val="54063E08"/>
    <w:rsid w:val="54324CFF"/>
    <w:rsid w:val="543437E8"/>
    <w:rsid w:val="54F73313"/>
    <w:rsid w:val="54F80955"/>
    <w:rsid w:val="551C775D"/>
    <w:rsid w:val="553D1BAE"/>
    <w:rsid w:val="55425416"/>
    <w:rsid w:val="5543118E"/>
    <w:rsid w:val="555170A7"/>
    <w:rsid w:val="5587536D"/>
    <w:rsid w:val="559B174B"/>
    <w:rsid w:val="55CE0CF4"/>
    <w:rsid w:val="56B22A9C"/>
    <w:rsid w:val="56B91708"/>
    <w:rsid w:val="57770C7B"/>
    <w:rsid w:val="57B72A76"/>
    <w:rsid w:val="57C3426C"/>
    <w:rsid w:val="57CE1F93"/>
    <w:rsid w:val="57E502DB"/>
    <w:rsid w:val="57EC1669"/>
    <w:rsid w:val="582E1C82"/>
    <w:rsid w:val="588743D1"/>
    <w:rsid w:val="5887701A"/>
    <w:rsid w:val="58D04AE7"/>
    <w:rsid w:val="595B0854"/>
    <w:rsid w:val="597731B4"/>
    <w:rsid w:val="59C0439F"/>
    <w:rsid w:val="5A9F0C15"/>
    <w:rsid w:val="5AAC3332"/>
    <w:rsid w:val="5ABE2233"/>
    <w:rsid w:val="5AC44FF9"/>
    <w:rsid w:val="5AEE56F8"/>
    <w:rsid w:val="5B0B0058"/>
    <w:rsid w:val="5B0B44FC"/>
    <w:rsid w:val="5B865931"/>
    <w:rsid w:val="5B8F6EDB"/>
    <w:rsid w:val="5B962018"/>
    <w:rsid w:val="5B9938B6"/>
    <w:rsid w:val="5BDF5D95"/>
    <w:rsid w:val="5BE34B31"/>
    <w:rsid w:val="5BFE7528"/>
    <w:rsid w:val="5C237623"/>
    <w:rsid w:val="5C5B0B6B"/>
    <w:rsid w:val="5C8C51C9"/>
    <w:rsid w:val="5CBD1826"/>
    <w:rsid w:val="5D235B2D"/>
    <w:rsid w:val="5D881E34"/>
    <w:rsid w:val="5D916F3A"/>
    <w:rsid w:val="5DF376D7"/>
    <w:rsid w:val="5E08087F"/>
    <w:rsid w:val="5E2467F1"/>
    <w:rsid w:val="5E457D25"/>
    <w:rsid w:val="5E912F6A"/>
    <w:rsid w:val="5EF01A3F"/>
    <w:rsid w:val="5F1A2B43"/>
    <w:rsid w:val="5FB837BB"/>
    <w:rsid w:val="5FB92779"/>
    <w:rsid w:val="5FFE462F"/>
    <w:rsid w:val="60340051"/>
    <w:rsid w:val="605B738C"/>
    <w:rsid w:val="60CC405A"/>
    <w:rsid w:val="60DA29A7"/>
    <w:rsid w:val="60E5134B"/>
    <w:rsid w:val="60E90E3C"/>
    <w:rsid w:val="616E30EF"/>
    <w:rsid w:val="61E215D8"/>
    <w:rsid w:val="621B3775"/>
    <w:rsid w:val="62364782"/>
    <w:rsid w:val="626369CC"/>
    <w:rsid w:val="627110E9"/>
    <w:rsid w:val="63273E9D"/>
    <w:rsid w:val="6394356A"/>
    <w:rsid w:val="639C2195"/>
    <w:rsid w:val="63C61B2C"/>
    <w:rsid w:val="63C82E98"/>
    <w:rsid w:val="63D40BE9"/>
    <w:rsid w:val="64095351"/>
    <w:rsid w:val="64102431"/>
    <w:rsid w:val="64144421"/>
    <w:rsid w:val="64754794"/>
    <w:rsid w:val="64A5243A"/>
    <w:rsid w:val="64F531DE"/>
    <w:rsid w:val="650F6997"/>
    <w:rsid w:val="65373578"/>
    <w:rsid w:val="65393A14"/>
    <w:rsid w:val="66B6356E"/>
    <w:rsid w:val="671F124A"/>
    <w:rsid w:val="676C1E7F"/>
    <w:rsid w:val="677A33C6"/>
    <w:rsid w:val="67B101D9"/>
    <w:rsid w:val="67C73559"/>
    <w:rsid w:val="67CD5013"/>
    <w:rsid w:val="681F6961"/>
    <w:rsid w:val="68610A2F"/>
    <w:rsid w:val="68805514"/>
    <w:rsid w:val="68A51AEC"/>
    <w:rsid w:val="68B65AA7"/>
    <w:rsid w:val="68C06926"/>
    <w:rsid w:val="68E24AEE"/>
    <w:rsid w:val="691B3B5C"/>
    <w:rsid w:val="69316E2F"/>
    <w:rsid w:val="693469CC"/>
    <w:rsid w:val="694E2071"/>
    <w:rsid w:val="69766163"/>
    <w:rsid w:val="697A3B33"/>
    <w:rsid w:val="69D44760"/>
    <w:rsid w:val="6A520EC7"/>
    <w:rsid w:val="6A971908"/>
    <w:rsid w:val="6AF87E20"/>
    <w:rsid w:val="6B144D07"/>
    <w:rsid w:val="6B322639"/>
    <w:rsid w:val="6B8974A3"/>
    <w:rsid w:val="6BAD2A66"/>
    <w:rsid w:val="6C134FBF"/>
    <w:rsid w:val="6C636C38"/>
    <w:rsid w:val="6CA200F0"/>
    <w:rsid w:val="6CBF5146"/>
    <w:rsid w:val="6CE07597"/>
    <w:rsid w:val="6DB34098"/>
    <w:rsid w:val="6DB545B6"/>
    <w:rsid w:val="6DE02FB4"/>
    <w:rsid w:val="6E4476B1"/>
    <w:rsid w:val="6E4678CD"/>
    <w:rsid w:val="6E514CED"/>
    <w:rsid w:val="6EB563D5"/>
    <w:rsid w:val="6ED92677"/>
    <w:rsid w:val="6F225983"/>
    <w:rsid w:val="6FFC5590"/>
    <w:rsid w:val="70341B48"/>
    <w:rsid w:val="706D1DD0"/>
    <w:rsid w:val="707F70C6"/>
    <w:rsid w:val="70856B87"/>
    <w:rsid w:val="70C04FE9"/>
    <w:rsid w:val="70C90342"/>
    <w:rsid w:val="70D527EE"/>
    <w:rsid w:val="714F4CEB"/>
    <w:rsid w:val="715B5300"/>
    <w:rsid w:val="715E0A8A"/>
    <w:rsid w:val="71BC1C54"/>
    <w:rsid w:val="71D27F8A"/>
    <w:rsid w:val="72553024"/>
    <w:rsid w:val="72693B8A"/>
    <w:rsid w:val="72710C91"/>
    <w:rsid w:val="72BB18F6"/>
    <w:rsid w:val="72EC6569"/>
    <w:rsid w:val="72F0605A"/>
    <w:rsid w:val="72F07E08"/>
    <w:rsid w:val="730D6C0C"/>
    <w:rsid w:val="73122968"/>
    <w:rsid w:val="731F5D5E"/>
    <w:rsid w:val="733F48EB"/>
    <w:rsid w:val="735E1215"/>
    <w:rsid w:val="73A6496A"/>
    <w:rsid w:val="73C51AD5"/>
    <w:rsid w:val="73CA0659"/>
    <w:rsid w:val="741E793C"/>
    <w:rsid w:val="743B1556"/>
    <w:rsid w:val="745E3944"/>
    <w:rsid w:val="74681C20"/>
    <w:rsid w:val="756D1BE3"/>
    <w:rsid w:val="7635099D"/>
    <w:rsid w:val="766A1C7F"/>
    <w:rsid w:val="76780840"/>
    <w:rsid w:val="76B63116"/>
    <w:rsid w:val="76DB20F1"/>
    <w:rsid w:val="76FE0619"/>
    <w:rsid w:val="770025E3"/>
    <w:rsid w:val="771B11CB"/>
    <w:rsid w:val="77707769"/>
    <w:rsid w:val="77762421"/>
    <w:rsid w:val="77B56B1F"/>
    <w:rsid w:val="77BA4E88"/>
    <w:rsid w:val="77D5581E"/>
    <w:rsid w:val="77F75794"/>
    <w:rsid w:val="780F09F4"/>
    <w:rsid w:val="781A1483"/>
    <w:rsid w:val="782A3DBC"/>
    <w:rsid w:val="788A2AAC"/>
    <w:rsid w:val="78A90480"/>
    <w:rsid w:val="78BC253A"/>
    <w:rsid w:val="78C0202A"/>
    <w:rsid w:val="790A14F7"/>
    <w:rsid w:val="796B643A"/>
    <w:rsid w:val="79921C19"/>
    <w:rsid w:val="7A364017"/>
    <w:rsid w:val="7A8265E1"/>
    <w:rsid w:val="7B686D42"/>
    <w:rsid w:val="7B841746"/>
    <w:rsid w:val="7BC260B9"/>
    <w:rsid w:val="7BD271B6"/>
    <w:rsid w:val="7C0E12FE"/>
    <w:rsid w:val="7C3A20F4"/>
    <w:rsid w:val="7C572CA5"/>
    <w:rsid w:val="7C596A1E"/>
    <w:rsid w:val="7C5E2286"/>
    <w:rsid w:val="7C611D76"/>
    <w:rsid w:val="7C6C5AC7"/>
    <w:rsid w:val="7C7A6AAF"/>
    <w:rsid w:val="7C8141C6"/>
    <w:rsid w:val="7CB55088"/>
    <w:rsid w:val="7CC6544B"/>
    <w:rsid w:val="7D0239FF"/>
    <w:rsid w:val="7D3F20B7"/>
    <w:rsid w:val="7D5E40CD"/>
    <w:rsid w:val="7DCD56F2"/>
    <w:rsid w:val="7DEE6B44"/>
    <w:rsid w:val="7DFD5ACF"/>
    <w:rsid w:val="7E8A55B4"/>
    <w:rsid w:val="7EEA7E01"/>
    <w:rsid w:val="7F001CE7"/>
    <w:rsid w:val="7F390D88"/>
    <w:rsid w:val="7F9F508F"/>
    <w:rsid w:val="7FC2412D"/>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1" w:semiHidden="0" w:name="heading 2" w:locked="1"/>
    <w:lsdException w:qFormat="1" w:unhideWhenUsed="0" w:uiPriority="0" w:semiHidden="0" w:name="heading 3" w:locked="1"/>
    <w:lsdException w:qFormat="1"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qFormat="1" w:unhideWhenUsed="0" w:uiPriority="0"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qFormat="1"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qFormat="1" w:uiPriority="99"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99" w:semiHidden="0" w:name="Body Text First Indent 2" w:locked="1"/>
    <w:lsdException w:unhideWhenUsed="0" w:uiPriority="0" w:semiHidden="0" w:name="Note Heading" w:locked="1"/>
    <w:lsdException w:qFormat="1"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qFormat="1"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nhideWhenUsed="0" w:uiPriority="0" w:semiHidden="0" w:name="Table Simple 1" w:locked="1"/>
    <w:lsdException w:qFormat="1"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qFormat="1"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styleId="4">
    <w:name w:val="heading 1"/>
    <w:basedOn w:val="1"/>
    <w:next w:val="1"/>
    <w:autoRedefine/>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5">
    <w:name w:val="heading 2"/>
    <w:basedOn w:val="1"/>
    <w:next w:val="1"/>
    <w:link w:val="55"/>
    <w:autoRedefine/>
    <w:qFormat/>
    <w:locked/>
    <w:uiPriority w:val="1"/>
    <w:pPr>
      <w:ind w:left="1290"/>
      <w:outlineLvl w:val="1"/>
    </w:pPr>
    <w:rPr>
      <w:rFonts w:ascii="宋体" w:hAnsi="宋体" w:cs="宋体"/>
      <w:b/>
      <w:bCs/>
      <w:sz w:val="21"/>
      <w:szCs w:val="21"/>
      <w:lang w:val="zh-CN" w:bidi="zh-CN"/>
    </w:rPr>
  </w:style>
  <w:style w:type="paragraph" w:styleId="6">
    <w:name w:val="heading 3"/>
    <w:basedOn w:val="1"/>
    <w:next w:val="1"/>
    <w:link w:val="56"/>
    <w:autoRedefine/>
    <w:qFormat/>
    <w:locked/>
    <w:uiPriority w:val="0"/>
    <w:pPr>
      <w:keepNext/>
      <w:keepLines/>
      <w:spacing w:before="260" w:after="260" w:line="416" w:lineRule="auto"/>
      <w:outlineLvl w:val="2"/>
    </w:pPr>
    <w:rPr>
      <w:b/>
      <w:bCs/>
      <w:sz w:val="32"/>
      <w:szCs w:val="32"/>
    </w:rPr>
  </w:style>
  <w:style w:type="paragraph" w:styleId="7">
    <w:name w:val="heading 4"/>
    <w:basedOn w:val="1"/>
    <w:next w:val="1"/>
    <w:link w:val="57"/>
    <w:autoRedefine/>
    <w:unhideWhenUsed/>
    <w:qFormat/>
    <w:locked/>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8">
    <w:name w:val="heading 5"/>
    <w:basedOn w:val="1"/>
    <w:next w:val="1"/>
    <w:link w:val="80"/>
    <w:autoRedefine/>
    <w:semiHidden/>
    <w:unhideWhenUsed/>
    <w:qFormat/>
    <w:locked/>
    <w:uiPriority w:val="0"/>
    <w:pPr>
      <w:keepNext/>
      <w:keepLines/>
      <w:spacing w:before="280" w:after="290" w:line="376" w:lineRule="auto"/>
      <w:outlineLvl w:val="4"/>
    </w:pPr>
    <w:rPr>
      <w:b/>
      <w:bCs/>
      <w:sz w:val="28"/>
      <w:szCs w:val="28"/>
    </w:rPr>
  </w:style>
  <w:style w:type="character" w:default="1" w:styleId="39">
    <w:name w:val="Default Paragraph Font"/>
    <w:autoRedefine/>
    <w:semiHidden/>
    <w:unhideWhenUsed/>
    <w:qFormat/>
    <w:uiPriority w:val="1"/>
  </w:style>
  <w:style w:type="table" w:default="1" w:styleId="35">
    <w:name w:val="Normal Table"/>
    <w:autoRedefine/>
    <w:semiHidden/>
    <w:unhideWhenUsed/>
    <w:qFormat/>
    <w:uiPriority w:val="99"/>
    <w:tblPr>
      <w:tblCellMar>
        <w:top w:w="0" w:type="dxa"/>
        <w:left w:w="108" w:type="dxa"/>
        <w:bottom w:w="0" w:type="dxa"/>
        <w:right w:w="108" w:type="dxa"/>
      </w:tblCellMar>
    </w:tblPr>
  </w:style>
  <w:style w:type="paragraph" w:customStyle="1" w:styleId="2">
    <w:name w:val="Default1"/>
    <w:basedOn w:val="3"/>
    <w:next w:val="1"/>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3">
    <w:name w:val="Normal_14_0"/>
    <w:autoRedefine/>
    <w:qFormat/>
    <w:uiPriority w:val="0"/>
    <w:pPr>
      <w:spacing w:before="120" w:after="240"/>
      <w:jc w:val="both"/>
    </w:pPr>
    <w:rPr>
      <w:rFonts w:ascii="Calibri" w:hAnsi="Calibri" w:eastAsia="Calibri" w:cs="Times New Roman"/>
      <w:sz w:val="22"/>
      <w:szCs w:val="22"/>
      <w:lang w:val="ru-RU" w:eastAsia="en-US" w:bidi="ar-SA"/>
    </w:rPr>
  </w:style>
  <w:style w:type="paragraph" w:styleId="9">
    <w:name w:val="Normal Indent"/>
    <w:basedOn w:val="1"/>
    <w:next w:val="7"/>
    <w:autoRedefine/>
    <w:qFormat/>
    <w:locked/>
    <w:uiPriority w:val="0"/>
    <w:pPr>
      <w:spacing w:line="240" w:lineRule="auto"/>
      <w:ind w:firstLine="420" w:firstLineChars="0"/>
    </w:pPr>
    <w:rPr>
      <w:sz w:val="21"/>
      <w:szCs w:val="20"/>
    </w:rPr>
  </w:style>
  <w:style w:type="paragraph" w:styleId="10">
    <w:name w:val="caption"/>
    <w:basedOn w:val="1"/>
    <w:next w:val="11"/>
    <w:autoRedefine/>
    <w:qFormat/>
    <w:locked/>
    <w:uiPriority w:val="0"/>
    <w:pPr>
      <w:spacing w:line="240" w:lineRule="auto"/>
      <w:ind w:firstLine="0" w:firstLineChars="0"/>
    </w:pPr>
    <w:rPr>
      <w:rFonts w:ascii="Arial" w:hAnsi="Arial" w:eastAsia="黑体" w:cs="Arial"/>
      <w:sz w:val="20"/>
      <w:szCs w:val="20"/>
    </w:rPr>
  </w:style>
  <w:style w:type="paragraph" w:customStyle="1" w:styleId="11">
    <w:name w:val="报告正文"/>
    <w:autoRedefine/>
    <w:qFormat/>
    <w:uiPriority w:val="0"/>
    <w:pPr>
      <w:adjustRightInd w:val="0"/>
      <w:snapToGrid w:val="0"/>
      <w:spacing w:line="360" w:lineRule="auto"/>
      <w:ind w:firstLine="200" w:firstLineChars="200"/>
    </w:pPr>
    <w:rPr>
      <w:rFonts w:ascii="Calibri" w:hAnsi="Calibri" w:eastAsia="宋体" w:cs="Times New Roman"/>
      <w:bCs/>
      <w:kern w:val="44"/>
      <w:sz w:val="24"/>
      <w:szCs w:val="44"/>
      <w:lang w:val="en-US" w:eastAsia="zh-CN" w:bidi="ar-SA"/>
    </w:rPr>
  </w:style>
  <w:style w:type="paragraph" w:styleId="12">
    <w:name w:val="annotation text"/>
    <w:basedOn w:val="1"/>
    <w:link w:val="47"/>
    <w:autoRedefine/>
    <w:semiHidden/>
    <w:qFormat/>
    <w:uiPriority w:val="0"/>
    <w:pPr>
      <w:jc w:val="left"/>
    </w:pPr>
    <w:rPr>
      <w:kern w:val="0"/>
      <w:szCs w:val="20"/>
    </w:rPr>
  </w:style>
  <w:style w:type="paragraph" w:styleId="13">
    <w:name w:val="Body Text"/>
    <w:basedOn w:val="1"/>
    <w:link w:val="81"/>
    <w:autoRedefine/>
    <w:qFormat/>
    <w:uiPriority w:val="0"/>
    <w:pPr>
      <w:widowControl/>
      <w:snapToGrid w:val="0"/>
      <w:spacing w:before="60" w:after="160" w:line="259" w:lineRule="auto"/>
      <w:ind w:right="113" w:firstLine="0" w:firstLineChars="0"/>
    </w:pPr>
    <w:rPr>
      <w:kern w:val="0"/>
      <w:sz w:val="18"/>
      <w:szCs w:val="20"/>
    </w:rPr>
  </w:style>
  <w:style w:type="paragraph" w:styleId="14">
    <w:name w:val="Body Text Indent"/>
    <w:basedOn w:val="1"/>
    <w:next w:val="13"/>
    <w:link w:val="82"/>
    <w:autoRedefine/>
    <w:qFormat/>
    <w:uiPriority w:val="0"/>
    <w:pPr>
      <w:spacing w:after="120" w:line="240" w:lineRule="auto"/>
      <w:ind w:left="420" w:leftChars="200" w:firstLine="0" w:firstLineChars="0"/>
    </w:pPr>
    <w:rPr>
      <w:kern w:val="0"/>
      <w:szCs w:val="20"/>
    </w:rPr>
  </w:style>
  <w:style w:type="paragraph" w:styleId="15">
    <w:name w:val="Block Text"/>
    <w:basedOn w:val="1"/>
    <w:autoRedefine/>
    <w:qFormat/>
    <w:locked/>
    <w:uiPriority w:val="0"/>
    <w:pPr>
      <w:widowControl/>
      <w:ind w:left="87" w:right="2" w:rightChars="2" w:firstLine="585" w:firstLineChars="0"/>
    </w:pPr>
    <w:rPr>
      <w:rFonts w:hint="eastAsia" w:ascii="仿宋_GB2312" w:eastAsia="仿宋_GB2312"/>
      <w:kern w:val="0"/>
      <w:sz w:val="28"/>
    </w:rPr>
  </w:style>
  <w:style w:type="paragraph" w:styleId="16">
    <w:name w:val="Plain Text"/>
    <w:basedOn w:val="1"/>
    <w:next w:val="17"/>
    <w:link w:val="83"/>
    <w:autoRedefine/>
    <w:qFormat/>
    <w:locked/>
    <w:uiPriority w:val="0"/>
    <w:pPr>
      <w:spacing w:line="240" w:lineRule="auto"/>
      <w:ind w:firstLine="0" w:firstLineChars="0"/>
    </w:pPr>
    <w:rPr>
      <w:rFonts w:ascii="宋体" w:hAnsi="Courier New" w:cs="Courier New"/>
      <w:sz w:val="21"/>
      <w:szCs w:val="21"/>
    </w:rPr>
  </w:style>
  <w:style w:type="paragraph" w:styleId="17">
    <w:name w:val="List Continue 5"/>
    <w:basedOn w:val="1"/>
    <w:autoRedefine/>
    <w:unhideWhenUsed/>
    <w:qFormat/>
    <w:locked/>
    <w:uiPriority w:val="99"/>
    <w:pPr>
      <w:spacing w:after="120" w:afterLines="0"/>
      <w:ind w:left="2100" w:leftChars="1000"/>
    </w:pPr>
  </w:style>
  <w:style w:type="paragraph" w:styleId="18">
    <w:name w:val="Date"/>
    <w:basedOn w:val="1"/>
    <w:next w:val="1"/>
    <w:link w:val="84"/>
    <w:autoRedefine/>
    <w:qFormat/>
    <w:uiPriority w:val="0"/>
    <w:pPr>
      <w:spacing w:line="240" w:lineRule="auto"/>
      <w:ind w:left="100" w:leftChars="2500" w:firstLine="0" w:firstLineChars="0"/>
    </w:pPr>
    <w:rPr>
      <w:kern w:val="0"/>
      <w:szCs w:val="20"/>
    </w:rPr>
  </w:style>
  <w:style w:type="paragraph" w:styleId="19">
    <w:name w:val="Body Text Indent 2"/>
    <w:basedOn w:val="1"/>
    <w:next w:val="1"/>
    <w:link w:val="85"/>
    <w:autoRedefine/>
    <w:qFormat/>
    <w:locked/>
    <w:uiPriority w:val="0"/>
    <w:pPr>
      <w:spacing w:line="500" w:lineRule="exact"/>
      <w:ind w:firstLine="570" w:firstLineChars="0"/>
    </w:pPr>
    <w:rPr>
      <w:rFonts w:ascii="仿宋_GB2312" w:eastAsia="仿宋_GB2312"/>
      <w:sz w:val="28"/>
    </w:rPr>
  </w:style>
  <w:style w:type="paragraph" w:styleId="20">
    <w:name w:val="Balloon Text"/>
    <w:basedOn w:val="1"/>
    <w:link w:val="45"/>
    <w:autoRedefine/>
    <w:semiHidden/>
    <w:qFormat/>
    <w:uiPriority w:val="0"/>
    <w:rPr>
      <w:kern w:val="0"/>
      <w:sz w:val="18"/>
      <w:szCs w:val="20"/>
    </w:rPr>
  </w:style>
  <w:style w:type="paragraph" w:styleId="21">
    <w:name w:val="footer"/>
    <w:basedOn w:val="1"/>
    <w:next w:val="22"/>
    <w:link w:val="50"/>
    <w:autoRedefine/>
    <w:qFormat/>
    <w:uiPriority w:val="99"/>
    <w:pPr>
      <w:tabs>
        <w:tab w:val="center" w:pos="4153"/>
        <w:tab w:val="right" w:pos="8306"/>
      </w:tabs>
      <w:snapToGrid w:val="0"/>
      <w:spacing w:line="240" w:lineRule="auto"/>
      <w:ind w:firstLine="0" w:firstLineChars="0"/>
      <w:jc w:val="left"/>
    </w:pPr>
    <w:rPr>
      <w:kern w:val="0"/>
      <w:sz w:val="21"/>
      <w:szCs w:val="20"/>
    </w:rPr>
  </w:style>
  <w:style w:type="paragraph" w:styleId="22">
    <w:name w:val="Normal (Web)"/>
    <w:basedOn w:val="1"/>
    <w:next w:val="23"/>
    <w:link w:val="53"/>
    <w:autoRedefine/>
    <w:qFormat/>
    <w:uiPriority w:val="0"/>
    <w:pPr>
      <w:widowControl/>
      <w:spacing w:before="100" w:beforeAutospacing="1" w:after="100" w:afterAutospacing="1"/>
      <w:jc w:val="left"/>
    </w:pPr>
    <w:rPr>
      <w:rFonts w:ascii="宋体" w:hAnsi="宋体"/>
      <w:kern w:val="0"/>
      <w:szCs w:val="20"/>
    </w:rPr>
  </w:style>
  <w:style w:type="paragraph" w:customStyle="1" w:styleId="23">
    <w:name w:val="toc 84"/>
    <w:next w:val="1"/>
    <w:autoRedefine/>
    <w:qFormat/>
    <w:uiPriority w:val="99"/>
    <w:pPr>
      <w:wordWrap w:val="0"/>
      <w:ind w:left="2975"/>
      <w:jc w:val="both"/>
    </w:pPr>
    <w:rPr>
      <w:rFonts w:ascii="Times New Roman" w:hAnsi="Times New Roman" w:eastAsia="宋体" w:cs="Times New Roman"/>
      <w:sz w:val="21"/>
      <w:szCs w:val="22"/>
      <w:lang w:val="en-US" w:eastAsia="zh-CN" w:bidi="ar-SA"/>
    </w:rPr>
  </w:style>
  <w:style w:type="paragraph" w:styleId="24">
    <w:name w:val="envelope return"/>
    <w:basedOn w:val="1"/>
    <w:autoRedefine/>
    <w:qFormat/>
    <w:locked/>
    <w:uiPriority w:val="0"/>
    <w:pPr>
      <w:snapToGrid w:val="0"/>
    </w:pPr>
    <w:rPr>
      <w:rFonts w:ascii="Arial" w:hAnsi="Arial" w:cs="Arial"/>
      <w:szCs w:val="24"/>
    </w:rPr>
  </w:style>
  <w:style w:type="paragraph" w:styleId="25">
    <w:name w:val="header"/>
    <w:basedOn w:val="1"/>
    <w:next w:val="26"/>
    <w:link w:val="86"/>
    <w:autoRedefine/>
    <w:qFormat/>
    <w:uiPriority w:val="0"/>
    <w:pPr>
      <w:pBdr>
        <w:bottom w:val="single" w:color="auto" w:sz="6" w:space="1"/>
      </w:pBdr>
      <w:tabs>
        <w:tab w:val="center" w:pos="4153"/>
        <w:tab w:val="right" w:pos="8306"/>
      </w:tabs>
      <w:snapToGrid w:val="0"/>
      <w:spacing w:line="240" w:lineRule="auto"/>
      <w:ind w:firstLine="0" w:firstLineChars="0"/>
      <w:jc w:val="center"/>
    </w:pPr>
    <w:rPr>
      <w:kern w:val="0"/>
      <w:sz w:val="18"/>
      <w:szCs w:val="20"/>
    </w:rPr>
  </w:style>
  <w:style w:type="paragraph" w:customStyle="1" w:styleId="26">
    <w:name w:val="样式5"/>
    <w:basedOn w:val="13"/>
    <w:autoRedefine/>
    <w:qFormat/>
    <w:uiPriority w:val="0"/>
    <w:pPr>
      <w:spacing w:line="440" w:lineRule="exact"/>
      <w:ind w:firstLine="200"/>
    </w:pPr>
    <w:rPr>
      <w:rFonts w:ascii="Arial" w:hAnsi="Arial"/>
      <w:szCs w:val="20"/>
    </w:rPr>
  </w:style>
  <w:style w:type="paragraph" w:styleId="27">
    <w:name w:val="toc 1"/>
    <w:basedOn w:val="1"/>
    <w:next w:val="1"/>
    <w:autoRedefine/>
    <w:qFormat/>
    <w:locked/>
    <w:uiPriority w:val="0"/>
    <w:pPr>
      <w:spacing w:line="360" w:lineRule="auto"/>
    </w:pPr>
    <w:rPr>
      <w:rFonts w:ascii="Times New Roman" w:hAnsi="Times New Roman" w:eastAsia="宋体"/>
      <w:sz w:val="24"/>
      <w:szCs w:val="24"/>
    </w:rPr>
  </w:style>
  <w:style w:type="paragraph" w:styleId="28">
    <w:name w:val="index heading"/>
    <w:basedOn w:val="1"/>
    <w:next w:val="29"/>
    <w:autoRedefine/>
    <w:qFormat/>
    <w:locked/>
    <w:uiPriority w:val="0"/>
    <w:rPr>
      <w:rFonts w:asciiTheme="majorHAnsi" w:hAnsiTheme="majorHAnsi" w:eastAsiaTheme="majorEastAsia" w:cstheme="majorBidi"/>
      <w:b/>
      <w:bCs/>
    </w:rPr>
  </w:style>
  <w:style w:type="paragraph" w:styleId="29">
    <w:name w:val="index 1"/>
    <w:basedOn w:val="1"/>
    <w:next w:val="1"/>
    <w:autoRedefine/>
    <w:qFormat/>
    <w:locked/>
    <w:uiPriority w:val="0"/>
    <w:pPr>
      <w:ind w:firstLine="0"/>
    </w:pPr>
  </w:style>
  <w:style w:type="paragraph" w:styleId="30">
    <w:name w:val="List"/>
    <w:basedOn w:val="1"/>
    <w:autoRedefine/>
    <w:qFormat/>
    <w:locked/>
    <w:uiPriority w:val="0"/>
    <w:pPr>
      <w:spacing w:line="280" w:lineRule="exact"/>
      <w:ind w:firstLine="0" w:firstLineChars="0"/>
      <w:jc w:val="center"/>
    </w:pPr>
    <w:rPr>
      <w:spacing w:val="-2"/>
      <w:sz w:val="21"/>
      <w:szCs w:val="21"/>
    </w:rPr>
  </w:style>
  <w:style w:type="paragraph" w:styleId="31">
    <w:name w:val="Body Text 2"/>
    <w:basedOn w:val="1"/>
    <w:link w:val="87"/>
    <w:autoRedefine/>
    <w:qFormat/>
    <w:locked/>
    <w:uiPriority w:val="0"/>
    <w:pPr>
      <w:spacing w:line="500" w:lineRule="exact"/>
      <w:ind w:firstLine="0" w:firstLineChars="0"/>
    </w:pPr>
    <w:rPr>
      <w:rFonts w:eastAsia="黑体"/>
      <w:sz w:val="28"/>
    </w:rPr>
  </w:style>
  <w:style w:type="paragraph" w:styleId="32">
    <w:name w:val="annotation subject"/>
    <w:basedOn w:val="12"/>
    <w:next w:val="12"/>
    <w:link w:val="51"/>
    <w:autoRedefine/>
    <w:semiHidden/>
    <w:qFormat/>
    <w:uiPriority w:val="0"/>
    <w:rPr>
      <w:b/>
    </w:rPr>
  </w:style>
  <w:style w:type="paragraph" w:styleId="33">
    <w:name w:val="Body Text First Indent"/>
    <w:basedOn w:val="13"/>
    <w:link w:val="88"/>
    <w:autoRedefine/>
    <w:qFormat/>
    <w:locked/>
    <w:uiPriority w:val="0"/>
    <w:pPr>
      <w:spacing w:after="120" w:line="240" w:lineRule="auto"/>
      <w:ind w:firstLine="420" w:firstLineChars="100"/>
    </w:pPr>
    <w:rPr>
      <w:sz w:val="21"/>
    </w:rPr>
  </w:style>
  <w:style w:type="paragraph" w:styleId="34">
    <w:name w:val="Body Text First Indent 2"/>
    <w:basedOn w:val="1"/>
    <w:next w:val="1"/>
    <w:link w:val="89"/>
    <w:autoRedefine/>
    <w:qFormat/>
    <w:locked/>
    <w:uiPriority w:val="99"/>
    <w:pPr>
      <w:spacing w:line="240" w:lineRule="auto"/>
      <w:ind w:left="420" w:firstLine="210" w:firstLineChars="0"/>
    </w:pPr>
    <w:rPr>
      <w:sz w:val="21"/>
    </w:rPr>
  </w:style>
  <w:style w:type="table" w:styleId="36">
    <w:name w:val="Table Grid"/>
    <w:basedOn w:val="35"/>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7">
    <w:name w:val="Table Simple 2"/>
    <w:basedOn w:val="35"/>
    <w:autoRedefine/>
    <w:qFormat/>
    <w:locked/>
    <w:uiPriority w:val="0"/>
    <w:pPr>
      <w:widowControl w:val="0"/>
      <w:spacing w:line="360" w:lineRule="auto"/>
      <w:ind w:firstLine="200" w:firstLineChars="200"/>
      <w:jc w:val="both"/>
    </w:pPr>
    <w:tblPr>
      <w:tblCellMar>
        <w:top w:w="0" w:type="dxa"/>
        <w:left w:w="108" w:type="dxa"/>
        <w:bottom w:w="0" w:type="dxa"/>
        <w:right w:w="108" w:type="dxa"/>
      </w:tblCellMar>
    </w:tblPr>
    <w:tblStylePr w:type="firstRow">
      <w:rPr>
        <w:b/>
        <w:bCs/>
      </w:rPr>
      <w:tblPr/>
      <w:tcPr>
        <w:tcBorders>
          <w:bottom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left w:val="single" w:color="000000" w:sz="6" w:space="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38">
    <w:name w:val="Table Grid 7"/>
    <w:basedOn w:val="35"/>
    <w:autoRedefine/>
    <w:qFormat/>
    <w:locked/>
    <w:uiPriority w:val="0"/>
    <w:pPr>
      <w:widowControl w:val="0"/>
      <w:spacing w:line="360" w:lineRule="auto"/>
      <w:ind w:firstLine="200" w:firstLineChars="20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blPr/>
      <w:tcPr>
        <w:tcBorders>
          <w:bottom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character" w:styleId="40">
    <w:name w:val="Strong"/>
    <w:autoRedefine/>
    <w:qFormat/>
    <w:locked/>
    <w:uiPriority w:val="0"/>
    <w:rPr>
      <w:b/>
      <w:bCs/>
    </w:rPr>
  </w:style>
  <w:style w:type="character" w:styleId="41">
    <w:name w:val="page number"/>
    <w:basedOn w:val="39"/>
    <w:autoRedefine/>
    <w:qFormat/>
    <w:locked/>
    <w:uiPriority w:val="0"/>
  </w:style>
  <w:style w:type="character" w:styleId="42">
    <w:name w:val="Emphasis"/>
    <w:basedOn w:val="39"/>
    <w:autoRedefine/>
    <w:qFormat/>
    <w:locked/>
    <w:uiPriority w:val="0"/>
    <w:rPr>
      <w:i/>
    </w:rPr>
  </w:style>
  <w:style w:type="character" w:styleId="43">
    <w:name w:val="Hyperlink"/>
    <w:basedOn w:val="39"/>
    <w:autoRedefine/>
    <w:qFormat/>
    <w:locked/>
    <w:uiPriority w:val="0"/>
    <w:rPr>
      <w:color w:val="0000FF"/>
      <w:u w:val="single"/>
    </w:rPr>
  </w:style>
  <w:style w:type="character" w:styleId="44">
    <w:name w:val="annotation reference"/>
    <w:autoRedefine/>
    <w:semiHidden/>
    <w:qFormat/>
    <w:uiPriority w:val="0"/>
    <w:rPr>
      <w:sz w:val="21"/>
    </w:rPr>
  </w:style>
  <w:style w:type="character" w:customStyle="1" w:styleId="45">
    <w:name w:val="批注框文本 Char"/>
    <w:link w:val="20"/>
    <w:autoRedefine/>
    <w:semiHidden/>
    <w:qFormat/>
    <w:locked/>
    <w:uiPriority w:val="0"/>
    <w:rPr>
      <w:rFonts w:ascii="Times New Roman" w:hAnsi="Times New Roman" w:eastAsia="宋体"/>
      <w:sz w:val="18"/>
    </w:rPr>
  </w:style>
  <w:style w:type="character" w:customStyle="1" w:styleId="46">
    <w:name w:val="日期 字符"/>
    <w:autoRedefine/>
    <w:semiHidden/>
    <w:qFormat/>
    <w:uiPriority w:val="0"/>
    <w:rPr>
      <w:rFonts w:ascii="Times New Roman" w:hAnsi="Times New Roman" w:eastAsia="宋体"/>
      <w:sz w:val="24"/>
    </w:rPr>
  </w:style>
  <w:style w:type="character" w:customStyle="1" w:styleId="47">
    <w:name w:val="批注文字 Char"/>
    <w:link w:val="12"/>
    <w:autoRedefine/>
    <w:qFormat/>
    <w:locked/>
    <w:uiPriority w:val="0"/>
    <w:rPr>
      <w:rFonts w:ascii="Times New Roman" w:hAnsi="Times New Roman" w:eastAsia="宋体"/>
      <w:sz w:val="24"/>
    </w:rPr>
  </w:style>
  <w:style w:type="character" w:customStyle="1" w:styleId="48">
    <w:name w:val="正文文本 字符1"/>
    <w:autoRedefine/>
    <w:semiHidden/>
    <w:qFormat/>
    <w:uiPriority w:val="0"/>
    <w:rPr>
      <w:rFonts w:ascii="Times New Roman" w:hAnsi="Times New Roman" w:eastAsia="宋体"/>
      <w:sz w:val="24"/>
    </w:rPr>
  </w:style>
  <w:style w:type="paragraph" w:customStyle="1" w:styleId="49">
    <w:name w:val="01.表格文字"/>
    <w:basedOn w:val="1"/>
    <w:autoRedefine/>
    <w:qFormat/>
    <w:uiPriority w:val="0"/>
    <w:pPr>
      <w:spacing w:line="240" w:lineRule="auto"/>
      <w:ind w:firstLine="0" w:firstLineChars="0"/>
      <w:jc w:val="center"/>
    </w:pPr>
    <w:rPr>
      <w:snapToGrid w:val="0"/>
      <w:sz w:val="21"/>
    </w:rPr>
  </w:style>
  <w:style w:type="character" w:customStyle="1" w:styleId="50">
    <w:name w:val="页脚 Char"/>
    <w:link w:val="21"/>
    <w:autoRedefine/>
    <w:qFormat/>
    <w:locked/>
    <w:uiPriority w:val="99"/>
    <w:rPr>
      <w:sz w:val="21"/>
    </w:rPr>
  </w:style>
  <w:style w:type="character" w:customStyle="1" w:styleId="51">
    <w:name w:val="批注主题 Char"/>
    <w:link w:val="32"/>
    <w:autoRedefine/>
    <w:semiHidden/>
    <w:qFormat/>
    <w:locked/>
    <w:uiPriority w:val="0"/>
    <w:rPr>
      <w:rFonts w:ascii="Times New Roman" w:hAnsi="Times New Roman" w:eastAsia="宋体"/>
      <w:b/>
      <w:kern w:val="2"/>
      <w:sz w:val="24"/>
    </w:rPr>
  </w:style>
  <w:style w:type="character" w:customStyle="1" w:styleId="52">
    <w:name w:val="批注文字 字符1"/>
    <w:autoRedefine/>
    <w:semiHidden/>
    <w:qFormat/>
    <w:uiPriority w:val="0"/>
    <w:rPr>
      <w:rFonts w:ascii="Times New Roman" w:hAnsi="Times New Roman" w:eastAsia="宋体"/>
      <w:sz w:val="24"/>
    </w:rPr>
  </w:style>
  <w:style w:type="character" w:customStyle="1" w:styleId="53">
    <w:name w:val="普通(网站) Char"/>
    <w:link w:val="22"/>
    <w:autoRedefine/>
    <w:qFormat/>
    <w:locked/>
    <w:uiPriority w:val="0"/>
    <w:rPr>
      <w:rFonts w:ascii="宋体" w:hAnsi="宋体"/>
      <w:sz w:val="24"/>
    </w:rPr>
  </w:style>
  <w:style w:type="paragraph" w:styleId="54">
    <w:name w:val="List Paragraph"/>
    <w:basedOn w:val="1"/>
    <w:autoRedefine/>
    <w:qFormat/>
    <w:uiPriority w:val="1"/>
    <w:pPr>
      <w:ind w:firstLine="420"/>
    </w:pPr>
  </w:style>
  <w:style w:type="character" w:customStyle="1" w:styleId="55">
    <w:name w:val="标题 2 Char"/>
    <w:basedOn w:val="39"/>
    <w:link w:val="5"/>
    <w:autoRedefine/>
    <w:qFormat/>
    <w:uiPriority w:val="1"/>
    <w:rPr>
      <w:rFonts w:ascii="宋体" w:hAnsi="宋体" w:cs="宋体"/>
      <w:b/>
      <w:bCs/>
      <w:kern w:val="2"/>
      <w:sz w:val="21"/>
      <w:szCs w:val="21"/>
      <w:lang w:val="zh-CN" w:bidi="zh-CN"/>
    </w:rPr>
  </w:style>
  <w:style w:type="character" w:customStyle="1" w:styleId="56">
    <w:name w:val="标题 3 Char"/>
    <w:basedOn w:val="39"/>
    <w:link w:val="6"/>
    <w:autoRedefine/>
    <w:qFormat/>
    <w:uiPriority w:val="0"/>
    <w:rPr>
      <w:b/>
      <w:bCs/>
      <w:kern w:val="2"/>
      <w:sz w:val="32"/>
      <w:szCs w:val="32"/>
    </w:rPr>
  </w:style>
  <w:style w:type="character" w:customStyle="1" w:styleId="57">
    <w:name w:val="标题 4 Char"/>
    <w:basedOn w:val="39"/>
    <w:link w:val="7"/>
    <w:autoRedefine/>
    <w:qFormat/>
    <w:uiPriority w:val="0"/>
    <w:rPr>
      <w:rFonts w:asciiTheme="majorHAnsi" w:hAnsiTheme="majorHAnsi" w:eastAsiaTheme="majorEastAsia" w:cstheme="majorBidi"/>
      <w:b/>
      <w:bCs/>
      <w:kern w:val="2"/>
      <w:sz w:val="28"/>
      <w:szCs w:val="28"/>
    </w:rPr>
  </w:style>
  <w:style w:type="table" w:customStyle="1" w:styleId="58">
    <w:name w:val="网格型1"/>
    <w:basedOn w:val="35"/>
    <w:autoRedefine/>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59">
    <w:name w:val="样式1"/>
    <w:basedOn w:val="28"/>
    <w:next w:val="1"/>
    <w:autoRedefine/>
    <w:qFormat/>
    <w:uiPriority w:val="0"/>
    <w:pPr>
      <w:ind w:firstLine="425" w:firstLineChars="0"/>
    </w:pPr>
    <w:rPr>
      <w:rFonts w:ascii="Arial" w:hAnsi="Arial" w:eastAsia="宋体" w:cs="Arial"/>
      <w:kern w:val="44"/>
      <w:sz w:val="21"/>
    </w:rPr>
  </w:style>
  <w:style w:type="paragraph" w:customStyle="1" w:styleId="60">
    <w:name w:val="Table Paragraph"/>
    <w:basedOn w:val="1"/>
    <w:autoRedefine/>
    <w:qFormat/>
    <w:uiPriority w:val="1"/>
    <w:pPr>
      <w:spacing w:line="240" w:lineRule="auto"/>
      <w:ind w:firstLine="0" w:firstLineChars="0"/>
    </w:pPr>
    <w:rPr>
      <w:rFonts w:ascii="仿宋" w:hAnsi="仿宋" w:eastAsia="仿宋" w:cs="仿宋"/>
      <w:sz w:val="21"/>
      <w:lang w:val="zh-CN" w:bidi="zh-CN"/>
    </w:rPr>
  </w:style>
  <w:style w:type="paragraph" w:customStyle="1" w:styleId="61">
    <w:name w:val="常用表格样式"/>
    <w:basedOn w:val="62"/>
    <w:next w:val="1"/>
    <w:autoRedefine/>
    <w:qFormat/>
    <w:uiPriority w:val="0"/>
    <w:pPr>
      <w:spacing w:line="240" w:lineRule="auto"/>
      <w:ind w:firstLine="0" w:firstLineChars="0"/>
      <w:jc w:val="center"/>
    </w:pPr>
    <w:rPr>
      <w:rFonts w:ascii="宋体" w:hAnsi="新宋体" w:eastAsia="仿宋_GB2312"/>
      <w:spacing w:val="2"/>
      <w:sz w:val="18"/>
    </w:rPr>
  </w:style>
  <w:style w:type="paragraph" w:customStyle="1" w:styleId="62">
    <w:name w:val="常用正文样式"/>
    <w:autoRedefine/>
    <w:qFormat/>
    <w:uiPriority w:val="0"/>
    <w:pPr>
      <w:widowControl w:val="0"/>
      <w:spacing w:line="360" w:lineRule="auto"/>
      <w:ind w:firstLine="454"/>
      <w:jc w:val="both"/>
    </w:pPr>
    <w:rPr>
      <w:rFonts w:ascii="宋体" w:hAnsi="新宋体" w:eastAsia="仿宋_GB2312" w:cs="Times New Roman"/>
      <w:kern w:val="2"/>
      <w:sz w:val="24"/>
      <w:szCs w:val="24"/>
      <w:lang w:val="en-US" w:eastAsia="zh-CN" w:bidi="ar-SA"/>
    </w:rPr>
  </w:style>
  <w:style w:type="paragraph" w:customStyle="1" w:styleId="63">
    <w:name w:val="图表头"/>
    <w:basedOn w:val="1"/>
    <w:autoRedefine/>
    <w:qFormat/>
    <w:uiPriority w:val="0"/>
    <w:pPr>
      <w:tabs>
        <w:tab w:val="left" w:pos="770"/>
      </w:tabs>
      <w:spacing w:before="50" w:beforeLines="50" w:line="240" w:lineRule="auto"/>
      <w:ind w:firstLine="0" w:firstLineChars="0"/>
      <w:jc w:val="center"/>
    </w:pPr>
    <w:rPr>
      <w:b/>
      <w:sz w:val="21"/>
      <w:szCs w:val="20"/>
    </w:rPr>
  </w:style>
  <w:style w:type="paragraph" w:customStyle="1" w:styleId="64">
    <w:name w:val="表格居中 Char"/>
    <w:basedOn w:val="1"/>
    <w:autoRedefine/>
    <w:qFormat/>
    <w:uiPriority w:val="0"/>
    <w:pPr>
      <w:spacing w:line="240" w:lineRule="auto"/>
      <w:ind w:firstLine="0" w:firstLineChars="0"/>
      <w:jc w:val="center"/>
    </w:pPr>
    <w:rPr>
      <w:rFonts w:ascii="宋体" w:hAnsi="宋体"/>
      <w:w w:val="90"/>
      <w:kern w:val="0"/>
    </w:rPr>
  </w:style>
  <w:style w:type="paragraph" w:customStyle="1" w:styleId="65">
    <w:name w:val="标注"/>
    <w:basedOn w:val="1"/>
    <w:autoRedefine/>
    <w:qFormat/>
    <w:uiPriority w:val="0"/>
    <w:pPr>
      <w:spacing w:line="240" w:lineRule="auto"/>
      <w:ind w:firstLine="0" w:firstLineChars="0"/>
    </w:pPr>
    <w:rPr>
      <w:rFonts w:ascii="宋体"/>
      <w:color w:val="000000"/>
      <w:spacing w:val="4"/>
      <w:kern w:val="21"/>
      <w:sz w:val="18"/>
      <w:szCs w:val="18"/>
    </w:rPr>
  </w:style>
  <w:style w:type="paragraph" w:customStyle="1" w:styleId="66">
    <w:name w:val="A表内"/>
    <w:basedOn w:val="1"/>
    <w:link w:val="78"/>
    <w:autoRedefine/>
    <w:qFormat/>
    <w:uiPriority w:val="0"/>
    <w:pPr>
      <w:spacing w:line="0" w:lineRule="atLeast"/>
      <w:ind w:firstLine="0" w:firstLineChars="0"/>
      <w:jc w:val="center"/>
    </w:pPr>
    <w:rPr>
      <w:rFonts w:cs="宋体"/>
      <w:sz w:val="21"/>
    </w:rPr>
  </w:style>
  <w:style w:type="character" w:customStyle="1" w:styleId="67">
    <w:name w:val="font01"/>
    <w:autoRedefine/>
    <w:qFormat/>
    <w:uiPriority w:val="0"/>
    <w:rPr>
      <w:rFonts w:hint="eastAsia" w:ascii="宋体" w:hAnsi="宋体" w:eastAsia="宋体" w:cs="宋体"/>
      <w:color w:val="000000"/>
      <w:sz w:val="21"/>
      <w:szCs w:val="21"/>
      <w:u w:val="none"/>
    </w:rPr>
  </w:style>
  <w:style w:type="character" w:customStyle="1" w:styleId="68">
    <w:name w:val="NormalCharacter"/>
    <w:autoRedefine/>
    <w:semiHidden/>
    <w:qFormat/>
    <w:uiPriority w:val="0"/>
  </w:style>
  <w:style w:type="paragraph" w:customStyle="1" w:styleId="69">
    <w:name w:val="A0正文"/>
    <w:basedOn w:val="1"/>
    <w:link w:val="76"/>
    <w:autoRedefine/>
    <w:qFormat/>
    <w:uiPriority w:val="0"/>
    <w:pPr>
      <w:widowControl/>
      <w:spacing w:line="560" w:lineRule="exact"/>
      <w:textAlignment w:val="baseline"/>
    </w:pPr>
    <w:rPr>
      <w:rFonts w:cs="宋体"/>
      <w:szCs w:val="20"/>
      <w:lang w:val="zh-CN"/>
    </w:rPr>
  </w:style>
  <w:style w:type="paragraph" w:customStyle="1" w:styleId="70">
    <w:name w:val="【】3级"/>
    <w:basedOn w:val="6"/>
    <w:next w:val="71"/>
    <w:link w:val="77"/>
    <w:autoRedefine/>
    <w:qFormat/>
    <w:uiPriority w:val="0"/>
    <w:pPr>
      <w:widowControl/>
      <w:numPr>
        <w:ilvl w:val="2"/>
        <w:numId w:val="1"/>
      </w:numPr>
      <w:spacing w:before="0" w:after="0" w:line="500" w:lineRule="exact"/>
      <w:ind w:firstLineChars="0"/>
      <w:textAlignment w:val="baseline"/>
    </w:pPr>
    <w:rPr>
      <w:rFonts w:eastAsia="黑体" w:cs="宋体"/>
      <w:b w:val="0"/>
      <w:spacing w:val="6"/>
      <w:kern w:val="0"/>
      <w:sz w:val="24"/>
      <w:szCs w:val="20"/>
    </w:rPr>
  </w:style>
  <w:style w:type="paragraph" w:customStyle="1" w:styleId="71">
    <w:name w:val="【】4级"/>
    <w:basedOn w:val="7"/>
    <w:next w:val="72"/>
    <w:autoRedefine/>
    <w:qFormat/>
    <w:uiPriority w:val="0"/>
    <w:pPr>
      <w:widowControl/>
      <w:numPr>
        <w:ilvl w:val="3"/>
        <w:numId w:val="1"/>
      </w:numPr>
      <w:spacing w:before="0" w:after="0" w:line="500" w:lineRule="exact"/>
      <w:ind w:firstLineChars="0"/>
      <w:textAlignment w:val="baseline"/>
      <w:outlineLvl w:val="9"/>
    </w:pPr>
    <w:rPr>
      <w:rFonts w:ascii="Times New Roman" w:hAnsi="Times New Roman" w:eastAsia="黑体"/>
      <w:b w:val="0"/>
      <w:sz w:val="24"/>
    </w:rPr>
  </w:style>
  <w:style w:type="paragraph" w:customStyle="1" w:styleId="72">
    <w:name w:val="【】5级"/>
    <w:basedOn w:val="8"/>
    <w:next w:val="69"/>
    <w:autoRedefine/>
    <w:qFormat/>
    <w:uiPriority w:val="0"/>
    <w:pPr>
      <w:widowControl/>
      <w:numPr>
        <w:ilvl w:val="4"/>
        <w:numId w:val="1"/>
      </w:numPr>
      <w:spacing w:before="0" w:after="0" w:line="500" w:lineRule="exact"/>
      <w:ind w:left="2100" w:hanging="420" w:firstLineChars="0"/>
      <w:textAlignment w:val="baseline"/>
      <w:outlineLvl w:val="9"/>
    </w:pPr>
    <w:rPr>
      <w:rFonts w:eastAsia="黑体" w:cstheme="minorBidi"/>
      <w:b w:val="0"/>
      <w:sz w:val="24"/>
    </w:rPr>
  </w:style>
  <w:style w:type="paragraph" w:customStyle="1" w:styleId="73">
    <w:name w:val="【】表头"/>
    <w:basedOn w:val="1"/>
    <w:next w:val="66"/>
    <w:link w:val="79"/>
    <w:autoRedefine/>
    <w:qFormat/>
    <w:uiPriority w:val="0"/>
    <w:pPr>
      <w:widowControl/>
      <w:numPr>
        <w:ilvl w:val="5"/>
        <w:numId w:val="1"/>
      </w:numPr>
      <w:spacing w:before="50" w:beforeLines="50" w:line="240" w:lineRule="atLeast"/>
      <w:ind w:firstLineChars="0"/>
      <w:jc w:val="center"/>
      <w:textAlignment w:val="baseline"/>
      <w:outlineLvl w:val="5"/>
    </w:pPr>
    <w:rPr>
      <w:rFonts w:eastAsia="黑体" w:cs="宋体"/>
      <w:sz w:val="22"/>
      <w:szCs w:val="20"/>
    </w:rPr>
  </w:style>
  <w:style w:type="paragraph" w:customStyle="1" w:styleId="74">
    <w:name w:val="Default"/>
    <w:basedOn w:val="75"/>
    <w:next w:val="59"/>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75">
    <w:name w:val="批注文字1"/>
    <w:autoRedefine/>
    <w:qFormat/>
    <w:uiPriority w:val="0"/>
    <w:pPr>
      <w:widowControl w:val="0"/>
    </w:pPr>
    <w:rPr>
      <w:rFonts w:ascii="Times New Roman" w:hAnsi="Times New Roman" w:eastAsia="宋体" w:cs="Times New Roman"/>
      <w:color w:val="000000"/>
      <w:kern w:val="2"/>
      <w:sz w:val="21"/>
      <w:szCs w:val="24"/>
      <w:lang w:val="en-US" w:eastAsia="zh-CN" w:bidi="ar-SA"/>
    </w:rPr>
  </w:style>
  <w:style w:type="character" w:customStyle="1" w:styleId="76">
    <w:name w:val="A0正文 Char"/>
    <w:link w:val="69"/>
    <w:autoRedefine/>
    <w:qFormat/>
    <w:uiPriority w:val="0"/>
    <w:rPr>
      <w:rFonts w:cs="宋体"/>
      <w:kern w:val="2"/>
      <w:sz w:val="24"/>
      <w:lang w:val="zh-CN"/>
    </w:rPr>
  </w:style>
  <w:style w:type="character" w:customStyle="1" w:styleId="77">
    <w:name w:val="【】3级 Char"/>
    <w:link w:val="70"/>
    <w:autoRedefine/>
    <w:qFormat/>
    <w:uiPriority w:val="0"/>
    <w:rPr>
      <w:rFonts w:eastAsia="黑体" w:cs="宋体"/>
      <w:bCs/>
      <w:spacing w:val="6"/>
      <w:sz w:val="24"/>
    </w:rPr>
  </w:style>
  <w:style w:type="character" w:customStyle="1" w:styleId="78">
    <w:name w:val="A表内 Char"/>
    <w:link w:val="66"/>
    <w:autoRedefine/>
    <w:qFormat/>
    <w:locked/>
    <w:uiPriority w:val="0"/>
    <w:rPr>
      <w:rFonts w:cs="宋体"/>
      <w:kern w:val="2"/>
      <w:sz w:val="21"/>
      <w:szCs w:val="24"/>
    </w:rPr>
  </w:style>
  <w:style w:type="character" w:customStyle="1" w:styleId="79">
    <w:name w:val="【】表头 Char"/>
    <w:link w:val="73"/>
    <w:autoRedefine/>
    <w:qFormat/>
    <w:uiPriority w:val="0"/>
    <w:rPr>
      <w:rFonts w:eastAsia="黑体" w:cs="宋体"/>
      <w:kern w:val="2"/>
      <w:sz w:val="22"/>
    </w:rPr>
  </w:style>
  <w:style w:type="character" w:customStyle="1" w:styleId="80">
    <w:name w:val="标题 5 Char"/>
    <w:basedOn w:val="39"/>
    <w:link w:val="8"/>
    <w:autoRedefine/>
    <w:semiHidden/>
    <w:qFormat/>
    <w:uiPriority w:val="0"/>
    <w:rPr>
      <w:b/>
      <w:bCs/>
      <w:kern w:val="2"/>
      <w:sz w:val="28"/>
      <w:szCs w:val="28"/>
    </w:rPr>
  </w:style>
  <w:style w:type="character" w:customStyle="1" w:styleId="81">
    <w:name w:val="正文文本 Char"/>
    <w:basedOn w:val="39"/>
    <w:link w:val="13"/>
    <w:autoRedefine/>
    <w:qFormat/>
    <w:uiPriority w:val="0"/>
    <w:rPr>
      <w:sz w:val="18"/>
    </w:rPr>
  </w:style>
  <w:style w:type="character" w:customStyle="1" w:styleId="82">
    <w:name w:val="正文文本缩进 Char"/>
    <w:basedOn w:val="39"/>
    <w:link w:val="14"/>
    <w:autoRedefine/>
    <w:qFormat/>
    <w:uiPriority w:val="0"/>
    <w:rPr>
      <w:sz w:val="24"/>
    </w:rPr>
  </w:style>
  <w:style w:type="character" w:customStyle="1" w:styleId="83">
    <w:name w:val="纯文本 Char"/>
    <w:basedOn w:val="39"/>
    <w:link w:val="16"/>
    <w:autoRedefine/>
    <w:qFormat/>
    <w:uiPriority w:val="0"/>
    <w:rPr>
      <w:rFonts w:ascii="宋体" w:hAnsi="Courier New" w:cs="Courier New"/>
      <w:kern w:val="2"/>
      <w:sz w:val="21"/>
      <w:szCs w:val="21"/>
    </w:rPr>
  </w:style>
  <w:style w:type="character" w:customStyle="1" w:styleId="84">
    <w:name w:val="日期 Char"/>
    <w:basedOn w:val="39"/>
    <w:link w:val="18"/>
    <w:autoRedefine/>
    <w:qFormat/>
    <w:uiPriority w:val="0"/>
    <w:rPr>
      <w:sz w:val="24"/>
    </w:rPr>
  </w:style>
  <w:style w:type="character" w:customStyle="1" w:styleId="85">
    <w:name w:val="正文文本缩进 2 Char"/>
    <w:basedOn w:val="39"/>
    <w:link w:val="19"/>
    <w:autoRedefine/>
    <w:qFormat/>
    <w:uiPriority w:val="0"/>
    <w:rPr>
      <w:rFonts w:ascii="仿宋_GB2312" w:eastAsia="仿宋_GB2312"/>
      <w:kern w:val="2"/>
      <w:sz w:val="28"/>
      <w:szCs w:val="24"/>
    </w:rPr>
  </w:style>
  <w:style w:type="character" w:customStyle="1" w:styleId="86">
    <w:name w:val="页眉 Char"/>
    <w:basedOn w:val="39"/>
    <w:link w:val="25"/>
    <w:autoRedefine/>
    <w:qFormat/>
    <w:uiPriority w:val="0"/>
    <w:rPr>
      <w:sz w:val="18"/>
    </w:rPr>
  </w:style>
  <w:style w:type="character" w:customStyle="1" w:styleId="87">
    <w:name w:val="正文文本 2 Char"/>
    <w:basedOn w:val="39"/>
    <w:link w:val="31"/>
    <w:autoRedefine/>
    <w:qFormat/>
    <w:uiPriority w:val="0"/>
    <w:rPr>
      <w:rFonts w:eastAsia="黑体"/>
      <w:kern w:val="2"/>
      <w:sz w:val="28"/>
      <w:szCs w:val="24"/>
    </w:rPr>
  </w:style>
  <w:style w:type="character" w:customStyle="1" w:styleId="88">
    <w:name w:val="正文首行缩进 Char"/>
    <w:basedOn w:val="81"/>
    <w:link w:val="33"/>
    <w:autoRedefine/>
    <w:qFormat/>
    <w:uiPriority w:val="0"/>
    <w:rPr>
      <w:sz w:val="21"/>
    </w:rPr>
  </w:style>
  <w:style w:type="character" w:customStyle="1" w:styleId="89">
    <w:name w:val="正文首行缩进 2 Char"/>
    <w:basedOn w:val="82"/>
    <w:link w:val="34"/>
    <w:autoRedefine/>
    <w:qFormat/>
    <w:uiPriority w:val="99"/>
    <w:rPr>
      <w:kern w:val="2"/>
      <w:sz w:val="21"/>
      <w:szCs w:val="24"/>
    </w:rPr>
  </w:style>
  <w:style w:type="paragraph" w:customStyle="1" w:styleId="90">
    <w:name w:val="Char Char1 Char"/>
    <w:basedOn w:val="1"/>
    <w:autoRedefine/>
    <w:qFormat/>
    <w:uiPriority w:val="0"/>
    <w:pPr>
      <w:spacing w:line="240" w:lineRule="auto"/>
      <w:ind w:firstLine="0" w:firstLineChars="0"/>
    </w:pPr>
    <w:rPr>
      <w:sz w:val="21"/>
    </w:rPr>
  </w:style>
  <w:style w:type="paragraph" w:customStyle="1" w:styleId="91">
    <w:name w:val="标题4"/>
    <w:basedOn w:val="1"/>
    <w:next w:val="92"/>
    <w:autoRedefine/>
    <w:qFormat/>
    <w:uiPriority w:val="0"/>
    <w:pPr>
      <w:ind w:left="496" w:firstLine="0" w:firstLineChars="0"/>
    </w:pPr>
    <w:rPr>
      <w:rFonts w:ascii="宋体" w:eastAsia="Calibri"/>
    </w:rPr>
  </w:style>
  <w:style w:type="paragraph" w:customStyle="1" w:styleId="92">
    <w:name w:val="表格内正文"/>
    <w:basedOn w:val="1"/>
    <w:next w:val="93"/>
    <w:autoRedefine/>
    <w:qFormat/>
    <w:uiPriority w:val="0"/>
    <w:pPr>
      <w:ind w:firstLine="493" w:firstLineChars="0"/>
    </w:pPr>
    <w:rPr>
      <w:rFonts w:ascii="宋体" w:hAnsi="宋体"/>
      <w:spacing w:val="4"/>
      <w:kern w:val="18"/>
    </w:rPr>
  </w:style>
  <w:style w:type="paragraph" w:customStyle="1" w:styleId="93">
    <w:name w:val="A 正文"/>
    <w:basedOn w:val="1"/>
    <w:next w:val="1"/>
    <w:autoRedefine/>
    <w:qFormat/>
    <w:uiPriority w:val="0"/>
  </w:style>
  <w:style w:type="character" w:customStyle="1" w:styleId="94">
    <w:name w:val="文本 Char"/>
    <w:basedOn w:val="39"/>
    <w:link w:val="95"/>
    <w:autoRedefine/>
    <w:qFormat/>
    <w:uiPriority w:val="0"/>
    <w:rPr>
      <w:sz w:val="24"/>
    </w:rPr>
  </w:style>
  <w:style w:type="paragraph" w:customStyle="1" w:styleId="95">
    <w:name w:val="文本"/>
    <w:basedOn w:val="1"/>
    <w:next w:val="19"/>
    <w:link w:val="94"/>
    <w:autoRedefine/>
    <w:qFormat/>
    <w:uiPriority w:val="0"/>
    <w:pPr>
      <w:adjustRightInd w:val="0"/>
      <w:snapToGrid w:val="0"/>
    </w:pPr>
    <w:rPr>
      <w:kern w:val="0"/>
      <w:szCs w:val="20"/>
    </w:rPr>
  </w:style>
  <w:style w:type="character" w:customStyle="1" w:styleId="96">
    <w:name w:val="页脚 字符"/>
    <w:basedOn w:val="39"/>
    <w:autoRedefine/>
    <w:qFormat/>
    <w:uiPriority w:val="99"/>
  </w:style>
  <w:style w:type="character" w:customStyle="1" w:styleId="97">
    <w:name w:val="表格 Char"/>
    <w:link w:val="98"/>
    <w:autoRedefine/>
    <w:qFormat/>
    <w:locked/>
    <w:uiPriority w:val="0"/>
    <w:rPr>
      <w:rFonts w:ascii="宋体"/>
      <w:sz w:val="21"/>
    </w:rPr>
  </w:style>
  <w:style w:type="paragraph" w:customStyle="1" w:styleId="98">
    <w:name w:val="表格"/>
    <w:basedOn w:val="1"/>
    <w:next w:val="1"/>
    <w:link w:val="97"/>
    <w:autoRedefine/>
    <w:qFormat/>
    <w:uiPriority w:val="0"/>
    <w:pPr>
      <w:adjustRightInd w:val="0"/>
      <w:snapToGrid w:val="0"/>
      <w:spacing w:beforeLines="10" w:afterLines="10" w:line="259" w:lineRule="auto"/>
      <w:ind w:firstLine="0" w:firstLineChars="0"/>
      <w:jc w:val="center"/>
    </w:pPr>
    <w:rPr>
      <w:rFonts w:ascii="宋体"/>
      <w:kern w:val="0"/>
      <w:sz w:val="21"/>
      <w:szCs w:val="20"/>
    </w:rPr>
  </w:style>
  <w:style w:type="paragraph" w:customStyle="1" w:styleId="99">
    <w:name w:val="表格内文字"/>
    <w:basedOn w:val="1"/>
    <w:autoRedefine/>
    <w:qFormat/>
    <w:uiPriority w:val="0"/>
    <w:pPr>
      <w:spacing w:before="100" w:after="100" w:line="320" w:lineRule="exact"/>
      <w:ind w:firstLine="0" w:firstLineChars="0"/>
      <w:jc w:val="center"/>
    </w:pPr>
    <w:rPr>
      <w:spacing w:val="10"/>
      <w:szCs w:val="20"/>
    </w:rPr>
  </w:style>
  <w:style w:type="paragraph" w:customStyle="1" w:styleId="100">
    <w:name w:val="正文2"/>
    <w:basedOn w:val="1"/>
    <w:autoRedefine/>
    <w:qFormat/>
    <w:uiPriority w:val="0"/>
    <w:pPr>
      <w:adjustRightInd w:val="0"/>
      <w:ind w:firstLine="480"/>
      <w:textAlignment w:val="baseline"/>
    </w:pPr>
    <w:rPr>
      <w:rFonts w:ascii="宋体" w:hAnsi="宋体" w:cs="宋体"/>
      <w:kern w:val="21"/>
    </w:rPr>
  </w:style>
  <w:style w:type="paragraph" w:customStyle="1" w:styleId="101">
    <w:name w:val="普通(网站)2"/>
    <w:basedOn w:val="1"/>
    <w:autoRedefine/>
    <w:qFormat/>
    <w:uiPriority w:val="0"/>
    <w:pPr>
      <w:widowControl/>
      <w:spacing w:before="100" w:beforeAutospacing="1" w:after="100" w:afterAutospacing="1" w:line="240" w:lineRule="auto"/>
      <w:ind w:firstLine="0" w:firstLineChars="0"/>
      <w:jc w:val="left"/>
    </w:pPr>
    <w:rPr>
      <w:rFonts w:ascii="宋体" w:hAnsi="宋体"/>
      <w:szCs w:val="20"/>
    </w:rPr>
  </w:style>
  <w:style w:type="paragraph" w:customStyle="1" w:styleId="102">
    <w:name w:val="图片标"/>
    <w:basedOn w:val="1"/>
    <w:autoRedefine/>
    <w:qFormat/>
    <w:uiPriority w:val="0"/>
    <w:pPr>
      <w:spacing w:line="240" w:lineRule="auto"/>
      <w:ind w:firstLine="0" w:firstLineChars="0"/>
      <w:jc w:val="center"/>
    </w:pPr>
    <w:rPr>
      <w:b/>
      <w:sz w:val="21"/>
    </w:rPr>
  </w:style>
  <w:style w:type="paragraph" w:customStyle="1" w:styleId="103">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4">
    <w:name w:val="表头"/>
    <w:basedOn w:val="9"/>
    <w:next w:val="1"/>
    <w:link w:val="136"/>
    <w:autoRedefine/>
    <w:qFormat/>
    <w:uiPriority w:val="0"/>
    <w:pPr>
      <w:spacing w:before="50" w:beforeLines="50" w:after="50" w:afterLines="50"/>
      <w:jc w:val="center"/>
      <w:textAlignment w:val="bottom"/>
    </w:pPr>
    <w:rPr>
      <w:b/>
      <w:szCs w:val="28"/>
    </w:rPr>
  </w:style>
  <w:style w:type="paragraph" w:customStyle="1" w:styleId="105">
    <w:name w:val="正文1"/>
    <w:basedOn w:val="16"/>
    <w:autoRedefine/>
    <w:qFormat/>
    <w:uiPriority w:val="0"/>
    <w:pPr>
      <w:spacing w:line="360" w:lineRule="auto"/>
      <w:ind w:firstLine="480" w:firstLineChars="200"/>
    </w:pPr>
    <w:rPr>
      <w:rFonts w:hAnsi="宋体"/>
      <w:sz w:val="24"/>
    </w:rPr>
  </w:style>
  <w:style w:type="paragraph" w:customStyle="1" w:styleId="106">
    <w:name w:val="正文文本 21"/>
    <w:basedOn w:val="1"/>
    <w:autoRedefine/>
    <w:qFormat/>
    <w:uiPriority w:val="0"/>
    <w:pPr>
      <w:adjustRightInd w:val="0"/>
      <w:spacing w:line="240" w:lineRule="auto"/>
      <w:ind w:firstLine="0" w:firstLineChars="0"/>
      <w:jc w:val="center"/>
      <w:textAlignment w:val="baseline"/>
    </w:pPr>
    <w:rPr>
      <w:rFonts w:eastAsia="仿宋"/>
      <w:szCs w:val="20"/>
    </w:rPr>
  </w:style>
  <w:style w:type="paragraph" w:customStyle="1" w:styleId="107">
    <w:name w:val="报告书"/>
    <w:basedOn w:val="1"/>
    <w:autoRedefine/>
    <w:qFormat/>
    <w:uiPriority w:val="0"/>
    <w:pPr>
      <w:ind w:firstLine="482" w:firstLineChars="0"/>
    </w:pPr>
  </w:style>
  <w:style w:type="paragraph" w:customStyle="1" w:styleId="108">
    <w:name w:val="表中文字"/>
    <w:basedOn w:val="1"/>
    <w:autoRedefine/>
    <w:qFormat/>
    <w:uiPriority w:val="0"/>
    <w:pPr>
      <w:spacing w:line="240" w:lineRule="auto"/>
      <w:ind w:firstLine="0" w:firstLineChars="0"/>
      <w:jc w:val="center"/>
    </w:pPr>
    <w:rPr>
      <w:rFonts w:ascii="宋体"/>
      <w:spacing w:val="4"/>
      <w:w w:val="90"/>
    </w:rPr>
  </w:style>
  <w:style w:type="paragraph" w:customStyle="1" w:styleId="109">
    <w:name w:val="正本文字"/>
    <w:basedOn w:val="1"/>
    <w:autoRedefine/>
    <w:qFormat/>
    <w:uiPriority w:val="0"/>
    <w:pPr>
      <w:adjustRightInd w:val="0"/>
      <w:snapToGrid w:val="0"/>
      <w:ind w:firstLine="480"/>
      <w:jc w:val="left"/>
    </w:pPr>
    <w:rPr>
      <w:kern w:val="18"/>
      <w:szCs w:val="20"/>
    </w:rPr>
  </w:style>
  <w:style w:type="paragraph" w:customStyle="1" w:styleId="110">
    <w:name w:val="表中正文"/>
    <w:autoRedefine/>
    <w:qFormat/>
    <w:uiPriority w:val="0"/>
    <w:pPr>
      <w:adjustRightInd w:val="0"/>
      <w:snapToGrid w:val="0"/>
      <w:spacing w:line="360" w:lineRule="auto"/>
      <w:ind w:firstLine="493"/>
      <w:jc w:val="both"/>
    </w:pPr>
    <w:rPr>
      <w:rFonts w:ascii="宋体" w:hAnsi="Times New Roman" w:eastAsia="宋体" w:cs="Times New Roman"/>
      <w:snapToGrid w:val="0"/>
      <w:spacing w:val="4"/>
      <w:kern w:val="18"/>
      <w:sz w:val="24"/>
      <w:szCs w:val="24"/>
      <w:lang w:val="en-US" w:eastAsia="zh-CN" w:bidi="ar-SA"/>
    </w:rPr>
  </w:style>
  <w:style w:type="paragraph" w:customStyle="1" w:styleId="111">
    <w:name w:val="常用表头样式"/>
    <w:basedOn w:val="33"/>
    <w:next w:val="1"/>
    <w:autoRedefine/>
    <w:qFormat/>
    <w:uiPriority w:val="0"/>
    <w:pPr>
      <w:overflowPunct w:val="0"/>
      <w:autoSpaceDE w:val="0"/>
      <w:autoSpaceDN w:val="0"/>
      <w:ind w:firstLine="0" w:firstLineChars="0"/>
      <w:jc w:val="center"/>
      <w:textAlignment w:val="baseline"/>
    </w:pPr>
    <w:rPr>
      <w:rFonts w:ascii="黑体" w:eastAsia="仿宋_GB2312"/>
      <w:b/>
      <w:szCs w:val="21"/>
    </w:rPr>
  </w:style>
  <w:style w:type="character" w:customStyle="1" w:styleId="112">
    <w:name w:val="font31"/>
    <w:basedOn w:val="39"/>
    <w:autoRedefine/>
    <w:qFormat/>
    <w:uiPriority w:val="0"/>
    <w:rPr>
      <w:rFonts w:hint="eastAsia" w:ascii="宋体" w:hAnsi="宋体" w:eastAsia="宋体" w:cs="宋体"/>
      <w:color w:val="000000"/>
      <w:sz w:val="20"/>
      <w:szCs w:val="20"/>
      <w:u w:val="none"/>
    </w:rPr>
  </w:style>
  <w:style w:type="paragraph" w:customStyle="1" w:styleId="113">
    <w:name w:val="表格正文"/>
    <w:basedOn w:val="1"/>
    <w:next w:val="1"/>
    <w:autoRedefine/>
    <w:qFormat/>
    <w:uiPriority w:val="0"/>
    <w:pPr>
      <w:adjustRightInd w:val="0"/>
      <w:snapToGrid w:val="0"/>
      <w:spacing w:line="240" w:lineRule="auto"/>
      <w:ind w:firstLine="0" w:firstLineChars="0"/>
      <w:jc w:val="center"/>
      <w:textAlignment w:val="baseline"/>
    </w:pPr>
    <w:rPr>
      <w:rFonts w:ascii="宋体"/>
      <w:spacing w:val="4"/>
      <w:w w:val="90"/>
      <w:kern w:val="0"/>
    </w:rPr>
  </w:style>
  <w:style w:type="paragraph" w:customStyle="1" w:styleId="114">
    <w:name w:val="表1"/>
    <w:next w:val="1"/>
    <w:autoRedefine/>
    <w:qFormat/>
    <w:uiPriority w:val="0"/>
    <w:pPr>
      <w:adjustRightInd w:val="0"/>
      <w:snapToGrid w:val="0"/>
      <w:jc w:val="center"/>
    </w:pPr>
    <w:rPr>
      <w:rFonts w:ascii="Times New Roman" w:hAnsi="Times New Roman" w:eastAsia="宋体" w:cs="Times New Roman"/>
      <w:sz w:val="21"/>
      <w:lang w:val="en-US" w:eastAsia="zh-CN" w:bidi="ar-SA"/>
    </w:rPr>
  </w:style>
  <w:style w:type="paragraph" w:customStyle="1" w:styleId="115">
    <w:name w:val="正文(首行缩进)"/>
    <w:basedOn w:val="1"/>
    <w:autoRedefine/>
    <w:qFormat/>
    <w:uiPriority w:val="0"/>
    <w:pPr>
      <w:ind w:firstLine="510" w:firstLineChars="0"/>
    </w:pPr>
    <w:rPr>
      <w:rFonts w:ascii="宋体" w:hAnsi="宋体"/>
      <w:snapToGrid w:val="0"/>
      <w:kern w:val="0"/>
      <w:szCs w:val="20"/>
    </w:rPr>
  </w:style>
  <w:style w:type="character" w:customStyle="1" w:styleId="116">
    <w:name w:val="font11"/>
    <w:basedOn w:val="39"/>
    <w:autoRedefine/>
    <w:qFormat/>
    <w:uiPriority w:val="0"/>
    <w:rPr>
      <w:rFonts w:hint="eastAsia" w:ascii="宋体" w:hAnsi="宋体" w:eastAsia="宋体" w:cs="宋体"/>
      <w:color w:val="000000"/>
      <w:sz w:val="20"/>
      <w:szCs w:val="20"/>
      <w:u w:val="none"/>
    </w:rPr>
  </w:style>
  <w:style w:type="paragraph" w:customStyle="1" w:styleId="117">
    <w:name w:val="表"/>
    <w:basedOn w:val="1"/>
    <w:autoRedefine/>
    <w:qFormat/>
    <w:uiPriority w:val="0"/>
    <w:pPr>
      <w:snapToGrid w:val="0"/>
      <w:spacing w:line="240" w:lineRule="auto"/>
      <w:ind w:firstLine="0" w:firstLineChars="0"/>
      <w:jc w:val="center"/>
    </w:pPr>
    <w:rPr>
      <w:spacing w:val="2"/>
      <w:sz w:val="21"/>
      <w:szCs w:val="20"/>
    </w:rPr>
  </w:style>
  <w:style w:type="paragraph" w:customStyle="1" w:styleId="118">
    <w:name w:val="+"/>
    <w:basedOn w:val="1"/>
    <w:autoRedefine/>
    <w:qFormat/>
    <w:uiPriority w:val="0"/>
    <w:pPr>
      <w:adjustRightInd w:val="0"/>
      <w:snapToGrid w:val="0"/>
      <w:ind w:firstLine="420"/>
      <w:jc w:val="left"/>
    </w:pPr>
    <w:rPr>
      <w:kern w:val="0"/>
    </w:rPr>
  </w:style>
  <w:style w:type="paragraph" w:customStyle="1" w:styleId="119">
    <w:name w:val="nd正文"/>
    <w:basedOn w:val="1"/>
    <w:next w:val="1"/>
    <w:autoRedefine/>
    <w:qFormat/>
    <w:uiPriority w:val="0"/>
    <w:pPr>
      <w:adjustRightInd w:val="0"/>
      <w:snapToGrid w:val="0"/>
      <w:spacing w:line="240" w:lineRule="auto"/>
      <w:ind w:firstLine="0" w:firstLineChars="0"/>
      <w:textAlignment w:val="baseline"/>
    </w:pPr>
    <w:rPr>
      <w:rFonts w:ascii="宋体" w:hAnsi="宋体"/>
      <w:sz w:val="21"/>
    </w:rPr>
  </w:style>
  <w:style w:type="paragraph" w:customStyle="1" w:styleId="120">
    <w:name w:val="R22表头"/>
    <w:basedOn w:val="1"/>
    <w:autoRedefine/>
    <w:qFormat/>
    <w:uiPriority w:val="0"/>
    <w:pPr>
      <w:autoSpaceDE w:val="0"/>
      <w:autoSpaceDN w:val="0"/>
      <w:adjustRightInd w:val="0"/>
      <w:snapToGrid w:val="0"/>
      <w:spacing w:beforeLines="50" w:after="100" w:afterAutospacing="1" w:line="240" w:lineRule="auto"/>
      <w:ind w:firstLine="0" w:firstLineChars="0"/>
      <w:jc w:val="center"/>
    </w:pPr>
    <w:rPr>
      <w:rFonts w:hAnsi="宋体"/>
      <w:b/>
      <w:bCs/>
      <w:color w:val="000000"/>
      <w:sz w:val="21"/>
    </w:rPr>
  </w:style>
  <w:style w:type="paragraph" w:customStyle="1" w:styleId="121">
    <w:name w:val="5图表标题"/>
    <w:basedOn w:val="122"/>
    <w:next w:val="123"/>
    <w:autoRedefine/>
    <w:qFormat/>
    <w:uiPriority w:val="0"/>
    <w:pPr>
      <w:spacing w:line="360" w:lineRule="auto"/>
    </w:pPr>
    <w:rPr>
      <w:rFonts w:eastAsia="黑体"/>
      <w:b/>
    </w:rPr>
  </w:style>
  <w:style w:type="paragraph" w:customStyle="1" w:styleId="122">
    <w:name w:val="6表格内容"/>
    <w:basedOn w:val="123"/>
    <w:next w:val="123"/>
    <w:autoRedefine/>
    <w:qFormat/>
    <w:uiPriority w:val="0"/>
    <w:pPr>
      <w:jc w:val="center"/>
    </w:pPr>
    <w:rPr>
      <w:szCs w:val="24"/>
    </w:rPr>
  </w:style>
  <w:style w:type="paragraph" w:customStyle="1" w:styleId="123">
    <w:name w:val="0报告正文"/>
    <w:basedOn w:val="1"/>
    <w:autoRedefine/>
    <w:qFormat/>
    <w:uiPriority w:val="0"/>
    <w:pPr>
      <w:spacing w:line="240" w:lineRule="auto"/>
      <w:ind w:firstLine="0" w:firstLineChars="0"/>
    </w:pPr>
    <w:rPr>
      <w:sz w:val="21"/>
      <w:szCs w:val="22"/>
    </w:rPr>
  </w:style>
  <w:style w:type="paragraph" w:customStyle="1" w:styleId="124">
    <w:name w:val="图头"/>
    <w:basedOn w:val="104"/>
    <w:next w:val="105"/>
    <w:autoRedefine/>
    <w:qFormat/>
    <w:uiPriority w:val="0"/>
  </w:style>
  <w:style w:type="paragraph" w:customStyle="1" w:styleId="125">
    <w:name w:val="样式 本正文 + 首行缩进:  2 字符"/>
    <w:basedOn w:val="1"/>
    <w:autoRedefine/>
    <w:qFormat/>
    <w:uiPriority w:val="0"/>
    <w:pPr>
      <w:ind w:firstLine="560"/>
    </w:pPr>
    <w:rPr>
      <w:rFonts w:cs="宋体"/>
      <w:sz w:val="28"/>
      <w:szCs w:val="20"/>
    </w:rPr>
  </w:style>
  <w:style w:type="paragraph" w:customStyle="1" w:styleId="126">
    <w:name w:val="*正文"/>
    <w:autoRedefine/>
    <w:qFormat/>
    <w:uiPriority w:val="0"/>
    <w:pPr>
      <w:spacing w:line="360" w:lineRule="auto"/>
      <w:ind w:firstLine="200" w:firstLineChars="200"/>
      <w:jc w:val="both"/>
      <w:textAlignment w:val="baseline"/>
    </w:pPr>
    <w:rPr>
      <w:rFonts w:ascii="Calibri" w:hAnsi="Calibri" w:eastAsia="宋体" w:cs="Times New Roman"/>
      <w:color w:val="000000"/>
      <w:sz w:val="24"/>
      <w:lang w:val="en-US" w:eastAsia="zh-CN" w:bidi="ar-SA"/>
    </w:rPr>
  </w:style>
  <w:style w:type="paragraph" w:customStyle="1" w:styleId="127">
    <w:name w:val="ZH表头"/>
    <w:basedOn w:val="1"/>
    <w:autoRedefine/>
    <w:qFormat/>
    <w:uiPriority w:val="0"/>
    <w:pPr>
      <w:spacing w:beforeLines="50" w:line="240" w:lineRule="auto"/>
      <w:ind w:firstLine="0" w:firstLineChars="0"/>
      <w:jc w:val="center"/>
    </w:pPr>
    <w:rPr>
      <w:b/>
      <w:sz w:val="21"/>
    </w:rPr>
  </w:style>
  <w:style w:type="paragraph" w:customStyle="1" w:styleId="128">
    <w:name w:val="D表内"/>
    <w:basedOn w:val="1"/>
    <w:autoRedefine/>
    <w:qFormat/>
    <w:uiPriority w:val="0"/>
    <w:pPr>
      <w:spacing w:before="40" w:after="40" w:line="240" w:lineRule="auto"/>
      <w:ind w:firstLine="0" w:firstLineChars="0"/>
      <w:jc w:val="center"/>
    </w:pPr>
    <w:rPr>
      <w:snapToGrid w:val="0"/>
      <w:kern w:val="0"/>
      <w:sz w:val="21"/>
      <w:szCs w:val="21"/>
    </w:rPr>
  </w:style>
  <w:style w:type="paragraph" w:customStyle="1" w:styleId="129">
    <w:name w:val="表格中文字"/>
    <w:basedOn w:val="1"/>
    <w:autoRedefine/>
    <w:qFormat/>
    <w:uiPriority w:val="0"/>
    <w:pPr>
      <w:adjustRightInd w:val="0"/>
      <w:snapToGrid w:val="0"/>
      <w:spacing w:line="240" w:lineRule="auto"/>
      <w:ind w:firstLine="0" w:firstLineChars="0"/>
      <w:jc w:val="center"/>
    </w:pPr>
    <w:rPr>
      <w:kern w:val="18"/>
      <w:sz w:val="21"/>
      <w:szCs w:val="21"/>
    </w:rPr>
  </w:style>
  <w:style w:type="paragraph" w:customStyle="1" w:styleId="130">
    <w:name w:val="无间隔1"/>
    <w:basedOn w:val="1"/>
    <w:autoRedefine/>
    <w:qFormat/>
    <w:uiPriority w:val="1"/>
    <w:pPr>
      <w:spacing w:line="240" w:lineRule="auto"/>
      <w:ind w:firstLine="0" w:firstLineChars="0"/>
    </w:pPr>
    <w:rPr>
      <w:sz w:val="21"/>
      <w:szCs w:val="32"/>
    </w:rPr>
  </w:style>
  <w:style w:type="paragraph" w:customStyle="1" w:styleId="131">
    <w:name w:val="报告书表格"/>
    <w:basedOn w:val="1"/>
    <w:autoRedefine/>
    <w:qFormat/>
    <w:uiPriority w:val="0"/>
    <w:pPr>
      <w:adjustRightInd w:val="0"/>
      <w:spacing w:before="60" w:after="60" w:line="240" w:lineRule="atLeast"/>
      <w:ind w:firstLine="0" w:firstLineChars="0"/>
      <w:jc w:val="center"/>
      <w:textAlignment w:val="baseline"/>
    </w:pPr>
    <w:rPr>
      <w:kern w:val="0"/>
      <w:sz w:val="21"/>
      <w:szCs w:val="20"/>
    </w:rPr>
  </w:style>
  <w:style w:type="paragraph" w:customStyle="1" w:styleId="132">
    <w:name w:val="正文-W"/>
    <w:basedOn w:val="133"/>
    <w:autoRedefine/>
    <w:qFormat/>
    <w:uiPriority w:val="0"/>
  </w:style>
  <w:style w:type="paragraph" w:customStyle="1" w:styleId="133">
    <w:name w:val="1-正文"/>
    <w:basedOn w:val="1"/>
    <w:autoRedefine/>
    <w:qFormat/>
    <w:uiPriority w:val="0"/>
    <w:pPr>
      <w:spacing w:line="240" w:lineRule="auto"/>
      <w:ind w:firstLine="480" w:firstLineChars="0"/>
    </w:pPr>
    <w:rPr>
      <w:sz w:val="21"/>
    </w:rPr>
  </w:style>
  <w:style w:type="paragraph" w:customStyle="1" w:styleId="134">
    <w:name w:val="图表标题"/>
    <w:basedOn w:val="1"/>
    <w:next w:val="1"/>
    <w:autoRedefine/>
    <w:qFormat/>
    <w:uiPriority w:val="0"/>
    <w:pPr>
      <w:adjustRightInd w:val="0"/>
      <w:snapToGrid w:val="0"/>
      <w:spacing w:line="240" w:lineRule="auto"/>
      <w:ind w:firstLine="0" w:firstLineChars="0"/>
      <w:jc w:val="center"/>
    </w:pPr>
    <w:rPr>
      <w:rFonts w:eastAsia="黑体"/>
      <w:b/>
      <w:sz w:val="21"/>
    </w:rPr>
  </w:style>
  <w:style w:type="paragraph" w:customStyle="1" w:styleId="135">
    <w:name w:val="五号表文"/>
    <w:basedOn w:val="1"/>
    <w:autoRedefine/>
    <w:qFormat/>
    <w:uiPriority w:val="0"/>
    <w:pPr>
      <w:widowControl/>
      <w:adjustRightInd w:val="0"/>
      <w:snapToGrid w:val="0"/>
      <w:spacing w:line="240" w:lineRule="auto"/>
      <w:ind w:firstLine="0" w:firstLineChars="0"/>
      <w:jc w:val="center"/>
    </w:pPr>
    <w:rPr>
      <w:rFonts w:hint="eastAsia"/>
      <w:color w:val="000000" w:themeColor="text1"/>
      <w:kern w:val="0"/>
      <w:sz w:val="21"/>
      <w:szCs w:val="21"/>
      <w14:textFill>
        <w14:solidFill>
          <w14:schemeClr w14:val="tx1"/>
        </w14:solidFill>
      </w14:textFill>
    </w:rPr>
  </w:style>
  <w:style w:type="character" w:customStyle="1" w:styleId="136">
    <w:name w:val="表头 Char"/>
    <w:link w:val="104"/>
    <w:autoRedefine/>
    <w:qFormat/>
    <w:uiPriority w:val="0"/>
    <w:rPr>
      <w:b/>
      <w:szCs w:val="28"/>
    </w:rPr>
  </w:style>
  <w:style w:type="paragraph" w:customStyle="1" w:styleId="137">
    <w:name w:val="0000000正文"/>
    <w:basedOn w:val="1"/>
    <w:autoRedefine/>
    <w:qFormat/>
    <w:uiPriority w:val="0"/>
    <w:pPr>
      <w:spacing w:before="0" w:after="0" w:line="360" w:lineRule="auto"/>
      <w:ind w:firstLine="480" w:firstLineChars="200"/>
      <w:outlineLvl w:val="9"/>
    </w:pPr>
    <w:rPr>
      <w:rFonts w:ascii="Times New Roman" w:hAnsi="Times New Roman"/>
      <w:snapToGrid w:val="0"/>
    </w:rPr>
  </w:style>
  <w:style w:type="table" w:customStyle="1" w:styleId="138">
    <w:name w:val="Table Normal"/>
    <w:unhideWhenUsed/>
    <w:qFormat/>
    <w:uiPriority w:val="0"/>
    <w:tblPr>
      <w:tblCellMar>
        <w:top w:w="0" w:type="dxa"/>
        <w:left w:w="0" w:type="dxa"/>
        <w:bottom w:w="0" w:type="dxa"/>
        <w:right w:w="0" w:type="dxa"/>
      </w:tblCellMar>
    </w:tblPr>
  </w:style>
  <w:style w:type="paragraph" w:customStyle="1" w:styleId="139">
    <w:name w:val="ZH正文"/>
    <w:basedOn w:val="1"/>
    <w:qFormat/>
    <w:uiPriority w:val="0"/>
    <w:pPr>
      <w:spacing w:line="360" w:lineRule="auto"/>
      <w:ind w:firstLine="200" w:firstLineChars="200"/>
    </w:pPr>
    <w:rPr>
      <w:rFonts w:eastAsia="宋体"/>
      <w:sz w:val="24"/>
    </w:rPr>
  </w:style>
  <w:style w:type="paragraph" w:customStyle="1" w:styleId="140">
    <w:name w:val="环评报告表新版-正文"/>
    <w:basedOn w:val="1"/>
    <w:qFormat/>
    <w:uiPriority w:val="0"/>
    <w:pPr>
      <w:autoSpaceDE w:val="0"/>
      <w:autoSpaceDN w:val="0"/>
      <w:adjustRightInd w:val="0"/>
      <w:snapToGrid w:val="0"/>
      <w:spacing w:line="360" w:lineRule="exact"/>
      <w:ind w:firstLine="200" w:firstLineChars="200"/>
    </w:pPr>
    <w:rPr>
      <w:rFonts w:cs="宋体"/>
      <w:kern w:val="0"/>
      <w:sz w:val="24"/>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3" Type="http://schemas.openxmlformats.org/officeDocument/2006/relationships/fontTable" Target="fontTable.xml"/><Relationship Id="rId52" Type="http://schemas.openxmlformats.org/officeDocument/2006/relationships/customXml" Target="../customXml/item2.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header" Target="header1.xml"/><Relationship Id="rId49" Type="http://schemas.openxmlformats.org/officeDocument/2006/relationships/image" Target="media/image26.png"/><Relationship Id="rId48" Type="http://schemas.openxmlformats.org/officeDocument/2006/relationships/image" Target="media/image25.png"/><Relationship Id="rId47" Type="http://schemas.openxmlformats.org/officeDocument/2006/relationships/image" Target="media/image24.png"/><Relationship Id="rId46" Type="http://schemas.openxmlformats.org/officeDocument/2006/relationships/image" Target="media/image23.png"/><Relationship Id="rId45" Type="http://schemas.openxmlformats.org/officeDocument/2006/relationships/image" Target="media/image22.png"/><Relationship Id="rId44" Type="http://schemas.openxmlformats.org/officeDocument/2006/relationships/image" Target="media/image21.png"/><Relationship Id="rId43" Type="http://schemas.openxmlformats.org/officeDocument/2006/relationships/image" Target="media/image20.png"/><Relationship Id="rId42" Type="http://schemas.openxmlformats.org/officeDocument/2006/relationships/image" Target="media/image19.png"/><Relationship Id="rId41" Type="http://schemas.openxmlformats.org/officeDocument/2006/relationships/image" Target="media/image18.emf"/><Relationship Id="rId40" Type="http://schemas.openxmlformats.org/officeDocument/2006/relationships/image" Target="media/image17.png"/><Relationship Id="rId4" Type="http://schemas.openxmlformats.org/officeDocument/2006/relationships/endnotes" Target="endnotes.xml"/><Relationship Id="rId39" Type="http://schemas.openxmlformats.org/officeDocument/2006/relationships/image" Target="media/image16.wmf"/><Relationship Id="rId38" Type="http://schemas.openxmlformats.org/officeDocument/2006/relationships/oleObject" Target="embeddings/oleObject7.bin"/><Relationship Id="rId37" Type="http://schemas.openxmlformats.org/officeDocument/2006/relationships/image" Target="media/image15.wmf"/><Relationship Id="rId36" Type="http://schemas.openxmlformats.org/officeDocument/2006/relationships/oleObject" Target="embeddings/oleObject6.bin"/><Relationship Id="rId35" Type="http://schemas.openxmlformats.org/officeDocument/2006/relationships/image" Target="media/image14.wmf"/><Relationship Id="rId34" Type="http://schemas.openxmlformats.org/officeDocument/2006/relationships/oleObject" Target="embeddings/oleObject5.bin"/><Relationship Id="rId33" Type="http://schemas.openxmlformats.org/officeDocument/2006/relationships/image" Target="media/image13.jpeg"/><Relationship Id="rId32" Type="http://schemas.openxmlformats.org/officeDocument/2006/relationships/image" Target="media/image12.png"/><Relationship Id="rId31" Type="http://schemas.openxmlformats.org/officeDocument/2006/relationships/image" Target="media/image11.emf"/><Relationship Id="rId30" Type="http://schemas.openxmlformats.org/officeDocument/2006/relationships/oleObject" Target="embeddings/oleObject4.bin"/><Relationship Id="rId3" Type="http://schemas.openxmlformats.org/officeDocument/2006/relationships/footnotes" Target="footnotes.xml"/><Relationship Id="rId29" Type="http://schemas.openxmlformats.org/officeDocument/2006/relationships/image" Target="media/image10.png"/><Relationship Id="rId28" Type="http://schemas.openxmlformats.org/officeDocument/2006/relationships/image" Target="media/image9.png"/><Relationship Id="rId27" Type="http://schemas.openxmlformats.org/officeDocument/2006/relationships/image" Target="media/image8.emf"/><Relationship Id="rId26" Type="http://schemas.openxmlformats.org/officeDocument/2006/relationships/oleObject" Target="embeddings/oleObject3.bin"/><Relationship Id="rId25" Type="http://schemas.openxmlformats.org/officeDocument/2006/relationships/image" Target="media/image7.emf"/><Relationship Id="rId24" Type="http://schemas.openxmlformats.org/officeDocument/2006/relationships/oleObject" Target="embeddings/oleObject2.bin"/><Relationship Id="rId23" Type="http://schemas.openxmlformats.org/officeDocument/2006/relationships/image" Target="media/image6.emf"/><Relationship Id="rId22" Type="http://schemas.openxmlformats.org/officeDocument/2006/relationships/oleObject" Target="embeddings/oleObject1.bin"/><Relationship Id="rId21" Type="http://schemas.openxmlformats.org/officeDocument/2006/relationships/image" Target="media/image5.jpeg"/><Relationship Id="rId20" Type="http://schemas.openxmlformats.org/officeDocument/2006/relationships/image" Target="media/image4.jpeg"/><Relationship Id="rId2" Type="http://schemas.openxmlformats.org/officeDocument/2006/relationships/settings" Target="settings.xml"/><Relationship Id="rId19" Type="http://schemas.openxmlformats.org/officeDocument/2006/relationships/image" Target="media/image3.jpeg"/><Relationship Id="rId18" Type="http://schemas.openxmlformats.org/officeDocument/2006/relationships/image" Target="media/image2.jpe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C6227CE-AE75-4A37-815F-654F697F9A9D}">
  <ds:schemaRefs/>
</ds:datastoreItem>
</file>

<file path=docProps/app.xml><?xml version="1.0" encoding="utf-8"?>
<Properties xmlns="http://schemas.openxmlformats.org/officeDocument/2006/extended-properties" xmlns:vt="http://schemas.openxmlformats.org/officeDocument/2006/docPropsVTypes">
  <Template>wdzx97.dot</Template>
  <Company>中国中铁</Company>
  <Pages>97</Pages>
  <Words>23045</Words>
  <Characters>24277</Characters>
  <Lines>349</Lines>
  <Paragraphs>98</Paragraphs>
  <TotalTime>4</TotalTime>
  <ScaleCrop>false</ScaleCrop>
  <LinksUpToDate>false</LinksUpToDate>
  <CharactersWithSpaces>24405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2023-07-20T06:36:00Z</dcterms:created>
  <dc:creator>尚云环境</dc:creator>
  <cp:lastModifiedBy>灰太狼</cp:lastModifiedBy>
  <cp:lastPrinted>2024-01-26T03:19:00Z</cp:lastPrinted>
  <dcterms:modified xsi:type="dcterms:W3CDTF">2025-12-09T12:50:47Z</dcterms:modified>
  <dc:title>建设项目环境影响报告表（污染影响类）</dc:title>
  <cp:revision>705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91577A8D93B344B38BF2E8C11A75B2A7_13</vt:lpwstr>
  </property>
  <property fmtid="{D5CDD505-2E9C-101B-9397-08002B2CF9AE}" pid="4" name="KSOTemplateDocerSaveRecord">
    <vt:lpwstr>eyJoZGlkIjoiNzgzZThiOGY1ODVjY2M2NzM0MDUyMmFjNTZlYjE4YzkiLCJ1c2VySWQiOiI4MDU3NTI2OTYifQ==</vt:lpwstr>
  </property>
</Properties>
</file>