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2022年部门预算</w:t>
      </w:r>
    </w:p>
    <w:p>
      <w:pPr>
        <w:jc w:val="center"/>
        <w:rPr>
          <w:rFonts w:ascii="仿宋_GB2312" w:eastAsia="仿宋_GB2312" w:cs="Times New Roman"/>
          <w:sz w:val="32"/>
          <w:szCs w:val="32"/>
        </w:rPr>
      </w:pPr>
    </w:p>
    <w:p>
      <w:pPr>
        <w:jc w:val="center"/>
        <w:rPr>
          <w:rFonts w:ascii="仿宋_GB2312" w:eastAsia="仿宋_GB2312" w:cs="Times New Roman"/>
          <w:sz w:val="32"/>
          <w:szCs w:val="32"/>
        </w:rPr>
      </w:pPr>
      <w:r>
        <w:rPr>
          <w:rFonts w:hint="eastAsia" w:ascii="仿宋_GB2312" w:eastAsia="仿宋_GB2312" w:cs="仿宋_GB2312"/>
          <w:sz w:val="32"/>
          <w:szCs w:val="32"/>
        </w:rPr>
        <w:t>（公开样式）</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单位名称（盖章）：九江市柴桑区商务局</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rPr>
        <w:t>经办人（签章）：</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柴桑区商务局2022年部门预算</w:t>
      </w:r>
    </w:p>
    <w:p>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1"/>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部门概况</w:t>
      </w:r>
    </w:p>
    <w:p>
      <w:pPr>
        <w:widowControl/>
        <w:spacing w:line="580" w:lineRule="exact"/>
        <w:jc w:val="left"/>
        <w:rPr>
          <w:rFonts w:ascii="宋体" w:hAnsi="宋体"/>
          <w:b/>
          <w:sz w:val="36"/>
          <w:szCs w:val="36"/>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8"/>
        <w:ind w:firstLine="64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贯彻执行国家、省、市对外贸易、横向经济协作、扩大开放和招商引资的发展战略、方针、政策；拟定全区相应发展规划及有关规定、办法、措施，并会同有关部门做好指导协调和落实工作。负责编制和组织实施全区利用外资、引进内资、外贸出口年度指导性计划以及相关优惠政策、统计、考核和奖惩工作。负责指导、协调、管理、服务全区利用外资和外贸出口工作；负责全区各类企业进出口经营权和经营范围的审核、申报、登记工作；负责外商投资企业的后期管理与服务工作，监督外商投资企业执行有关法律、法规、合同情况，协调、指导、管理外商投资企业的进出口工作。负责全区招商引资项目（企业）引进、推进的沟通、协调、指导、督促等工作；负责招商引资相关政策咨询，受理招商引资企业的意见、建议、投诉；负责全区招商引资情况的统计上报及有关信息的收集和传递工作。负责全区招商引资的对外宣传、项目洽谈、立项报批、资金引进工作。负责指导、监督、组织、协调以柴桑区名义参加国家、省、市在境内外举办的各种投资、贸易交易会、展览会、展销会、经贸会、洽谈会等活动；拟订并实施赴境外举办上述活动的管理办法。承办区委、区政府交办的其他事项。</w:t>
      </w:r>
    </w:p>
    <w:p>
      <w:pPr>
        <w:pStyle w:val="8"/>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2.九江市柴桑区投资促进中心为商务局下属机构，属于全额拨款事业单位。</w:t>
      </w:r>
      <w:bookmarkStart w:id="0" w:name="_GoBack"/>
      <w:bookmarkEnd w:id="0"/>
    </w:p>
    <w:p>
      <w:pPr>
        <w:pStyle w:val="8"/>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3.单位内设办公室、投资促进股、商贸运行发展股、内资管理股、外经贸管理股。</w:t>
      </w:r>
    </w:p>
    <w:p>
      <w:pPr>
        <w:rPr>
          <w:b/>
          <w:sz w:val="36"/>
          <w:szCs w:val="36"/>
        </w:rPr>
      </w:pPr>
      <w:r>
        <w:rPr>
          <w:rFonts w:hint="eastAsia"/>
          <w:b/>
          <w:sz w:val="36"/>
          <w:szCs w:val="36"/>
        </w:rPr>
        <w:t>二、机构设置及人员情况</w:t>
      </w:r>
    </w:p>
    <w:p>
      <w:pPr>
        <w:ind w:firstLine="640" w:firstLineChars="20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年商务局共有预算单位</w:t>
      </w:r>
      <w:r>
        <w:rPr>
          <w:rFonts w:hint="eastAsia" w:ascii="仿宋" w:hAnsi="仿宋" w:eastAsia="仿宋" w:cs="Times New Roman"/>
          <w:kern w:val="0"/>
          <w:sz w:val="32"/>
          <w:szCs w:val="32"/>
        </w:rPr>
        <w:t>1</w:t>
      </w:r>
      <w:r>
        <w:rPr>
          <w:rFonts w:ascii="仿宋" w:hAnsi="仿宋" w:eastAsia="仿宋"/>
          <w:sz w:val="32"/>
          <w:szCs w:val="32"/>
        </w:rPr>
        <w:t>个，包括</w:t>
      </w:r>
      <w:r>
        <w:rPr>
          <w:rFonts w:hint="eastAsia" w:ascii="仿宋" w:hAnsi="仿宋" w:eastAsia="仿宋"/>
          <w:sz w:val="32"/>
          <w:szCs w:val="32"/>
        </w:rPr>
        <w:t>：商务局。</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rPr>
        <w:t>16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rPr>
        <w:t>8</w:t>
      </w:r>
      <w:r>
        <w:rPr>
          <w:rFonts w:ascii="仿宋" w:hAnsi="仿宋" w:eastAsia="仿宋"/>
          <w:sz w:val="32"/>
          <w:szCs w:val="32"/>
        </w:rPr>
        <w:t>人,全部补助事业编制人数</w:t>
      </w:r>
      <w:r>
        <w:rPr>
          <w:rFonts w:hint="eastAsia" w:ascii="仿宋" w:hAnsi="仿宋" w:eastAsia="仿宋" w:cs="Times New Roman"/>
          <w:kern w:val="0"/>
          <w:sz w:val="32"/>
          <w:szCs w:val="32"/>
        </w:rPr>
        <w:t>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rPr>
        <w:t>47</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rPr>
        <w:t>25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rPr>
        <w:t>7</w:t>
      </w:r>
      <w:r>
        <w:rPr>
          <w:rFonts w:ascii="仿宋" w:hAnsi="仿宋" w:eastAsia="仿宋"/>
          <w:sz w:val="32"/>
          <w:szCs w:val="32"/>
        </w:rPr>
        <w:t>人,参照公务员管理的事业单位在职人数</w:t>
      </w:r>
      <w:r>
        <w:rPr>
          <w:rFonts w:hint="eastAsia" w:ascii="仿宋" w:hAnsi="仿宋" w:eastAsia="仿宋" w:cs="Times New Roman"/>
          <w:kern w:val="0"/>
          <w:sz w:val="32"/>
          <w:szCs w:val="32"/>
        </w:rPr>
        <w:t>14</w:t>
      </w:r>
      <w:r>
        <w:rPr>
          <w:rFonts w:ascii="仿宋" w:hAnsi="仿宋" w:eastAsia="仿宋"/>
          <w:sz w:val="32"/>
          <w:szCs w:val="32"/>
        </w:rPr>
        <w:t>人,全部补助事业在职人数</w:t>
      </w:r>
      <w:r>
        <w:rPr>
          <w:rFonts w:hint="eastAsia" w:ascii="仿宋" w:hAnsi="仿宋" w:eastAsia="仿宋" w:cs="Times New Roman"/>
          <w:kern w:val="0"/>
          <w:sz w:val="32"/>
          <w:szCs w:val="32"/>
        </w:rPr>
        <w:t>4</w:t>
      </w:r>
      <w:r>
        <w:rPr>
          <w:rFonts w:ascii="仿宋" w:hAnsi="仿宋" w:eastAsia="仿宋"/>
          <w:sz w:val="32"/>
          <w:szCs w:val="32"/>
        </w:rPr>
        <w:t>人，</w:t>
      </w:r>
      <w:r>
        <w:rPr>
          <w:rFonts w:hint="eastAsia" w:ascii="仿宋" w:hAnsi="仿宋" w:eastAsia="仿宋"/>
          <w:sz w:val="32"/>
          <w:szCs w:val="32"/>
        </w:rPr>
        <w:t>全部事业人员4人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rPr>
        <w:t>27</w:t>
      </w:r>
      <w:r>
        <w:rPr>
          <w:rFonts w:ascii="仿宋" w:hAnsi="仿宋" w:eastAsia="仿宋"/>
          <w:sz w:val="32"/>
          <w:szCs w:val="32"/>
        </w:rPr>
        <w:t>人,退休人数小计</w:t>
      </w:r>
      <w:r>
        <w:rPr>
          <w:rFonts w:hint="eastAsia" w:ascii="仿宋" w:hAnsi="仿宋" w:eastAsia="仿宋" w:cs="Times New Roman"/>
          <w:kern w:val="0"/>
          <w:sz w:val="32"/>
          <w:szCs w:val="32"/>
        </w:rPr>
        <w:t>22</w:t>
      </w:r>
      <w:r>
        <w:rPr>
          <w:rFonts w:ascii="仿宋" w:hAnsi="仿宋" w:eastAsia="仿宋"/>
          <w:sz w:val="32"/>
          <w:szCs w:val="32"/>
        </w:rPr>
        <w:t>人,遗属人数</w:t>
      </w:r>
      <w:r>
        <w:rPr>
          <w:rFonts w:hint="eastAsia" w:ascii="仿宋" w:hAnsi="仿宋" w:eastAsia="仿宋" w:cs="Times New Roman"/>
          <w:kern w:val="0"/>
          <w:sz w:val="32"/>
          <w:szCs w:val="32"/>
        </w:rPr>
        <w:t>5</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2022年部门预算情况说明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2022</w:t>
      </w:r>
      <w:r>
        <w:rPr>
          <w:rFonts w:hint="eastAsia" w:ascii="仿宋" w:hAnsi="仿宋" w:eastAsia="仿宋" w:cs="Times New Roman"/>
          <w:kern w:val="0"/>
          <w:sz w:val="32"/>
          <w:szCs w:val="32"/>
        </w:rPr>
        <w:t>年商务局</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_GB2312" w:hAnsi="仿宋" w:eastAsia="仿宋_GB2312" w:cs="仿宋_GB2312"/>
          <w:sz w:val="32"/>
          <w:szCs w:val="32"/>
        </w:rPr>
        <w:t>952.86</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414.58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_GB2312" w:hAnsi="仿宋" w:eastAsia="仿宋_GB2312" w:cs="仿宋_GB2312"/>
          <w:sz w:val="32"/>
          <w:szCs w:val="32"/>
        </w:rPr>
        <w:t>532.86</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5.42</w:t>
      </w:r>
      <w:r>
        <w:rPr>
          <w:rFonts w:ascii="仿宋" w:hAnsi="仿宋" w:eastAsia="仿宋" w:cs="Times New Roman"/>
          <w:kern w:val="0"/>
          <w:sz w:val="32"/>
          <w:szCs w:val="32"/>
        </w:rPr>
        <w:t>万元;其他收入</w:t>
      </w:r>
      <w:r>
        <w:rPr>
          <w:rFonts w:hint="eastAsia" w:ascii="仿宋_GB2312" w:hAnsi="仿宋" w:eastAsia="仿宋_GB2312" w:cs="仿宋_GB2312"/>
          <w:sz w:val="32"/>
          <w:szCs w:val="32"/>
        </w:rPr>
        <w:t>420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420</w:t>
      </w:r>
      <w:r>
        <w:rPr>
          <w:rFonts w:ascii="仿宋" w:hAnsi="仿宋" w:eastAsia="仿宋" w:cs="Times New Roman"/>
          <w:kern w:val="0"/>
          <w:sz w:val="32"/>
          <w:szCs w:val="32"/>
        </w:rPr>
        <w:t>万元。</w:t>
      </w:r>
      <w:r>
        <w:fldChar w:fldCharType="end"/>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年商务局支出预算总额为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Fonts w:hint="eastAsia" w:ascii="仿宋" w:hAnsi="仿宋" w:eastAsia="仿宋" w:cs="Times New Roman"/>
          <w:kern w:val="0"/>
          <w:sz w:val="32"/>
          <w:szCs w:val="32"/>
        </w:rPr>
        <w:t>952.86</w:t>
      </w:r>
      <w:r>
        <w:rPr>
          <w:rStyle w:val="12"/>
          <w:rFonts w:ascii="仿宋" w:hAnsi="仿宋" w:eastAsia="仿宋"/>
          <w:sz w:val="32"/>
          <w:szCs w:val="32"/>
        </w:rPr>
        <w:t>万元,较上年预算安排增加</w:t>
      </w:r>
      <w:r>
        <w:rPr>
          <w:rStyle w:val="12"/>
          <w:rFonts w:hint="eastAsia" w:ascii="仿宋" w:hAnsi="仿宋" w:eastAsia="仿宋"/>
          <w:sz w:val="32"/>
          <w:szCs w:val="32"/>
        </w:rPr>
        <w:t>414.58</w:t>
      </w:r>
      <w:r>
        <w:rPr>
          <w:rStyle w:val="12"/>
          <w:rFonts w:ascii="仿宋" w:hAnsi="仿宋" w:eastAsia="仿宋"/>
          <w:sz w:val="32"/>
          <w:szCs w:val="32"/>
        </w:rPr>
        <w:t>万元;</w:t>
      </w:r>
      <w:r>
        <w:fldChar w:fldCharType="end"/>
      </w:r>
      <w:r>
        <w:rPr>
          <w:rStyle w:val="12"/>
          <w:rFonts w:hint="eastAsia" w:ascii="仿宋" w:hAnsi="仿宋" w:eastAsia="仿宋"/>
          <w:sz w:val="32"/>
          <w:szCs w:val="32"/>
        </w:rPr>
        <w:t>其中：</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2"/>
          <w:rFonts w:ascii="仿宋" w:hAnsi="仿宋" w:eastAsia="仿宋"/>
          <w:sz w:val="32"/>
          <w:szCs w:val="32"/>
        </w:rPr>
        <w:t>基本支出</w:t>
      </w:r>
      <w:r>
        <w:rPr>
          <w:rFonts w:hint="eastAsia" w:ascii="仿宋" w:hAnsi="仿宋" w:eastAsia="仿宋" w:cs="Times New Roman"/>
          <w:kern w:val="0"/>
          <w:sz w:val="32"/>
          <w:szCs w:val="32"/>
        </w:rPr>
        <w:t>902.86</w:t>
      </w:r>
      <w:r>
        <w:rPr>
          <w:rStyle w:val="12"/>
          <w:rFonts w:ascii="仿宋" w:hAnsi="仿宋" w:eastAsia="仿宋"/>
          <w:sz w:val="32"/>
          <w:szCs w:val="32"/>
        </w:rPr>
        <w:t>万元,较上年预算安排增加</w:t>
      </w:r>
      <w:r>
        <w:rPr>
          <w:rStyle w:val="12"/>
          <w:rFonts w:hint="eastAsia" w:ascii="仿宋" w:hAnsi="仿宋" w:eastAsia="仿宋"/>
          <w:sz w:val="32"/>
          <w:szCs w:val="32"/>
        </w:rPr>
        <w:t>464.58</w:t>
      </w:r>
      <w:r>
        <w:rPr>
          <w:rStyle w:val="12"/>
          <w:rFonts w:ascii="仿宋" w:hAnsi="仿宋" w:eastAsia="仿宋"/>
          <w:sz w:val="32"/>
          <w:szCs w:val="32"/>
        </w:rPr>
        <w:t>万元;其中：工资福利支出</w:t>
      </w:r>
      <w:r>
        <w:rPr>
          <w:rFonts w:hint="eastAsia" w:ascii="仿宋" w:hAnsi="仿宋" w:eastAsia="仿宋" w:cs="Times New Roman"/>
          <w:kern w:val="0"/>
          <w:sz w:val="32"/>
          <w:szCs w:val="32"/>
        </w:rPr>
        <w:t>315.71</w:t>
      </w:r>
      <w:r>
        <w:rPr>
          <w:rStyle w:val="12"/>
          <w:rFonts w:ascii="仿宋" w:hAnsi="仿宋" w:eastAsia="仿宋"/>
          <w:sz w:val="32"/>
          <w:szCs w:val="32"/>
        </w:rPr>
        <w:t>万元,商品和服务支出</w:t>
      </w:r>
      <w:r>
        <w:rPr>
          <w:rFonts w:hint="eastAsia" w:ascii="仿宋" w:hAnsi="仿宋" w:eastAsia="仿宋" w:cs="Times New Roman"/>
          <w:kern w:val="0"/>
          <w:sz w:val="32"/>
          <w:szCs w:val="32"/>
        </w:rPr>
        <w:t>397.11</w:t>
      </w:r>
      <w:r>
        <w:rPr>
          <w:rStyle w:val="12"/>
          <w:rFonts w:ascii="仿宋" w:hAnsi="仿宋" w:eastAsia="仿宋"/>
          <w:sz w:val="32"/>
          <w:szCs w:val="32"/>
        </w:rPr>
        <w:t>万元,对个人和家庭的补助</w:t>
      </w:r>
      <w:r>
        <w:rPr>
          <w:rFonts w:hint="eastAsia" w:ascii="仿宋" w:hAnsi="仿宋" w:eastAsia="仿宋" w:cs="Times New Roman"/>
          <w:kern w:val="0"/>
          <w:sz w:val="32"/>
          <w:szCs w:val="32"/>
        </w:rPr>
        <w:t>180.04</w:t>
      </w:r>
      <w:r>
        <w:rPr>
          <w:rStyle w:val="12"/>
          <w:rFonts w:ascii="仿宋" w:hAnsi="仿宋" w:eastAsia="仿宋"/>
          <w:sz w:val="32"/>
          <w:szCs w:val="32"/>
        </w:rPr>
        <w:t>万元,资本性支出</w:t>
      </w:r>
      <w:r>
        <w:rPr>
          <w:rFonts w:hint="eastAsia" w:ascii="仿宋" w:hAnsi="仿宋" w:eastAsia="仿宋" w:cs="Times New Roman"/>
          <w:kern w:val="0"/>
          <w:sz w:val="32"/>
          <w:szCs w:val="32"/>
        </w:rPr>
        <w:t>10</w:t>
      </w:r>
      <w:r>
        <w:rPr>
          <w:rStyle w:val="12"/>
          <w:rFonts w:ascii="仿宋" w:hAnsi="仿宋" w:eastAsia="仿宋"/>
          <w:sz w:val="32"/>
          <w:szCs w:val="32"/>
        </w:rPr>
        <w:t>万元。</w:t>
      </w:r>
      <w: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2"/>
          <w:rFonts w:ascii="仿宋" w:hAnsi="仿宋" w:eastAsia="仿宋"/>
          <w:sz w:val="32"/>
          <w:szCs w:val="32"/>
        </w:rPr>
        <w:t>项目支出</w:t>
      </w:r>
      <w:r>
        <w:rPr>
          <w:rFonts w:hint="eastAsia" w:ascii="仿宋" w:hAnsi="仿宋" w:eastAsia="仿宋" w:cs="Times New Roman"/>
          <w:kern w:val="0"/>
          <w:sz w:val="32"/>
          <w:szCs w:val="32"/>
        </w:rPr>
        <w:t>50</w:t>
      </w:r>
      <w:r>
        <w:rPr>
          <w:rStyle w:val="12"/>
          <w:rFonts w:ascii="仿宋" w:hAnsi="仿宋" w:eastAsia="仿宋"/>
          <w:sz w:val="32"/>
          <w:szCs w:val="32"/>
        </w:rPr>
        <w:t>万元,较上年预算安排减少</w:t>
      </w:r>
      <w:r>
        <w:rPr>
          <w:rStyle w:val="12"/>
          <w:rFonts w:hint="eastAsia" w:ascii="仿宋" w:hAnsi="仿宋" w:eastAsia="仿宋"/>
          <w:sz w:val="32"/>
          <w:szCs w:val="32"/>
        </w:rPr>
        <w:t>50</w:t>
      </w:r>
      <w:r>
        <w:rPr>
          <w:rStyle w:val="12"/>
          <w:rFonts w:ascii="仿宋" w:hAnsi="仿宋" w:eastAsia="仿宋"/>
          <w:sz w:val="32"/>
          <w:szCs w:val="32"/>
        </w:rPr>
        <w:t>万元;其中：商品和服务支出</w:t>
      </w:r>
      <w:r>
        <w:rPr>
          <w:rFonts w:hint="eastAsia" w:ascii="仿宋" w:hAnsi="仿宋" w:eastAsia="仿宋" w:cs="Times New Roman"/>
          <w:kern w:val="0"/>
          <w:sz w:val="32"/>
          <w:szCs w:val="32"/>
        </w:rPr>
        <w:t>50</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hint="eastAsia" w:ascii="仿宋" w:hAnsi="仿宋" w:eastAsia="仿宋" w:cs="Times New Roman"/>
          <w:kern w:val="0"/>
          <w:sz w:val="32"/>
          <w:szCs w:val="32"/>
        </w:rPr>
        <w:t>925.65</w:t>
      </w:r>
      <w:r>
        <w:rPr>
          <w:rStyle w:val="12"/>
          <w:rFonts w:ascii="仿宋" w:hAnsi="仿宋" w:eastAsia="仿宋"/>
          <w:sz w:val="32"/>
          <w:szCs w:val="32"/>
        </w:rPr>
        <w:t>万元,较上年预算安排增加</w:t>
      </w:r>
      <w:r>
        <w:rPr>
          <w:rStyle w:val="12"/>
          <w:rFonts w:hint="eastAsia" w:ascii="仿宋" w:hAnsi="仿宋" w:eastAsia="仿宋"/>
          <w:sz w:val="32"/>
          <w:szCs w:val="32"/>
        </w:rPr>
        <w:t>414.18</w:t>
      </w:r>
      <w:r>
        <w:rPr>
          <w:rStyle w:val="12"/>
          <w:rFonts w:ascii="仿宋" w:hAnsi="仿宋" w:eastAsia="仿宋"/>
          <w:sz w:val="32"/>
          <w:szCs w:val="32"/>
        </w:rPr>
        <w:t>万元;社会保障和就业支出</w:t>
      </w:r>
      <w:r>
        <w:rPr>
          <w:rFonts w:hint="eastAsia" w:ascii="仿宋" w:hAnsi="仿宋" w:eastAsia="仿宋" w:cs="Times New Roman"/>
          <w:kern w:val="0"/>
          <w:sz w:val="32"/>
          <w:szCs w:val="32"/>
        </w:rPr>
        <w:t>27.21</w:t>
      </w:r>
      <w:r>
        <w:rPr>
          <w:rStyle w:val="12"/>
          <w:rFonts w:ascii="仿宋" w:hAnsi="仿宋" w:eastAsia="仿宋"/>
          <w:sz w:val="32"/>
          <w:szCs w:val="32"/>
        </w:rPr>
        <w:t>万元,较上年预算安排增加</w:t>
      </w:r>
      <w:r>
        <w:rPr>
          <w:rStyle w:val="12"/>
          <w:rFonts w:hint="eastAsia" w:ascii="仿宋" w:hAnsi="仿宋" w:eastAsia="仿宋"/>
          <w:sz w:val="32"/>
          <w:szCs w:val="32"/>
        </w:rPr>
        <w:t>0.4</w:t>
      </w:r>
      <w:r>
        <w:rPr>
          <w:rStyle w:val="12"/>
          <w:rFonts w:ascii="仿宋" w:hAnsi="仿宋" w:eastAsia="仿宋"/>
          <w:sz w:val="32"/>
          <w:szCs w:val="32"/>
        </w:rPr>
        <w:t>万元。</w:t>
      </w:r>
      <w:r>
        <w:fldChar w:fldCharType="end"/>
      </w:r>
    </w:p>
    <w:p>
      <w:pPr>
        <w:ind w:firstLine="640" w:firstLineChars="200"/>
        <w:rPr>
          <w:rStyle w:val="12"/>
          <w:rFonts w:ascii="仿宋" w:hAnsi="仿宋" w:eastAsia="仿宋"/>
          <w:b/>
          <w:sz w:val="32"/>
          <w:szCs w:val="32"/>
        </w:rPr>
      </w:pPr>
      <w:r>
        <w:rPr>
          <w:rStyle w:val="12"/>
          <w:rFonts w:hint="eastAsia" w:ascii="仿宋" w:hAnsi="仿宋" w:eastAsia="仿宋"/>
          <w:sz w:val="32"/>
          <w:szCs w:val="32"/>
        </w:rPr>
        <w:t>按支出经济分类划分：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2"/>
          <w:rFonts w:ascii="仿宋" w:hAnsi="仿宋" w:eastAsia="仿宋"/>
          <w:sz w:val="32"/>
          <w:szCs w:val="32"/>
        </w:rPr>
        <w:t>工资福利支出</w:t>
      </w:r>
      <w:r>
        <w:rPr>
          <w:rFonts w:hint="eastAsia" w:ascii="仿宋" w:hAnsi="仿宋" w:eastAsia="仿宋" w:cs="Times New Roman"/>
          <w:kern w:val="0"/>
          <w:sz w:val="32"/>
          <w:szCs w:val="32"/>
        </w:rPr>
        <w:t>315.71</w:t>
      </w:r>
      <w:r>
        <w:rPr>
          <w:rStyle w:val="12"/>
          <w:rFonts w:ascii="仿宋" w:hAnsi="仿宋" w:eastAsia="仿宋"/>
          <w:sz w:val="32"/>
          <w:szCs w:val="32"/>
        </w:rPr>
        <w:t>万元,较上年预算安排增加</w:t>
      </w:r>
      <w:r>
        <w:rPr>
          <w:rStyle w:val="12"/>
          <w:rFonts w:hint="eastAsia" w:ascii="仿宋" w:hAnsi="仿宋" w:eastAsia="仿宋"/>
          <w:sz w:val="32"/>
          <w:szCs w:val="32"/>
        </w:rPr>
        <w:t>68.43</w:t>
      </w:r>
      <w:r>
        <w:rPr>
          <w:rStyle w:val="12"/>
          <w:rFonts w:ascii="仿宋" w:hAnsi="仿宋" w:eastAsia="仿宋"/>
          <w:sz w:val="32"/>
          <w:szCs w:val="32"/>
        </w:rPr>
        <w:t>万元;商品和服务支出</w:t>
      </w:r>
      <w:r>
        <w:rPr>
          <w:rFonts w:hint="eastAsia" w:ascii="仿宋" w:hAnsi="仿宋" w:eastAsia="仿宋" w:cs="Times New Roman"/>
          <w:kern w:val="0"/>
          <w:sz w:val="32"/>
          <w:szCs w:val="32"/>
        </w:rPr>
        <w:t>447.11</w:t>
      </w:r>
      <w:r>
        <w:rPr>
          <w:rStyle w:val="12"/>
          <w:rFonts w:ascii="仿宋" w:hAnsi="仿宋" w:eastAsia="仿宋"/>
          <w:sz w:val="32"/>
          <w:szCs w:val="32"/>
        </w:rPr>
        <w:t>万元,较上年预算安排增加</w:t>
      </w:r>
      <w:r>
        <w:rPr>
          <w:rStyle w:val="12"/>
          <w:rFonts w:hint="eastAsia" w:ascii="仿宋" w:hAnsi="仿宋" w:eastAsia="仿宋"/>
          <w:sz w:val="32"/>
          <w:szCs w:val="32"/>
        </w:rPr>
        <w:t>240.37</w:t>
      </w:r>
      <w:r>
        <w:rPr>
          <w:rStyle w:val="12"/>
          <w:rFonts w:ascii="仿宋" w:hAnsi="仿宋" w:eastAsia="仿宋"/>
          <w:sz w:val="32"/>
          <w:szCs w:val="32"/>
        </w:rPr>
        <w:t>万元;对个人和家庭的补助</w:t>
      </w:r>
      <w:r>
        <w:rPr>
          <w:rFonts w:hint="eastAsia" w:ascii="仿宋" w:hAnsi="仿宋" w:eastAsia="仿宋" w:cs="Times New Roman"/>
          <w:kern w:val="0"/>
          <w:sz w:val="32"/>
          <w:szCs w:val="32"/>
        </w:rPr>
        <w:t>180.04</w:t>
      </w:r>
      <w:r>
        <w:rPr>
          <w:rStyle w:val="12"/>
          <w:rFonts w:ascii="仿宋" w:hAnsi="仿宋" w:eastAsia="仿宋"/>
          <w:sz w:val="32"/>
          <w:szCs w:val="32"/>
        </w:rPr>
        <w:t>万元,较上年预算安排增加</w:t>
      </w:r>
      <w:r>
        <w:rPr>
          <w:rStyle w:val="12"/>
          <w:rFonts w:hint="eastAsia" w:ascii="仿宋" w:hAnsi="仿宋" w:eastAsia="仿宋"/>
          <w:sz w:val="32"/>
          <w:szCs w:val="32"/>
        </w:rPr>
        <w:t>100.98</w:t>
      </w:r>
      <w:r>
        <w:rPr>
          <w:rStyle w:val="12"/>
          <w:rFonts w:ascii="仿宋" w:hAnsi="仿宋" w:eastAsia="仿宋"/>
          <w:sz w:val="32"/>
          <w:szCs w:val="32"/>
        </w:rPr>
        <w:t>万元;资本性支出</w:t>
      </w:r>
      <w:r>
        <w:rPr>
          <w:rFonts w:hint="eastAsia" w:ascii="仿宋" w:hAnsi="仿宋" w:eastAsia="仿宋" w:cs="Times New Roman"/>
          <w:kern w:val="0"/>
          <w:sz w:val="32"/>
          <w:szCs w:val="32"/>
        </w:rPr>
        <w:t>10</w:t>
      </w:r>
      <w:r>
        <w:rPr>
          <w:rStyle w:val="12"/>
          <w:rFonts w:ascii="仿宋" w:hAnsi="仿宋" w:eastAsia="仿宋"/>
          <w:sz w:val="32"/>
          <w:szCs w:val="32"/>
        </w:rPr>
        <w:t>万元,较上年预算安排增加</w:t>
      </w:r>
      <w:r>
        <w:rPr>
          <w:rStyle w:val="12"/>
          <w:rFonts w:hint="eastAsia" w:ascii="仿宋" w:hAnsi="仿宋" w:eastAsia="仿宋"/>
          <w:sz w:val="32"/>
          <w:szCs w:val="32"/>
        </w:rPr>
        <w:t>4.8</w:t>
      </w:r>
      <w:r>
        <w:rPr>
          <w:rStyle w:val="12"/>
          <w:rFonts w:ascii="仿宋" w:hAnsi="仿宋" w:eastAsia="仿宋"/>
          <w:sz w:val="32"/>
          <w:szCs w:val="32"/>
        </w:rPr>
        <w:t>万元。</w:t>
      </w:r>
      <w:r>
        <w:fldChar w:fldCharType="end"/>
      </w:r>
    </w:p>
    <w:p>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商务局</w:t>
      </w:r>
      <w:r>
        <w:rPr>
          <w:rStyle w:val="12"/>
          <w:rFonts w:hint="eastAsia" w:ascii="仿宋" w:hAnsi="仿宋" w:eastAsia="仿宋"/>
          <w:sz w:val="32"/>
          <w:szCs w:val="32"/>
        </w:rPr>
        <w:t>财政拨款支出预算总额为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2"/>
          <w:rFonts w:ascii="仿宋" w:hAnsi="仿宋" w:eastAsia="仿宋"/>
          <w:sz w:val="32"/>
          <w:szCs w:val="32"/>
        </w:rPr>
        <w:t>财政拨款支出预算总额</w:t>
      </w:r>
      <w:r>
        <w:rPr>
          <w:rFonts w:hint="eastAsia" w:ascii="仿宋" w:hAnsi="仿宋" w:eastAsia="仿宋" w:cs="Times New Roman"/>
          <w:kern w:val="0"/>
          <w:sz w:val="32"/>
          <w:szCs w:val="32"/>
        </w:rPr>
        <w:t>532.86</w:t>
      </w:r>
      <w:r>
        <w:rPr>
          <w:rStyle w:val="12"/>
          <w:rFonts w:ascii="仿宋" w:hAnsi="仿宋" w:eastAsia="仿宋"/>
          <w:sz w:val="32"/>
          <w:szCs w:val="32"/>
        </w:rPr>
        <w:t>万元,较上年预算安排减少</w:t>
      </w:r>
      <w:r>
        <w:rPr>
          <w:rStyle w:val="12"/>
          <w:rFonts w:hint="eastAsia" w:ascii="仿宋" w:hAnsi="仿宋" w:eastAsia="仿宋"/>
          <w:sz w:val="32"/>
          <w:szCs w:val="32"/>
        </w:rPr>
        <w:t>5.42</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hint="eastAsia" w:ascii="仿宋" w:hAnsi="仿宋" w:eastAsia="仿宋" w:cs="Times New Roman"/>
          <w:kern w:val="0"/>
          <w:sz w:val="32"/>
          <w:szCs w:val="32"/>
        </w:rPr>
        <w:t>505.65</w:t>
      </w:r>
      <w:r>
        <w:rPr>
          <w:rStyle w:val="12"/>
          <w:rFonts w:ascii="仿宋" w:hAnsi="仿宋" w:eastAsia="仿宋"/>
          <w:sz w:val="32"/>
          <w:szCs w:val="32"/>
        </w:rPr>
        <w:t>万元,社会保障和就业支出</w:t>
      </w:r>
      <w:r>
        <w:rPr>
          <w:rFonts w:hint="eastAsia" w:ascii="仿宋" w:hAnsi="仿宋" w:eastAsia="仿宋" w:cs="Times New Roman"/>
          <w:kern w:val="0"/>
          <w:sz w:val="32"/>
          <w:szCs w:val="32"/>
        </w:rPr>
        <w:t>27.21</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2"/>
          <w:rFonts w:ascii="仿宋" w:hAnsi="仿宋" w:eastAsia="仿宋"/>
          <w:sz w:val="32"/>
          <w:szCs w:val="32"/>
        </w:rPr>
        <w:t>基本支出</w:t>
      </w:r>
      <w:r>
        <w:rPr>
          <w:rFonts w:hint="eastAsia" w:ascii="仿宋" w:hAnsi="仿宋" w:eastAsia="仿宋" w:cs="Times New Roman"/>
          <w:kern w:val="0"/>
          <w:sz w:val="32"/>
          <w:szCs w:val="32"/>
        </w:rPr>
        <w:t>482.86</w:t>
      </w:r>
      <w:r>
        <w:rPr>
          <w:rStyle w:val="12"/>
          <w:rFonts w:ascii="仿宋" w:hAnsi="仿宋" w:eastAsia="仿宋"/>
          <w:sz w:val="32"/>
          <w:szCs w:val="32"/>
        </w:rPr>
        <w:t>万元,较上年预算安排增加</w:t>
      </w:r>
      <w:r>
        <w:rPr>
          <w:rStyle w:val="12"/>
          <w:rFonts w:hint="eastAsia" w:ascii="仿宋" w:hAnsi="仿宋" w:eastAsia="仿宋"/>
          <w:sz w:val="32"/>
          <w:szCs w:val="32"/>
        </w:rPr>
        <w:t>44.58</w:t>
      </w:r>
      <w:r>
        <w:rPr>
          <w:rStyle w:val="12"/>
          <w:rFonts w:ascii="仿宋" w:hAnsi="仿宋" w:eastAsia="仿宋"/>
          <w:sz w:val="32"/>
          <w:szCs w:val="32"/>
        </w:rPr>
        <w:t>万元;其中：工资福利支出</w:t>
      </w:r>
      <w:r>
        <w:rPr>
          <w:rFonts w:hint="eastAsia" w:ascii="仿宋" w:hAnsi="仿宋" w:eastAsia="仿宋" w:cs="Times New Roman"/>
          <w:kern w:val="0"/>
          <w:sz w:val="32"/>
          <w:szCs w:val="32"/>
        </w:rPr>
        <w:t>235.71</w:t>
      </w:r>
      <w:r>
        <w:rPr>
          <w:rStyle w:val="12"/>
          <w:rFonts w:ascii="仿宋" w:hAnsi="仿宋" w:eastAsia="仿宋"/>
          <w:sz w:val="32"/>
          <w:szCs w:val="32"/>
        </w:rPr>
        <w:t>万元,商品和服务支出</w:t>
      </w:r>
      <w:r>
        <w:rPr>
          <w:rFonts w:hint="eastAsia" w:ascii="仿宋" w:hAnsi="仿宋" w:eastAsia="仿宋" w:cs="Times New Roman"/>
          <w:kern w:val="0"/>
          <w:sz w:val="32"/>
          <w:szCs w:val="32"/>
        </w:rPr>
        <w:t>157.11</w:t>
      </w:r>
      <w:r>
        <w:rPr>
          <w:rStyle w:val="12"/>
          <w:rFonts w:ascii="仿宋" w:hAnsi="仿宋" w:eastAsia="仿宋"/>
          <w:sz w:val="32"/>
          <w:szCs w:val="32"/>
        </w:rPr>
        <w:t>万元,对个人和家庭的补助</w:t>
      </w:r>
      <w:r>
        <w:rPr>
          <w:rFonts w:hint="eastAsia" w:ascii="仿宋" w:hAnsi="仿宋" w:eastAsia="仿宋" w:cs="Times New Roman"/>
          <w:kern w:val="0"/>
          <w:sz w:val="32"/>
          <w:szCs w:val="32"/>
        </w:rPr>
        <w:t>80.04</w:t>
      </w:r>
      <w:r>
        <w:rPr>
          <w:rStyle w:val="12"/>
          <w:rFonts w:ascii="仿宋" w:hAnsi="仿宋" w:eastAsia="仿宋"/>
          <w:sz w:val="32"/>
          <w:szCs w:val="32"/>
        </w:rPr>
        <w:t>万元,资本性支出</w:t>
      </w:r>
      <w:r>
        <w:rPr>
          <w:rFonts w:hint="eastAsia" w:ascii="仿宋" w:hAnsi="仿宋" w:eastAsia="仿宋" w:cs="Times New Roman"/>
          <w:kern w:val="0"/>
          <w:sz w:val="32"/>
          <w:szCs w:val="32"/>
        </w:rPr>
        <w:t>10</w:t>
      </w:r>
      <w:r>
        <w:rPr>
          <w:rStyle w:val="12"/>
          <w:rFonts w:ascii="仿宋" w:hAnsi="仿宋" w:eastAsia="仿宋"/>
          <w:sz w:val="32"/>
          <w:szCs w:val="32"/>
        </w:rPr>
        <w:t>万元。</w:t>
      </w:r>
      <w: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2"/>
          <w:rFonts w:ascii="仿宋" w:hAnsi="仿宋" w:eastAsia="仿宋"/>
          <w:sz w:val="32"/>
          <w:szCs w:val="32"/>
        </w:rPr>
        <w:t>项目支出</w:t>
      </w:r>
      <w:r>
        <w:rPr>
          <w:rFonts w:hint="eastAsia" w:ascii="仿宋" w:hAnsi="仿宋" w:eastAsia="仿宋" w:cs="Times New Roman"/>
          <w:kern w:val="0"/>
          <w:sz w:val="32"/>
          <w:szCs w:val="32"/>
        </w:rPr>
        <w:t>50</w:t>
      </w:r>
      <w:r>
        <w:rPr>
          <w:rStyle w:val="12"/>
          <w:rFonts w:ascii="仿宋" w:hAnsi="仿宋" w:eastAsia="仿宋"/>
          <w:sz w:val="32"/>
          <w:szCs w:val="32"/>
        </w:rPr>
        <w:t>万元,较上年预算安排减少</w:t>
      </w:r>
      <w:r>
        <w:rPr>
          <w:rStyle w:val="12"/>
          <w:rFonts w:hint="eastAsia" w:ascii="仿宋" w:hAnsi="仿宋" w:eastAsia="仿宋"/>
          <w:sz w:val="32"/>
          <w:szCs w:val="32"/>
        </w:rPr>
        <w:t>50</w:t>
      </w:r>
      <w:r>
        <w:rPr>
          <w:rStyle w:val="12"/>
          <w:rFonts w:ascii="仿宋" w:hAnsi="仿宋" w:eastAsia="仿宋"/>
          <w:sz w:val="32"/>
          <w:szCs w:val="32"/>
        </w:rPr>
        <w:t>万元;其中：商品和服务支出</w:t>
      </w:r>
      <w:r>
        <w:rPr>
          <w:rFonts w:hint="eastAsia" w:ascii="仿宋" w:hAnsi="仿宋" w:eastAsia="仿宋" w:cs="Times New Roman"/>
          <w:kern w:val="0"/>
          <w:sz w:val="32"/>
          <w:szCs w:val="32"/>
        </w:rPr>
        <w:t>50</w:t>
      </w:r>
      <w:r>
        <w:rPr>
          <w:rStyle w:val="12"/>
          <w:rFonts w:ascii="仿宋" w:hAnsi="仿宋" w:eastAsia="仿宋"/>
          <w:sz w:val="32"/>
          <w:szCs w:val="32"/>
        </w:rPr>
        <w:t>万元。</w:t>
      </w:r>
      <w:r>
        <w:fldChar w:fldCharType="end"/>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pPr>
        <w:ind w:firstLine="640" w:firstLineChars="200"/>
        <w:rPr>
          <w:rStyle w:val="12"/>
          <w:rFonts w:ascii="仿宋" w:hAnsi="仿宋" w:eastAsia="仿宋" w:cs="Times New Roman"/>
          <w:kern w:val="0"/>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商务局</w:t>
      </w:r>
      <w:r>
        <w:rPr>
          <w:rFonts w:ascii="Adobe 仿宋 Std R" w:hAnsi="Adobe 仿宋 Std R" w:eastAsia="Adobe 仿宋 Std R"/>
          <w:sz w:val="32"/>
          <w:szCs w:val="32"/>
        </w:rPr>
        <w:t>政府性基金支出预算</w:t>
      </w:r>
      <w:r>
        <w:rPr>
          <w:rStyle w:val="12"/>
          <w:rFonts w:hint="eastAsia" w:ascii="仿宋" w:hAnsi="仿宋" w:eastAsia="仿宋"/>
          <w:sz w:val="32"/>
          <w:szCs w:val="32"/>
        </w:rPr>
        <w:t>为</w:t>
      </w:r>
      <w:r>
        <w:rPr>
          <w:rFonts w:hint="eastAsia" w:ascii="仿宋" w:hAnsi="仿宋" w:eastAsia="仿宋" w:cs="Times New Roman"/>
          <w:kern w:val="0"/>
          <w:sz w:val="32"/>
          <w:szCs w:val="32"/>
        </w:rPr>
        <w:t>0万元。</w:t>
      </w:r>
      <w:r>
        <w:rPr>
          <w:rStyle w:val="12"/>
          <w:rFonts w:hint="eastAsia" w:ascii="仿宋" w:hAnsi="仿宋" w:eastAsia="仿宋"/>
          <w:sz w:val="32"/>
          <w:szCs w:val="32"/>
        </w:rPr>
        <w:t>没有使用政府性基金预算拨款安排的支出。</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商务局</w:t>
      </w:r>
      <w:r>
        <w:rPr>
          <w:rStyle w:val="12"/>
          <w:rFonts w:hint="eastAsia" w:ascii="仿宋" w:hAnsi="仿宋" w:eastAsia="仿宋"/>
          <w:sz w:val="32"/>
          <w:szCs w:val="32"/>
        </w:rPr>
        <w:t>国有资本经营</w:t>
      </w:r>
      <w:r>
        <w:rPr>
          <w:rStyle w:val="12"/>
          <w:rFonts w:ascii="仿宋" w:hAnsi="仿宋" w:eastAsia="仿宋"/>
          <w:sz w:val="32"/>
          <w:szCs w:val="32"/>
        </w:rPr>
        <w:t>支出预算</w:t>
      </w:r>
      <w:r>
        <w:rPr>
          <w:rStyle w:val="12"/>
          <w:rFonts w:hint="eastAsia" w:ascii="仿宋" w:hAnsi="仿宋" w:eastAsia="仿宋"/>
          <w:sz w:val="32"/>
          <w:szCs w:val="32"/>
        </w:rPr>
        <w:t>为</w:t>
      </w:r>
      <w:r>
        <w:rPr>
          <w:rFonts w:hint="eastAsia" w:ascii="仿宋" w:hAnsi="仿宋" w:eastAsia="仿宋" w:cs="Times New Roman"/>
          <w:kern w:val="0"/>
          <w:sz w:val="32"/>
          <w:szCs w:val="32"/>
        </w:rPr>
        <w:t>0万元</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${page400644146.ds215660413_REP_BGT_T_HC1100002019_DXQ02_S_AMTGYZBJYYSZJ}</w:instrText>
      </w:r>
      <w:r>
        <w:rPr>
          <w:rFonts w:ascii="仿宋" w:hAnsi="仿宋" w:eastAsia="仿宋"/>
          <w:sz w:val="32"/>
          <w:szCs w:val="32"/>
        </w:rPr>
        <w:fldChar w:fldCharType="end"/>
      </w:r>
      <w:r>
        <w:rPr>
          <w:rStyle w:val="12"/>
          <w:rFonts w:hint="eastAsia" w:ascii="仿宋" w:hAnsi="仿宋" w:eastAsia="仿宋"/>
          <w:sz w:val="32"/>
          <w:szCs w:val="32"/>
        </w:rPr>
        <w:t>。没有使用国有资本经营预算拨款安排的支出。</w:t>
      </w:r>
    </w:p>
    <w:p>
      <w:pPr>
        <w:ind w:firstLine="321" w:firstLineChars="100"/>
        <w:rPr>
          <w:rStyle w:val="12"/>
          <w:rFonts w:ascii="Adobe 仿宋 Std R" w:hAnsi="Adobe 仿宋 Std R" w:eastAsia="Adobe 仿宋 Std R"/>
          <w:b/>
          <w:sz w:val="32"/>
          <w:szCs w:val="32"/>
        </w:rPr>
      </w:pPr>
      <w:r>
        <w:rPr>
          <w:rStyle w:val="12"/>
          <w:rFonts w:hint="eastAsia" w:ascii="宋体" w:hAnsi="宋体"/>
          <w:b/>
          <w:sz w:val="32"/>
          <w:szCs w:val="32"/>
        </w:rPr>
        <w:t xml:space="preserve"> </w:t>
      </w:r>
      <w:r>
        <w:rPr>
          <w:rStyle w:val="12"/>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ascii="Adobe 仿宋 Std R" w:hAnsi="Adobe 仿宋 Std R" w:eastAsia="Adobe 仿宋 Std R"/>
          <w:sz w:val="32"/>
          <w:szCs w:val="32"/>
        </w:rPr>
      </w:pPr>
      <w:r>
        <w:rPr>
          <w:rStyle w:val="12"/>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w:t>
      </w:r>
      <w:r>
        <w:rPr>
          <w:rFonts w:hint="eastAsia" w:ascii="仿宋_GB2312" w:eastAsia="仿宋_GB2312"/>
          <w:sz w:val="32"/>
          <w:szCs w:val="30"/>
        </w:rPr>
        <w:t>82.49</w:t>
      </w:r>
      <w:r>
        <w:rPr>
          <w:rFonts w:hint="eastAsia" w:ascii="Adobe 仿宋 Std R" w:hAnsi="Adobe 仿宋 Std R" w:eastAsia="Adobe 仿宋 Std R"/>
          <w:sz w:val="32"/>
          <w:szCs w:val="32"/>
        </w:rPr>
        <w:t>万元，比2021年预算增加17.99万元，增长21.8%。</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pPr>
        <w:rPr>
          <w:rFonts w:hint="default" w:eastAsia="Adobe 仿宋 Std R"/>
          <w:sz w:val="32"/>
          <w:lang w:val="en-US" w:eastAsia="zh-CN"/>
        </w:rPr>
      </w:pPr>
      <w:r>
        <w:rPr>
          <w:rStyle w:val="12"/>
          <w:rFonts w:hint="eastAsia" w:ascii="宋体" w:hAnsi="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w:t>
      </w:r>
      <w:r>
        <w:rPr>
          <w:rFonts w:hint="eastAsia" w:ascii="仿宋" w:hAnsi="仿宋" w:eastAsia="仿宋" w:cs="Times New Roman"/>
          <w:kern w:val="0"/>
          <w:sz w:val="32"/>
          <w:szCs w:val="32"/>
        </w:rPr>
        <w:t>10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rPr>
        <w:t>10</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工程0万元、服务0万元。</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商务局共有车辆</w:t>
      </w:r>
      <w:r>
        <w:rPr>
          <w:rFonts w:hint="eastAsia" w:ascii="仿宋" w:hAnsi="仿宋" w:eastAsia="仿宋" w:cs="Times New Roman"/>
          <w:kern w:val="0"/>
          <w:sz w:val="32"/>
          <w:szCs w:val="32"/>
        </w:rPr>
        <w:t>0</w:t>
      </w:r>
      <w:r>
        <w:rPr>
          <w:rFonts w:ascii="Adobe 仿宋 Std R" w:hAnsi="Adobe 仿宋 Std R" w:eastAsia="Adobe 仿宋 Std R"/>
          <w:sz w:val="32"/>
          <w:szCs w:val="32"/>
        </w:rPr>
        <w:t>辆。</w:t>
      </w:r>
      <w:r>
        <w:fldChar w:fldCharType="end"/>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（九）商务局项目情况说明（部门本级）</w:t>
      </w:r>
    </w:p>
    <w:p>
      <w:pPr>
        <w:ind w:firstLine="960" w:firstLineChars="300"/>
        <w:rPr>
          <w:rFonts w:ascii="Adobe 仿宋 Std R" w:hAnsi="Adobe 仿宋 Std R" w:eastAsia="Adobe 仿宋 Std R"/>
          <w:sz w:val="32"/>
          <w:szCs w:val="32"/>
        </w:rPr>
      </w:pPr>
      <w:r>
        <w:rPr>
          <w:rFonts w:hint="eastAsia" w:ascii="Adobe 仿宋 Std R" w:hAnsi="Adobe 仿宋 Std R" w:eastAsia="Adobe 仿宋 Std R"/>
          <w:sz w:val="32"/>
          <w:szCs w:val="32"/>
        </w:rPr>
        <w:t>招商引资项目</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pPr>
        <w:ind w:left="1107"/>
        <w:rPr>
          <w:rFonts w:ascii="Adobe 仿宋 Std R" w:hAnsi="Adobe 仿宋 Std R" w:eastAsia="Adobe 仿宋 Std R"/>
          <w:sz w:val="32"/>
          <w:szCs w:val="32"/>
        </w:rPr>
      </w:pPr>
      <w:r>
        <w:rPr>
          <w:rFonts w:hint="eastAsia" w:ascii="Adobe 仿宋 Std R" w:hAnsi="Adobe 仿宋 Std R" w:eastAsia="Adobe 仿宋 Std R"/>
          <w:sz w:val="32"/>
          <w:szCs w:val="32"/>
        </w:rPr>
        <w:t>为推动我区开放型经济高质量跨越式发展。</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pPr>
        <w:ind w:left="1107"/>
        <w:rPr>
          <w:rFonts w:ascii="Adobe 仿宋 Std R" w:hAnsi="Adobe 仿宋 Std R" w:eastAsia="Adobe 仿宋 Std R"/>
          <w:sz w:val="32"/>
          <w:szCs w:val="32"/>
        </w:rPr>
      </w:pPr>
      <w:r>
        <w:rPr>
          <w:rFonts w:hint="eastAsia" w:ascii="Adobe 仿宋 Std R" w:hAnsi="Adobe 仿宋 Std R" w:eastAsia="Adobe 仿宋 Std R"/>
          <w:sz w:val="32"/>
          <w:szCs w:val="32"/>
        </w:rPr>
        <w:t>商务局三定方案工作职责规定。</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pPr>
        <w:ind w:left="1107"/>
        <w:rPr>
          <w:rFonts w:ascii="Adobe 仿宋 Std R" w:hAnsi="Adobe 仿宋 Std R" w:eastAsia="Adobe 仿宋 Std R"/>
          <w:sz w:val="32"/>
          <w:szCs w:val="32"/>
        </w:rPr>
      </w:pPr>
      <w:r>
        <w:rPr>
          <w:rFonts w:hint="eastAsia" w:ascii="Adobe 仿宋 Std R" w:hAnsi="Adobe 仿宋 Std R" w:eastAsia="Adobe 仿宋 Std R"/>
          <w:sz w:val="32"/>
          <w:szCs w:val="32"/>
        </w:rPr>
        <w:t>商务局机关</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pPr>
        <w:ind w:firstLine="1280" w:firstLineChars="400"/>
        <w:rPr>
          <w:rFonts w:ascii="Adobe 仿宋 Std R" w:hAnsi="Adobe 仿宋 Std R" w:eastAsia="Adobe 仿宋 Std R"/>
          <w:sz w:val="32"/>
          <w:szCs w:val="32"/>
        </w:rPr>
      </w:pPr>
      <w:r>
        <w:rPr>
          <w:rFonts w:hint="eastAsia" w:ascii="Adobe 仿宋 Std R" w:hAnsi="Adobe 仿宋 Std R" w:eastAsia="Adobe 仿宋 Std R"/>
          <w:sz w:val="32"/>
          <w:szCs w:val="32"/>
        </w:rPr>
        <w:t>2021年招商引资争取区内创新高，全市列前茅，全省有影响，签约数量、质量、规模较2020年有新的突破。</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pPr>
        <w:ind w:left="1107"/>
        <w:rPr>
          <w:rFonts w:ascii="Adobe 仿宋 Std R" w:hAnsi="Adobe 仿宋 Std R" w:eastAsia="Adobe 仿宋 Std R"/>
          <w:sz w:val="32"/>
          <w:szCs w:val="32"/>
        </w:rPr>
      </w:pPr>
      <w:r>
        <w:rPr>
          <w:rFonts w:hint="eastAsia" w:ascii="Adobe 仿宋 Std R" w:hAnsi="Adobe 仿宋 Std R" w:eastAsia="Adobe 仿宋 Std R"/>
          <w:sz w:val="32"/>
          <w:szCs w:val="32"/>
        </w:rPr>
        <w:t>2022年全年。</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pPr>
        <w:ind w:left="1107"/>
        <w:rPr>
          <w:rFonts w:ascii="Adobe 仿宋 Std R" w:hAnsi="Adobe 仿宋 Std R" w:eastAsia="Adobe 仿宋 Std R"/>
          <w:sz w:val="32"/>
          <w:szCs w:val="32"/>
        </w:rPr>
      </w:pPr>
      <w:r>
        <w:rPr>
          <w:rFonts w:hint="eastAsia" w:ascii="Adobe 仿宋 Std R" w:hAnsi="Adobe 仿宋 Std R" w:eastAsia="Adobe 仿宋 Std R"/>
          <w:sz w:val="32"/>
          <w:szCs w:val="32"/>
        </w:rPr>
        <w:t>预算资金50万元。</w:t>
      </w:r>
    </w:p>
    <w:p>
      <w:pPr>
        <w:numPr>
          <w:ilvl w:val="0"/>
          <w:numId w:val="1"/>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绩效目标和指标</w:t>
      </w:r>
    </w:p>
    <w:p>
      <w:pPr>
        <w:ind w:left="1107"/>
        <w:rPr>
          <w:rFonts w:ascii="Adobe 仿宋 Std R" w:hAnsi="Adobe 仿宋 Std R" w:eastAsia="Adobe 仿宋 Std R"/>
          <w:sz w:val="32"/>
          <w:szCs w:val="32"/>
        </w:rPr>
      </w:pPr>
      <w:r>
        <w:rPr>
          <w:rFonts w:hint="eastAsia" w:ascii="Adobe 仿宋 Std R" w:hAnsi="Adobe 仿宋 Std R" w:eastAsia="Adobe 仿宋 Std R"/>
          <w:sz w:val="32"/>
          <w:szCs w:val="32"/>
        </w:rPr>
        <w:t>见绩效目标设置申报表。</w:t>
      </w:r>
    </w:p>
    <w:p>
      <w:pPr>
        <w:widowControl/>
        <w:spacing w:line="580" w:lineRule="exact"/>
        <w:jc w:val="left"/>
        <w:rPr>
          <w:rFonts w:ascii="楷体_GB2312" w:eastAsia="楷体_GB2312"/>
          <w:b/>
          <w:sz w:val="32"/>
          <w:szCs w:val="30"/>
        </w:rPr>
      </w:pPr>
      <w:r>
        <w:rPr>
          <w:rFonts w:hint="eastAsia" w:ascii="楷体_GB2312"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年商务局</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经费一般公共预算安排76万元，其中：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cs="Times New Roman"/>
          <w:kern w:val="0"/>
          <w:sz w:val="32"/>
          <w:szCs w:val="32"/>
        </w:rPr>
        <w:t>0</w:t>
      </w:r>
      <w:r>
        <w:rPr>
          <w:rFonts w:ascii="仿宋" w:hAnsi="仿宋" w:eastAsia="仿宋"/>
          <w:bCs/>
          <w:sz w:val="32"/>
          <w:szCs w:val="32"/>
        </w:rPr>
        <w:t>万元,比上年增加</w:t>
      </w:r>
      <w:r>
        <w:rPr>
          <w:rFonts w:hint="eastAsia" w:ascii="仿宋" w:hAnsi="仿宋" w:eastAsia="仿宋"/>
          <w:bCs/>
          <w:sz w:val="32"/>
          <w:szCs w:val="32"/>
        </w:rPr>
        <w:t>0</w:t>
      </w:r>
      <w:r>
        <w:rPr>
          <w:rFonts w:ascii="仿宋" w:hAnsi="仿宋" w:eastAsia="仿宋"/>
          <w:bCs/>
          <w:sz w:val="32"/>
          <w:szCs w:val="32"/>
        </w:rPr>
        <w:t>万元。</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rPr>
        <w:t>76</w:t>
      </w:r>
      <w:r>
        <w:rPr>
          <w:rFonts w:ascii="仿宋" w:hAnsi="仿宋" w:eastAsia="仿宋"/>
          <w:bCs/>
          <w:sz w:val="32"/>
          <w:szCs w:val="32"/>
        </w:rPr>
        <w:t>万元,比上年增加</w:t>
      </w:r>
      <w:r>
        <w:rPr>
          <w:rFonts w:hint="eastAsia" w:ascii="仿宋" w:hAnsi="仿宋" w:eastAsia="仿宋"/>
          <w:bCs/>
          <w:sz w:val="32"/>
          <w:szCs w:val="32"/>
        </w:rPr>
        <w:t>0</w:t>
      </w:r>
      <w:r>
        <w:rPr>
          <w:rFonts w:ascii="仿宋" w:hAnsi="仿宋" w:eastAsia="仿宋"/>
          <w:bCs/>
          <w:sz w:val="32"/>
          <w:szCs w:val="32"/>
        </w:rPr>
        <w:t>万元，</w:t>
      </w:r>
      <w:r>
        <w:rPr>
          <w:rFonts w:hint="eastAsia" w:ascii="仿宋" w:hAnsi="仿宋" w:eastAsia="仿宋"/>
          <w:bCs/>
          <w:sz w:val="32"/>
          <w:szCs w:val="32"/>
        </w:rPr>
        <w:t>较上年无变动</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cs="Times New Roman"/>
          <w:kern w:val="0"/>
          <w:sz w:val="32"/>
          <w:szCs w:val="32"/>
        </w:rPr>
        <w:t>0</w:t>
      </w:r>
      <w:r>
        <w:rPr>
          <w:rFonts w:ascii="仿宋" w:hAnsi="仿宋" w:eastAsia="仿宋"/>
          <w:bCs/>
          <w:sz w:val="32"/>
          <w:szCs w:val="32"/>
        </w:rPr>
        <w:t>万元,比上年增加</w:t>
      </w:r>
      <w:r>
        <w:rPr>
          <w:rFonts w:hint="eastAsia" w:ascii="仿宋" w:hAnsi="仿宋" w:eastAsia="仿宋"/>
          <w:bCs/>
          <w:sz w:val="32"/>
          <w:szCs w:val="32"/>
        </w:rPr>
        <w:t>0</w:t>
      </w:r>
      <w:r>
        <w:rPr>
          <w:rFonts w:ascii="仿宋" w:hAnsi="仿宋" w:eastAsia="仿宋"/>
          <w:bCs/>
          <w:sz w:val="32"/>
          <w:szCs w:val="32"/>
        </w:rPr>
        <w:t>万元。</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rPr>
        <w:t>0</w:t>
      </w:r>
      <w:r>
        <w:rPr>
          <w:rFonts w:ascii="仿宋" w:hAnsi="仿宋" w:eastAsia="仿宋"/>
          <w:bCs/>
          <w:sz w:val="32"/>
          <w:szCs w:val="32"/>
        </w:rPr>
        <w:t>万元,比上年增加</w:t>
      </w:r>
      <w:r>
        <w:rPr>
          <w:rFonts w:hint="eastAsia" w:ascii="仿宋" w:hAnsi="仿宋" w:eastAsia="仿宋"/>
          <w:bCs/>
          <w:sz w:val="32"/>
          <w:szCs w:val="32"/>
        </w:rPr>
        <w:t>0</w:t>
      </w:r>
      <w:r>
        <w:rPr>
          <w:rFonts w:ascii="仿宋" w:hAnsi="仿宋" w:eastAsia="仿宋"/>
          <w:bCs/>
          <w:sz w:val="32"/>
          <w:szCs w:val="32"/>
        </w:rPr>
        <w:t>万元。</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使用非财政拨款结余：填列历年滚存的非限定用途的非统计财政拨款结余弥补2022年收支差额的数额。</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pStyle w:val="4"/>
        <w:shd w:val="clear" w:color="auto" w:fill="FFFFFF"/>
        <w:spacing w:before="0" w:beforeAutospacing="0" w:after="0" w:afterAutospacing="0"/>
        <w:ind w:firstLine="640" w:firstLineChars="200"/>
        <w:rPr>
          <w:rFonts w:ascii="仿宋_GB2312" w:hAnsi="Calibri" w:eastAsia="仿宋_GB2312" w:cs="仿宋_GB2312"/>
          <w:kern w:val="2"/>
          <w:sz w:val="32"/>
          <w:szCs w:val="32"/>
        </w:rPr>
      </w:pPr>
      <w:r>
        <w:rPr>
          <w:rFonts w:hint="eastAsia" w:ascii="仿宋_GB2312" w:eastAsia="仿宋_GB2312"/>
          <w:color w:val="000000"/>
          <w:sz w:val="32"/>
          <w:szCs w:val="30"/>
        </w:rPr>
        <w:t>对部门预算中涉及的支出功能分类科目（明细到项级），结合部门实际，参照《2022年政府收支分类科目》的规范说明进行解释。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widowControl/>
        <w:spacing w:line="600" w:lineRule="exact"/>
        <w:ind w:firstLine="640" w:firstLineChars="200"/>
        <w:jc w:val="left"/>
        <w:rPr>
          <w:rFonts w:ascii="仿宋_GB2312" w:eastAsia="仿宋_GB2312"/>
          <w:color w:val="000000"/>
          <w:sz w:val="32"/>
          <w:szCs w:val="30"/>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三、部门涉及的专业名词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由部门结合实际填写。</w:t>
      </w:r>
    </w:p>
    <w:p>
      <w:pPr>
        <w:pStyle w:val="8"/>
        <w:ind w:left="840" w:firstLine="405" w:firstLineChars="0"/>
        <w:jc w:val="center"/>
        <w:rPr>
          <w:rFonts w:ascii="宋体" w:hAnsi="宋体" w:cs="宋体"/>
          <w:b/>
          <w:bCs/>
          <w:sz w:val="32"/>
          <w:szCs w:val="32"/>
        </w:rPr>
      </w:pP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p>
    <w:p>
      <w:pPr>
        <w:rPr>
          <w:rFonts w:ascii="仿宋_GB2312" w:eastAsia="仿宋_GB2312" w:cs="仿宋_GB2312"/>
          <w:sz w:val="32"/>
          <w:szCs w:val="32"/>
        </w:rPr>
      </w:pPr>
    </w:p>
    <w:p>
      <w:pPr>
        <w:pStyle w:val="8"/>
        <w:ind w:left="840" w:firstLine="405" w:firstLineChars="0"/>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76BF4453"/>
    <w:multiLevelType w:val="multilevel"/>
    <w:tmpl w:val="76BF4453"/>
    <w:lvl w:ilvl="0" w:tentative="0">
      <w:start w:val="1"/>
      <w:numFmt w:val="decimal"/>
      <w:lvlText w:val="%1）"/>
      <w:lvlJc w:val="left"/>
      <w:pPr>
        <w:ind w:left="1827" w:hanging="720"/>
      </w:pPr>
      <w:rPr>
        <w:rFonts w:hint="default"/>
      </w:rPr>
    </w:lvl>
    <w:lvl w:ilvl="1" w:tentative="0">
      <w:start w:val="1"/>
      <w:numFmt w:val="lowerLetter"/>
      <w:lvlText w:val="%2)"/>
      <w:lvlJc w:val="left"/>
      <w:pPr>
        <w:ind w:left="1947" w:hanging="420"/>
      </w:pPr>
    </w:lvl>
    <w:lvl w:ilvl="2" w:tentative="0">
      <w:start w:val="1"/>
      <w:numFmt w:val="lowerRoman"/>
      <w:lvlText w:val="%3."/>
      <w:lvlJc w:val="right"/>
      <w:pPr>
        <w:ind w:left="2367" w:hanging="420"/>
      </w:pPr>
    </w:lvl>
    <w:lvl w:ilvl="3" w:tentative="0">
      <w:start w:val="1"/>
      <w:numFmt w:val="decimal"/>
      <w:lvlText w:val="%4."/>
      <w:lvlJc w:val="left"/>
      <w:pPr>
        <w:ind w:left="2787" w:hanging="420"/>
      </w:pPr>
    </w:lvl>
    <w:lvl w:ilvl="4" w:tentative="0">
      <w:start w:val="1"/>
      <w:numFmt w:val="lowerLetter"/>
      <w:lvlText w:val="%5)"/>
      <w:lvlJc w:val="left"/>
      <w:pPr>
        <w:ind w:left="3207" w:hanging="420"/>
      </w:pPr>
    </w:lvl>
    <w:lvl w:ilvl="5" w:tentative="0">
      <w:start w:val="1"/>
      <w:numFmt w:val="lowerRoman"/>
      <w:lvlText w:val="%6."/>
      <w:lvlJc w:val="right"/>
      <w:pPr>
        <w:ind w:left="3627" w:hanging="420"/>
      </w:pPr>
    </w:lvl>
    <w:lvl w:ilvl="6" w:tentative="0">
      <w:start w:val="1"/>
      <w:numFmt w:val="decimal"/>
      <w:lvlText w:val="%7."/>
      <w:lvlJc w:val="left"/>
      <w:pPr>
        <w:ind w:left="4047" w:hanging="420"/>
      </w:pPr>
    </w:lvl>
    <w:lvl w:ilvl="7" w:tentative="0">
      <w:start w:val="1"/>
      <w:numFmt w:val="lowerLetter"/>
      <w:lvlText w:val="%8)"/>
      <w:lvlJc w:val="left"/>
      <w:pPr>
        <w:ind w:left="4467" w:hanging="420"/>
      </w:pPr>
    </w:lvl>
    <w:lvl w:ilvl="8" w:tentative="0">
      <w:start w:val="1"/>
      <w:numFmt w:val="lowerRoman"/>
      <w:lvlText w:val="%9."/>
      <w:lvlJc w:val="right"/>
      <w:pPr>
        <w:ind w:left="488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revisionView w:markup="0"/>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OGFkNjllYjRiYWE5MzVjNzFjYjhlMzQyM2E4ODcifQ=="/>
  </w:docVars>
  <w:rsids>
    <w:rsidRoot w:val="00276A3F"/>
    <w:rsid w:val="000279EC"/>
    <w:rsid w:val="00040585"/>
    <w:rsid w:val="0008795D"/>
    <w:rsid w:val="000A1557"/>
    <w:rsid w:val="000C1036"/>
    <w:rsid w:val="000F1540"/>
    <w:rsid w:val="000F3B79"/>
    <w:rsid w:val="00100FAC"/>
    <w:rsid w:val="001416D3"/>
    <w:rsid w:val="001514F7"/>
    <w:rsid w:val="00194E37"/>
    <w:rsid w:val="001C53F5"/>
    <w:rsid w:val="001D7D19"/>
    <w:rsid w:val="00203644"/>
    <w:rsid w:val="002239D2"/>
    <w:rsid w:val="00233676"/>
    <w:rsid w:val="00257EEA"/>
    <w:rsid w:val="002649D0"/>
    <w:rsid w:val="00275ACF"/>
    <w:rsid w:val="00276A3F"/>
    <w:rsid w:val="002C5339"/>
    <w:rsid w:val="002E0531"/>
    <w:rsid w:val="002E2333"/>
    <w:rsid w:val="0030266A"/>
    <w:rsid w:val="00304A3B"/>
    <w:rsid w:val="00340C6D"/>
    <w:rsid w:val="00346A31"/>
    <w:rsid w:val="0039120A"/>
    <w:rsid w:val="003A4860"/>
    <w:rsid w:val="003E606C"/>
    <w:rsid w:val="00411804"/>
    <w:rsid w:val="00461FDA"/>
    <w:rsid w:val="00464515"/>
    <w:rsid w:val="00495497"/>
    <w:rsid w:val="004A5AA1"/>
    <w:rsid w:val="004B2A5C"/>
    <w:rsid w:val="004E7C8F"/>
    <w:rsid w:val="00581065"/>
    <w:rsid w:val="00591E1B"/>
    <w:rsid w:val="005C5583"/>
    <w:rsid w:val="005D00B5"/>
    <w:rsid w:val="00623B21"/>
    <w:rsid w:val="00626F6D"/>
    <w:rsid w:val="00663ECF"/>
    <w:rsid w:val="006807F9"/>
    <w:rsid w:val="00694064"/>
    <w:rsid w:val="006A6BF9"/>
    <w:rsid w:val="006D6C48"/>
    <w:rsid w:val="006F19B1"/>
    <w:rsid w:val="00702778"/>
    <w:rsid w:val="00707967"/>
    <w:rsid w:val="00715E59"/>
    <w:rsid w:val="00725483"/>
    <w:rsid w:val="007552E0"/>
    <w:rsid w:val="00773CDC"/>
    <w:rsid w:val="007829EC"/>
    <w:rsid w:val="007B6D84"/>
    <w:rsid w:val="007E4E69"/>
    <w:rsid w:val="007F3C89"/>
    <w:rsid w:val="0082011A"/>
    <w:rsid w:val="00830FD4"/>
    <w:rsid w:val="008337F6"/>
    <w:rsid w:val="00846110"/>
    <w:rsid w:val="00862FD1"/>
    <w:rsid w:val="008E4F0D"/>
    <w:rsid w:val="00966DB9"/>
    <w:rsid w:val="00975A60"/>
    <w:rsid w:val="009A2DD9"/>
    <w:rsid w:val="009B3B1E"/>
    <w:rsid w:val="009C2E58"/>
    <w:rsid w:val="009F0093"/>
    <w:rsid w:val="00A57261"/>
    <w:rsid w:val="00A65F2B"/>
    <w:rsid w:val="00A94AD7"/>
    <w:rsid w:val="00A957D1"/>
    <w:rsid w:val="00AB7D3C"/>
    <w:rsid w:val="00AE6D58"/>
    <w:rsid w:val="00B21BFD"/>
    <w:rsid w:val="00B4528C"/>
    <w:rsid w:val="00BA7E9C"/>
    <w:rsid w:val="00BB5965"/>
    <w:rsid w:val="00BB6E1F"/>
    <w:rsid w:val="00BC16A6"/>
    <w:rsid w:val="00BC1E7D"/>
    <w:rsid w:val="00BD05A4"/>
    <w:rsid w:val="00BE3048"/>
    <w:rsid w:val="00BF6314"/>
    <w:rsid w:val="00BF67F7"/>
    <w:rsid w:val="00C03C7D"/>
    <w:rsid w:val="00C05E18"/>
    <w:rsid w:val="00C461A8"/>
    <w:rsid w:val="00C57935"/>
    <w:rsid w:val="00C63248"/>
    <w:rsid w:val="00D04E22"/>
    <w:rsid w:val="00D33822"/>
    <w:rsid w:val="00D4682D"/>
    <w:rsid w:val="00DA110A"/>
    <w:rsid w:val="00DA4D66"/>
    <w:rsid w:val="00DC3A2F"/>
    <w:rsid w:val="00DE1AF0"/>
    <w:rsid w:val="00E040E4"/>
    <w:rsid w:val="00E4286F"/>
    <w:rsid w:val="00E62FD2"/>
    <w:rsid w:val="00E807B6"/>
    <w:rsid w:val="00E90991"/>
    <w:rsid w:val="00EA03A4"/>
    <w:rsid w:val="00ED50C0"/>
    <w:rsid w:val="00F130BE"/>
    <w:rsid w:val="00F16746"/>
    <w:rsid w:val="00F51BBC"/>
    <w:rsid w:val="04763F31"/>
    <w:rsid w:val="114920D6"/>
    <w:rsid w:val="1C453EB2"/>
    <w:rsid w:val="30946515"/>
    <w:rsid w:val="345D55C6"/>
    <w:rsid w:val="38EE4A0F"/>
    <w:rsid w:val="4CD22D17"/>
    <w:rsid w:val="7E457CC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locked/>
    <w:uiPriority w:val="99"/>
    <w:rPr>
      <w:sz w:val="18"/>
      <w:szCs w:val="18"/>
    </w:rPr>
  </w:style>
  <w:style w:type="character" w:customStyle="1" w:styleId="10">
    <w:name w:val="页脚 Char"/>
    <w:basedOn w:val="6"/>
    <w:link w:val="2"/>
    <w:locked/>
    <w:uiPriority w:val="99"/>
    <w:rPr>
      <w:sz w:val="18"/>
      <w:szCs w:val="18"/>
    </w:rPr>
  </w:style>
  <w:style w:type="paragraph" w:customStyle="1" w:styleId="11">
    <w:name w:val="p0"/>
    <w:basedOn w:val="1"/>
    <w:uiPriority w:val="0"/>
    <w:pPr>
      <w:widowControl/>
    </w:pPr>
    <w:rPr>
      <w:rFonts w:ascii="Times New Roman" w:hAnsi="Times New Roman" w:cs="Times New Roman"/>
      <w:kern w:val="0"/>
    </w:rPr>
  </w:style>
  <w:style w:type="character" w:customStyle="1" w:styleId="12">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2797</Words>
  <Characters>3058</Characters>
  <Lines>33</Lines>
  <Paragraphs>9</Paragraphs>
  <TotalTime>87</TotalTime>
  <ScaleCrop>false</ScaleCrop>
  <LinksUpToDate>false</LinksUpToDate>
  <CharactersWithSpaces>3118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白泽</cp:lastModifiedBy>
  <cp:lastPrinted>2018-04-23T08:18:00Z</cp:lastPrinted>
  <dcterms:modified xsi:type="dcterms:W3CDTF">2023-05-04T09:23:29Z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854918BECB704B54B89EF015E9FA04DB_13</vt:lpwstr>
  </property>
</Properties>
</file>