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91F43" w14:textId="77777777" w:rsidR="00B96412" w:rsidRDefault="00000000">
      <w:pPr>
        <w:spacing w:line="600" w:lineRule="exact"/>
        <w:jc w:val="center"/>
        <w:rPr>
          <w:rFonts w:ascii="Times New Roman" w:eastAsia="方正小标宋简体" w:hAnsi="Times New Roman" w:cs="Times New Roman"/>
          <w:b/>
          <w:bCs/>
          <w:color w:val="000000"/>
          <w:sz w:val="44"/>
          <w:szCs w:val="44"/>
        </w:rPr>
      </w:pPr>
      <w:r>
        <w:rPr>
          <w:rFonts w:ascii="Times New Roman" w:eastAsia="方正小标宋简体" w:hAnsi="Times New Roman" w:cs="Times New Roman"/>
          <w:b/>
          <w:bCs/>
          <w:color w:val="000000"/>
          <w:sz w:val="44"/>
          <w:szCs w:val="44"/>
        </w:rPr>
        <w:t>九江市柴桑区</w:t>
      </w:r>
      <w:r>
        <w:rPr>
          <w:rFonts w:ascii="Times New Roman" w:eastAsia="方正小标宋简体" w:hAnsi="Times New Roman" w:cs="Times New Roman"/>
          <w:b/>
          <w:bCs/>
          <w:color w:val="000000"/>
          <w:sz w:val="44"/>
          <w:szCs w:val="44"/>
        </w:rPr>
        <w:t>202</w:t>
      </w:r>
      <w:r>
        <w:rPr>
          <w:rFonts w:ascii="Times New Roman" w:eastAsia="方正小标宋简体" w:hAnsi="Times New Roman" w:cs="Times New Roman" w:hint="eastAsia"/>
          <w:b/>
          <w:bCs/>
          <w:color w:val="000000"/>
          <w:sz w:val="44"/>
          <w:szCs w:val="44"/>
        </w:rPr>
        <w:t>3</w:t>
      </w:r>
      <w:r>
        <w:rPr>
          <w:rFonts w:ascii="Times New Roman" w:eastAsia="方正小标宋简体" w:hAnsi="Times New Roman" w:cs="Times New Roman"/>
          <w:b/>
          <w:bCs/>
          <w:color w:val="000000"/>
          <w:sz w:val="44"/>
          <w:szCs w:val="44"/>
        </w:rPr>
        <w:t>年</w:t>
      </w:r>
      <w:r>
        <w:rPr>
          <w:rFonts w:ascii="Times New Roman" w:eastAsia="方正小标宋简体" w:hAnsi="Times New Roman" w:cs="Times New Roman" w:hint="eastAsia"/>
          <w:b/>
          <w:bCs/>
          <w:color w:val="000000"/>
          <w:sz w:val="44"/>
          <w:szCs w:val="44"/>
        </w:rPr>
        <w:t>“</w:t>
      </w:r>
      <w:r>
        <w:rPr>
          <w:rFonts w:ascii="Times New Roman" w:eastAsia="方正小标宋简体" w:hAnsi="Times New Roman" w:cs="Times New Roman"/>
          <w:b/>
          <w:bCs/>
          <w:color w:val="000000"/>
          <w:sz w:val="44"/>
          <w:szCs w:val="44"/>
        </w:rPr>
        <w:t>五上</w:t>
      </w:r>
      <w:r>
        <w:rPr>
          <w:rFonts w:ascii="Times New Roman" w:eastAsia="方正小标宋简体" w:hAnsi="Times New Roman" w:cs="Times New Roman" w:hint="eastAsia"/>
          <w:b/>
          <w:bCs/>
          <w:color w:val="000000"/>
          <w:sz w:val="44"/>
          <w:szCs w:val="44"/>
        </w:rPr>
        <w:t>”</w:t>
      </w:r>
      <w:r>
        <w:rPr>
          <w:rFonts w:ascii="Times New Roman" w:eastAsia="方正小标宋简体" w:hAnsi="Times New Roman" w:cs="Times New Roman"/>
          <w:b/>
          <w:bCs/>
          <w:color w:val="000000"/>
          <w:sz w:val="44"/>
          <w:szCs w:val="44"/>
        </w:rPr>
        <w:t>企业培育</w:t>
      </w:r>
    </w:p>
    <w:p w14:paraId="7131381C" w14:textId="77777777" w:rsidR="00B96412" w:rsidRDefault="00000000">
      <w:pPr>
        <w:spacing w:line="600" w:lineRule="exact"/>
        <w:jc w:val="center"/>
        <w:rPr>
          <w:rFonts w:ascii="Times New Roman" w:eastAsia="方正小标宋简体" w:hAnsi="Times New Roman" w:cs="Times New Roman"/>
          <w:b/>
          <w:bCs/>
          <w:color w:val="000000"/>
          <w:sz w:val="44"/>
          <w:szCs w:val="44"/>
        </w:rPr>
      </w:pPr>
      <w:r>
        <w:rPr>
          <w:rFonts w:ascii="Times New Roman" w:eastAsia="方正小标宋简体" w:hAnsi="Times New Roman" w:cs="Times New Roman"/>
          <w:b/>
          <w:bCs/>
          <w:color w:val="000000"/>
          <w:sz w:val="44"/>
          <w:szCs w:val="44"/>
        </w:rPr>
        <w:t>入库工作方案</w:t>
      </w:r>
    </w:p>
    <w:p w14:paraId="0842843C" w14:textId="77777777" w:rsidR="00B96412" w:rsidRDefault="00000000">
      <w:pPr>
        <w:spacing w:line="600" w:lineRule="exact"/>
        <w:jc w:val="center"/>
        <w:rPr>
          <w:rFonts w:ascii="Times New Roman" w:eastAsia="楷体" w:hAnsi="Times New Roman" w:cs="Times New Roman"/>
          <w:b/>
          <w:bCs/>
          <w:color w:val="000000"/>
          <w:kern w:val="0"/>
          <w:sz w:val="32"/>
          <w:szCs w:val="32"/>
        </w:rPr>
      </w:pPr>
      <w:r>
        <w:rPr>
          <w:rFonts w:ascii="Times New Roman" w:eastAsia="楷体" w:hAnsi="Times New Roman" w:cs="Times New Roman"/>
          <w:b/>
          <w:bCs/>
          <w:color w:val="000000"/>
          <w:kern w:val="0"/>
          <w:sz w:val="32"/>
          <w:szCs w:val="32"/>
        </w:rPr>
        <w:t>（征求意见稿）</w:t>
      </w:r>
    </w:p>
    <w:p w14:paraId="7AD7A139" w14:textId="77777777" w:rsidR="00B96412" w:rsidRDefault="00B96412">
      <w:pPr>
        <w:spacing w:line="600" w:lineRule="exact"/>
        <w:jc w:val="center"/>
        <w:rPr>
          <w:rFonts w:ascii="Times New Roman" w:eastAsia="方正小标宋简体" w:hAnsi="Times New Roman" w:cs="Times New Roman"/>
          <w:b/>
          <w:bCs/>
          <w:color w:val="000000"/>
          <w:sz w:val="44"/>
          <w:szCs w:val="44"/>
        </w:rPr>
      </w:pPr>
    </w:p>
    <w:p w14:paraId="3D510716"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sz w:val="32"/>
          <w:szCs w:val="32"/>
        </w:rPr>
        <w:t>真实反映全市市场主体情况，提前为今年开展的全</w:t>
      </w:r>
      <w:r>
        <w:rPr>
          <w:rFonts w:ascii="仿宋_GB2312" w:eastAsia="仿宋_GB2312" w:hAnsi="仿宋_GB2312" w:cs="仿宋_GB2312" w:hint="eastAsia"/>
          <w:sz w:val="32"/>
          <w:szCs w:val="32"/>
        </w:rPr>
        <w:t>区</w:t>
      </w:r>
      <w:r>
        <w:rPr>
          <w:rFonts w:ascii="仿宋_GB2312" w:eastAsia="仿宋_GB2312" w:hAnsi="仿宋_GB2312" w:cs="仿宋_GB2312"/>
          <w:sz w:val="32"/>
          <w:szCs w:val="32"/>
        </w:rPr>
        <w:t>第五次全国经济普查工作奠定良好基础，</w:t>
      </w:r>
      <w:r>
        <w:rPr>
          <w:rFonts w:ascii="Times New Roman" w:eastAsia="仿宋_GB2312" w:hAnsi="Times New Roman" w:cs="Times New Roman"/>
          <w:color w:val="000000"/>
          <w:kern w:val="0"/>
          <w:sz w:val="32"/>
          <w:szCs w:val="32"/>
        </w:rPr>
        <w:t>进一步加强我区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企业（规模以上工业企业、限额以上批零住餐企业、规模以上服务业企业、有资质的建筑业企业和房地产开发经营企业）</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培育</w:t>
      </w:r>
      <w:r>
        <w:rPr>
          <w:rFonts w:ascii="Times New Roman" w:eastAsia="仿宋_GB2312" w:hAnsi="Times New Roman" w:cs="Times New Roman" w:hint="eastAsia"/>
          <w:color w:val="000000"/>
          <w:kern w:val="0"/>
          <w:sz w:val="32"/>
          <w:szCs w:val="32"/>
        </w:rPr>
        <w:t>和</w:t>
      </w:r>
      <w:r>
        <w:rPr>
          <w:rFonts w:ascii="Times New Roman" w:eastAsia="仿宋_GB2312" w:hAnsi="Times New Roman" w:cs="Times New Roman"/>
          <w:color w:val="000000"/>
          <w:kern w:val="0"/>
          <w:sz w:val="32"/>
          <w:szCs w:val="32"/>
        </w:rPr>
        <w:t>入库工作，建立</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企业培育入库长效机制，更大力度支持实体经济发展，结合我区实际，</w:t>
      </w:r>
      <w:r>
        <w:rPr>
          <w:rFonts w:ascii="Times New Roman" w:eastAsia="仿宋_GB2312" w:hAnsi="Times New Roman" w:cs="Times New Roman" w:hint="eastAsia"/>
          <w:color w:val="000000"/>
          <w:kern w:val="0"/>
          <w:sz w:val="32"/>
          <w:szCs w:val="32"/>
        </w:rPr>
        <w:t>特</w:t>
      </w:r>
      <w:r>
        <w:rPr>
          <w:rFonts w:ascii="Times New Roman" w:eastAsia="仿宋_GB2312" w:hAnsi="Times New Roman" w:cs="Times New Roman"/>
          <w:color w:val="000000"/>
          <w:kern w:val="0"/>
          <w:sz w:val="32"/>
          <w:szCs w:val="32"/>
        </w:rPr>
        <w:t>制定本</w:t>
      </w:r>
      <w:r>
        <w:rPr>
          <w:rFonts w:ascii="Times New Roman" w:eastAsia="仿宋_GB2312" w:hAnsi="Times New Roman" w:cs="Times New Roman" w:hint="eastAsia"/>
          <w:color w:val="000000"/>
          <w:kern w:val="0"/>
          <w:sz w:val="32"/>
          <w:szCs w:val="32"/>
        </w:rPr>
        <w:t>工作</w:t>
      </w:r>
      <w:r>
        <w:rPr>
          <w:rFonts w:ascii="Times New Roman" w:eastAsia="仿宋_GB2312" w:hAnsi="Times New Roman" w:cs="Times New Roman"/>
          <w:color w:val="000000"/>
          <w:kern w:val="0"/>
          <w:sz w:val="32"/>
          <w:szCs w:val="32"/>
        </w:rPr>
        <w:t>方案。</w:t>
      </w:r>
    </w:p>
    <w:p w14:paraId="6889A8BD" w14:textId="77777777" w:rsidR="00B96412" w:rsidRDefault="00000000">
      <w:pPr>
        <w:spacing w:line="60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一、工作目标</w:t>
      </w:r>
    </w:p>
    <w:p w14:paraId="041B3B06"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按照</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企业抓增长、达标企业抓入库、临规企业抓培育、新建企业抓跟踪总体思路，坚持创新发展，促进</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企业调结构、扩总量，强管理、上水平，有效提高</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企业对经济增长贡献率，促进全区经济平稳快速发展。确保实现全年</w:t>
      </w:r>
      <w:r>
        <w:rPr>
          <w:rFonts w:ascii="Times New Roman" w:eastAsia="仿宋_GB2312" w:hAnsi="Times New Roman" w:cs="Times New Roman" w:hint="eastAsia"/>
          <w:color w:val="000000"/>
          <w:kern w:val="0"/>
          <w:sz w:val="32"/>
          <w:szCs w:val="32"/>
        </w:rPr>
        <w:t>“五上”</w:t>
      </w:r>
      <w:r>
        <w:rPr>
          <w:rFonts w:ascii="Times New Roman" w:eastAsia="仿宋_GB2312" w:hAnsi="Times New Roman" w:cs="Times New Roman"/>
          <w:color w:val="000000"/>
          <w:kern w:val="0"/>
          <w:sz w:val="32"/>
          <w:szCs w:val="32"/>
        </w:rPr>
        <w:t>企业</w:t>
      </w:r>
      <w:r>
        <w:rPr>
          <w:rFonts w:ascii="Times New Roman" w:eastAsia="仿宋_GB2312" w:hAnsi="Times New Roman" w:cs="Times New Roman" w:hint="eastAsia"/>
          <w:color w:val="000000"/>
          <w:kern w:val="0"/>
          <w:sz w:val="32"/>
          <w:szCs w:val="32"/>
        </w:rPr>
        <w:t>100</w:t>
      </w:r>
      <w:r>
        <w:rPr>
          <w:rFonts w:ascii="Times New Roman" w:eastAsia="仿宋_GB2312" w:hAnsi="Times New Roman" w:cs="Times New Roman"/>
          <w:color w:val="000000"/>
          <w:kern w:val="0"/>
          <w:sz w:val="32"/>
          <w:szCs w:val="32"/>
        </w:rPr>
        <w:t>户的入库目标，其中规模以上工业企业</w:t>
      </w:r>
      <w:r>
        <w:rPr>
          <w:rFonts w:ascii="Times New Roman" w:eastAsia="仿宋_GB2312" w:hAnsi="Times New Roman" w:cs="Times New Roman" w:hint="eastAsia"/>
          <w:color w:val="000000"/>
          <w:kern w:val="0"/>
          <w:sz w:val="32"/>
          <w:szCs w:val="32"/>
        </w:rPr>
        <w:t>30</w:t>
      </w:r>
      <w:r>
        <w:rPr>
          <w:rFonts w:ascii="Times New Roman" w:eastAsia="仿宋_GB2312" w:hAnsi="Times New Roman" w:cs="Times New Roman"/>
          <w:color w:val="000000"/>
          <w:kern w:val="0"/>
          <w:sz w:val="32"/>
          <w:szCs w:val="32"/>
        </w:rPr>
        <w:t>户；限额以上商贸企业</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0</w:t>
      </w:r>
      <w:r>
        <w:rPr>
          <w:rFonts w:ascii="Times New Roman" w:eastAsia="仿宋_GB2312" w:hAnsi="Times New Roman" w:cs="Times New Roman"/>
          <w:color w:val="000000"/>
          <w:kern w:val="0"/>
          <w:sz w:val="32"/>
          <w:szCs w:val="32"/>
        </w:rPr>
        <w:t>户；规模以上服务业企业</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0</w:t>
      </w:r>
      <w:r>
        <w:rPr>
          <w:rFonts w:ascii="Times New Roman" w:eastAsia="仿宋_GB2312" w:hAnsi="Times New Roman" w:cs="Times New Roman"/>
          <w:color w:val="000000"/>
          <w:kern w:val="0"/>
          <w:sz w:val="32"/>
          <w:szCs w:val="32"/>
        </w:rPr>
        <w:t>户；资质建筑企业</w:t>
      </w:r>
      <w:r>
        <w:rPr>
          <w:rFonts w:ascii="Times New Roman" w:eastAsia="仿宋_GB2312" w:hAnsi="Times New Roman" w:cs="Times New Roman" w:hint="eastAsia"/>
          <w:color w:val="000000"/>
          <w:kern w:val="0"/>
          <w:sz w:val="32"/>
          <w:szCs w:val="32"/>
        </w:rPr>
        <w:t>和</w:t>
      </w:r>
      <w:r>
        <w:rPr>
          <w:rFonts w:ascii="Times New Roman" w:eastAsia="仿宋_GB2312" w:hAnsi="Times New Roman" w:cs="Times New Roman"/>
          <w:color w:val="000000"/>
          <w:kern w:val="0"/>
          <w:sz w:val="32"/>
          <w:szCs w:val="32"/>
        </w:rPr>
        <w:t>房地产开发经营企业</w:t>
      </w:r>
      <w:r>
        <w:rPr>
          <w:rFonts w:ascii="Times New Roman" w:eastAsia="仿宋_GB2312" w:hAnsi="Times New Roman" w:cs="Times New Roman" w:hint="eastAsia"/>
          <w:color w:val="000000"/>
          <w:kern w:val="0"/>
          <w:sz w:val="32"/>
          <w:szCs w:val="32"/>
        </w:rPr>
        <w:t>30</w:t>
      </w:r>
      <w:r>
        <w:rPr>
          <w:rFonts w:ascii="Times New Roman" w:eastAsia="仿宋_GB2312" w:hAnsi="Times New Roman" w:cs="Times New Roman"/>
          <w:color w:val="000000"/>
          <w:kern w:val="0"/>
          <w:sz w:val="32"/>
          <w:szCs w:val="32"/>
        </w:rPr>
        <w:t>户。</w:t>
      </w:r>
    </w:p>
    <w:p w14:paraId="23B3F8EC" w14:textId="77777777" w:rsidR="00B96412" w:rsidRDefault="00000000">
      <w:pPr>
        <w:spacing w:line="60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二、工作举措</w:t>
      </w:r>
    </w:p>
    <w:p w14:paraId="4A6141DC"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（一）深入排查摸底</w:t>
      </w:r>
    </w:p>
    <w:p w14:paraId="102883BE"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按照</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统筹谋划、归口管理、分级负责、共同参与</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原则，区</w:t>
      </w:r>
      <w:r>
        <w:rPr>
          <w:rFonts w:ascii="Times New Roman" w:eastAsia="仿宋_GB2312" w:hAnsi="Times New Roman" w:cs="Times New Roman" w:hint="eastAsia"/>
          <w:color w:val="000000"/>
          <w:kern w:val="0"/>
          <w:sz w:val="32"/>
          <w:szCs w:val="32"/>
        </w:rPr>
        <w:t>工信</w:t>
      </w:r>
      <w:r>
        <w:rPr>
          <w:rFonts w:ascii="Times New Roman" w:eastAsia="仿宋_GB2312" w:hAnsi="Times New Roman" w:cs="Times New Roman"/>
          <w:color w:val="000000"/>
          <w:kern w:val="0"/>
          <w:sz w:val="32"/>
          <w:szCs w:val="32"/>
        </w:rPr>
        <w:t>局、区商务局、区发改委、区住建局等部门要</w:t>
      </w:r>
      <w:r>
        <w:rPr>
          <w:rFonts w:ascii="Times New Roman" w:eastAsia="仿宋_GB2312" w:hAnsi="Times New Roman" w:cs="Times New Roman"/>
          <w:color w:val="000000"/>
          <w:kern w:val="0"/>
          <w:sz w:val="32"/>
          <w:szCs w:val="32"/>
        </w:rPr>
        <w:lastRenderedPageBreak/>
        <w:t>牵头抓总，发挥好各相关职能部门的联动作用，形成工作合力，全面归集和分析税务、市场监管、金融、电力等部门涉企数据和信息，评估企业生产经营规模，及时筛选符合</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入规</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条件的企业，督促引导企业主动申报</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入规</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w:t>
      </w:r>
    </w:p>
    <w:p w14:paraId="7D52DC4C"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各职能部门要摸清牵头领域可培育的潜力企业名单，重点对从事工业、批零住宿餐饮业、服务业、建筑业和房地产企业法人进行调查摸底，对临规企业跟踪培育，全面掌握经营管理动态，达标后及时申报</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企业，做到应统尽统。</w:t>
      </w:r>
    </w:p>
    <w:p w14:paraId="6EDA4C5D"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（二）建立完善信息库</w:t>
      </w:r>
    </w:p>
    <w:p w14:paraId="47B07642"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建立</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重点企业培育库，将临规企业纳入</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重点企业培育库，实施动态管理，及时跟踪在库企业生产经营情况。积极引导营业收入已达到规模但未</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入规入统</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w:t>
      </w:r>
      <w:r>
        <w:rPr>
          <w:rFonts w:ascii="Times New Roman" w:eastAsia="仿宋_GB2312" w:hAnsi="Times New Roman" w:cs="Times New Roman" w:hint="eastAsia"/>
          <w:color w:val="000000"/>
          <w:kern w:val="0"/>
          <w:sz w:val="32"/>
          <w:szCs w:val="32"/>
        </w:rPr>
        <w:t>申报入库</w:t>
      </w:r>
      <w:r>
        <w:rPr>
          <w:rFonts w:ascii="Times New Roman" w:eastAsia="仿宋_GB2312" w:hAnsi="Times New Roman" w:cs="Times New Roman"/>
          <w:color w:val="000000"/>
          <w:kern w:val="0"/>
          <w:sz w:val="32"/>
          <w:szCs w:val="32"/>
        </w:rPr>
        <w:t>，做到应入尽入、应统尽统。</w:t>
      </w:r>
    </w:p>
    <w:p w14:paraId="57B5A029"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建立</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退规风险企业库</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，将存在退规风险的企业纳入</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退规风险企业库</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定期走访调研，及时掌握企业动态。除对产能严重过剩、过度消耗资源、产品档次低等企业通过市场淘汰出清外，对其他有潜力的企业，要整合政策和要素资源，帮助企业渡过难关、稳住生产经营，努力稳定存量企业。</w:t>
      </w:r>
    </w:p>
    <w:p w14:paraId="6DCE2B18"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（三）指导入规入统</w:t>
      </w:r>
    </w:p>
    <w:p w14:paraId="19582EA2"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区统计局</w:t>
      </w:r>
      <w:r>
        <w:rPr>
          <w:rFonts w:ascii="Times New Roman" w:eastAsia="仿宋_GB2312" w:hAnsi="Times New Roman" w:cs="Times New Roman"/>
          <w:color w:val="000000"/>
          <w:kern w:val="0"/>
          <w:sz w:val="32"/>
          <w:szCs w:val="32"/>
        </w:rPr>
        <w:t>全面分析涉企数据和信息，帮助指导企业做好资料整理申报和审核工作，提高申报时效和通过率。</w:t>
      </w:r>
      <w:r>
        <w:rPr>
          <w:rFonts w:ascii="Times New Roman" w:eastAsia="仿宋_GB2312" w:hAnsi="Times New Roman" w:cs="Times New Roman" w:hint="eastAsia"/>
          <w:color w:val="000000"/>
          <w:kern w:val="0"/>
          <w:sz w:val="32"/>
          <w:szCs w:val="32"/>
        </w:rPr>
        <w:t>各申</w:t>
      </w:r>
      <w:r>
        <w:rPr>
          <w:rFonts w:ascii="Times New Roman" w:eastAsia="仿宋_GB2312" w:hAnsi="Times New Roman" w:cs="Times New Roman" w:hint="eastAsia"/>
          <w:color w:val="000000"/>
          <w:kern w:val="0"/>
          <w:sz w:val="32"/>
          <w:szCs w:val="32"/>
        </w:rPr>
        <w:lastRenderedPageBreak/>
        <w:t>报单位要协助</w:t>
      </w:r>
      <w:r>
        <w:rPr>
          <w:rFonts w:ascii="Times New Roman" w:eastAsia="仿宋_GB2312" w:hAnsi="Times New Roman" w:cs="Times New Roman"/>
          <w:color w:val="000000"/>
          <w:kern w:val="0"/>
          <w:sz w:val="32"/>
          <w:szCs w:val="32"/>
        </w:rPr>
        <w:t>指导企业做好资料整理申报，提高申报实效和通过率，确保达到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五上标准</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的企业能够及时纳入统计。</w:t>
      </w:r>
    </w:p>
    <w:p w14:paraId="6701BA84"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强化区乡联动协作，</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企业培育牵头部门与各乡</w:t>
      </w:r>
      <w:r>
        <w:rPr>
          <w:rFonts w:ascii="Times New Roman" w:eastAsia="仿宋_GB2312" w:hAnsi="Times New Roman" w:cs="Times New Roman" w:hint="eastAsia"/>
          <w:color w:val="000000"/>
          <w:kern w:val="0"/>
          <w:sz w:val="32"/>
          <w:szCs w:val="32"/>
        </w:rPr>
        <w:t>（镇、场、街道）</w:t>
      </w:r>
      <w:r>
        <w:rPr>
          <w:rFonts w:ascii="Times New Roman" w:eastAsia="仿宋_GB2312" w:hAnsi="Times New Roman" w:cs="Times New Roman"/>
          <w:color w:val="000000"/>
          <w:kern w:val="0"/>
          <w:sz w:val="32"/>
          <w:szCs w:val="32"/>
        </w:rPr>
        <w:t>参照本方案制定工作目标和工作措施，明确年度目标任务、培育对象、时间节点、培育措施。牵头部门按照各自职责切实抓实抓细，主动与各乡镇保持密切联系，随时掌握工作进展，定期调度，形成工作合力，高质量完成</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企业的培育工作任务。</w:t>
      </w:r>
    </w:p>
    <w:p w14:paraId="485D4699" w14:textId="77777777" w:rsidR="00B96412" w:rsidRDefault="00000000">
      <w:pPr>
        <w:spacing w:line="60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三、工作保障</w:t>
      </w:r>
    </w:p>
    <w:p w14:paraId="3D6A43F5"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hint="eastAsia"/>
          <w:b/>
          <w:bCs/>
          <w:color w:val="000000"/>
          <w:kern w:val="0"/>
          <w:sz w:val="32"/>
          <w:szCs w:val="32"/>
        </w:rPr>
        <w:t>（一）加强组织领导</w:t>
      </w:r>
    </w:p>
    <w:p w14:paraId="30BDE8D1" w14:textId="77777777" w:rsidR="00B96412" w:rsidRDefault="00000000">
      <w:pPr>
        <w:spacing w:line="600" w:lineRule="exact"/>
        <w:ind w:left="60" w:right="60" w:firstLine="63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为顺利推进</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企业入库工作，完成年度目标任务，成立柴桑区</w:t>
      </w:r>
      <w:r>
        <w:rPr>
          <w:rFonts w:ascii="Times New Roman" w:eastAsia="仿宋_GB2312" w:hAnsi="Times New Roman" w:cs="Times New Roman"/>
          <w:color w:val="000000"/>
          <w:kern w:val="0"/>
          <w:sz w:val="32"/>
          <w:szCs w:val="32"/>
        </w:rPr>
        <w:t>2022</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企业培育工作领导小组，其组成人员如下：</w:t>
      </w:r>
    </w:p>
    <w:p w14:paraId="00997977" w14:textId="77777777" w:rsidR="00B96412" w:rsidRDefault="00000000">
      <w:pPr>
        <w:spacing w:line="600" w:lineRule="exact"/>
        <w:ind w:leftChars="29" w:left="61" w:right="60" w:firstLineChars="246" w:firstLine="787"/>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组</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长：</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潘</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光</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区委副书记、</w:t>
      </w:r>
      <w:r>
        <w:rPr>
          <w:rFonts w:ascii="Times New Roman" w:eastAsia="仿宋_GB2312" w:hAnsi="Times New Roman" w:cs="Times New Roman" w:hint="eastAsia"/>
          <w:color w:val="000000"/>
          <w:kern w:val="0"/>
          <w:sz w:val="32"/>
          <w:szCs w:val="32"/>
        </w:rPr>
        <w:t>区政府</w:t>
      </w:r>
      <w:r>
        <w:rPr>
          <w:rFonts w:ascii="Times New Roman" w:eastAsia="仿宋_GB2312" w:hAnsi="Times New Roman" w:cs="Times New Roman"/>
          <w:color w:val="000000"/>
          <w:kern w:val="0"/>
          <w:sz w:val="32"/>
          <w:szCs w:val="32"/>
        </w:rPr>
        <w:t>区长</w:t>
      </w:r>
    </w:p>
    <w:p w14:paraId="1AD56E0C" w14:textId="77777777" w:rsidR="00B96412" w:rsidRDefault="00000000">
      <w:pPr>
        <w:spacing w:line="600" w:lineRule="exact"/>
        <w:ind w:leftChars="29" w:left="61" w:right="60" w:firstLineChars="246" w:firstLine="787"/>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副组长：</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钱</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萍</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区委常委、</w:t>
      </w:r>
      <w:r>
        <w:rPr>
          <w:rFonts w:ascii="Times New Roman" w:eastAsia="仿宋_GB2312" w:hAnsi="Times New Roman" w:cs="Times New Roman" w:hint="eastAsia"/>
          <w:color w:val="000000"/>
          <w:kern w:val="0"/>
          <w:sz w:val="32"/>
          <w:szCs w:val="32"/>
        </w:rPr>
        <w:t>区政府</w:t>
      </w:r>
      <w:r>
        <w:rPr>
          <w:rFonts w:ascii="Times New Roman" w:eastAsia="仿宋_GB2312" w:hAnsi="Times New Roman" w:cs="Times New Roman"/>
          <w:color w:val="000000"/>
          <w:kern w:val="0"/>
          <w:sz w:val="32"/>
          <w:szCs w:val="32"/>
        </w:rPr>
        <w:t>常务副区长</w:t>
      </w:r>
    </w:p>
    <w:p w14:paraId="08EB9576"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黄</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河</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区委常委、区政府副区长</w:t>
      </w:r>
    </w:p>
    <w:p w14:paraId="50D17957" w14:textId="77777777" w:rsidR="00B96412" w:rsidRDefault="00000000">
      <w:pPr>
        <w:spacing w:line="600" w:lineRule="exact"/>
        <w:ind w:leftChars="29" w:left="61" w:right="60" w:firstLineChars="246" w:firstLine="787"/>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kern w:val="0"/>
          <w:sz w:val="32"/>
          <w:szCs w:val="32"/>
        </w:rPr>
        <w:t>杨建军</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副区长</w:t>
      </w:r>
    </w:p>
    <w:p w14:paraId="0F28D9E9"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吴</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笋</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副区长</w:t>
      </w:r>
    </w:p>
    <w:p w14:paraId="2D3C6C9A" w14:textId="77777777" w:rsidR="00B96412" w:rsidRDefault="00000000">
      <w:pPr>
        <w:spacing w:line="600" w:lineRule="exact"/>
        <w:ind w:leftChars="29" w:left="61" w:right="60" w:firstLineChars="246" w:firstLine="787"/>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成</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员：</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陈</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剑</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区政府党组成员、政府办主任</w:t>
      </w:r>
    </w:p>
    <w:p w14:paraId="021F2930"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张</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军</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区政府党组成员、财政局局长</w:t>
      </w:r>
    </w:p>
    <w:p w14:paraId="007BD6BB"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冯胜东</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区发改委</w:t>
      </w:r>
      <w:r>
        <w:rPr>
          <w:rFonts w:ascii="Times New Roman" w:eastAsia="仿宋_GB2312" w:hAnsi="Times New Roman" w:cs="Times New Roman" w:hint="eastAsia"/>
          <w:color w:val="000000"/>
          <w:kern w:val="0"/>
          <w:sz w:val="32"/>
          <w:szCs w:val="32"/>
        </w:rPr>
        <w:t>负责人</w:t>
      </w:r>
    </w:p>
    <w:p w14:paraId="29E97192"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殷</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雄</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区工信局局长</w:t>
      </w:r>
    </w:p>
    <w:p w14:paraId="7BB6A9E6"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赵送梁</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区商务局局长</w:t>
      </w:r>
    </w:p>
    <w:p w14:paraId="1923F8A4" w14:textId="77777777" w:rsidR="00B96412" w:rsidRDefault="00000000">
      <w:pPr>
        <w:spacing w:line="600" w:lineRule="exact"/>
        <w:ind w:leftChars="29" w:left="61" w:right="60" w:firstLineChars="246" w:firstLine="787"/>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 xml:space="preserve">         </w:t>
      </w:r>
      <w:r>
        <w:rPr>
          <w:rFonts w:ascii="Times New Roman" w:eastAsia="仿宋_GB2312" w:hAnsi="Times New Roman" w:cs="Times New Roman"/>
          <w:color w:val="000000"/>
          <w:kern w:val="0"/>
          <w:sz w:val="32"/>
          <w:szCs w:val="32"/>
        </w:rPr>
        <w:t>宋</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华</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区统计局局长</w:t>
      </w:r>
    </w:p>
    <w:p w14:paraId="1406729D"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桂</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舜</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区市场监督管理局局长</w:t>
      </w:r>
    </w:p>
    <w:p w14:paraId="5667AC01"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欧阳慕贞</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区税务局局长</w:t>
      </w:r>
    </w:p>
    <w:p w14:paraId="623E7A54" w14:textId="77777777" w:rsidR="00B96412" w:rsidRDefault="00000000">
      <w:pPr>
        <w:spacing w:line="600" w:lineRule="exact"/>
        <w:ind w:leftChars="1064" w:left="2234" w:right="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聂勇林</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沙城工业园区管委会主任</w:t>
      </w:r>
    </w:p>
    <w:p w14:paraId="11E7CBCC" w14:textId="77777777" w:rsidR="00B96412" w:rsidRDefault="00000000">
      <w:pPr>
        <w:spacing w:line="600" w:lineRule="exact"/>
        <w:ind w:leftChars="1064" w:left="2234" w:right="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汪子峰</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江洲镇镇长</w:t>
      </w:r>
    </w:p>
    <w:p w14:paraId="04821E70"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徐</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慎</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新洲垦殖场</w:t>
      </w:r>
      <w:r>
        <w:rPr>
          <w:rFonts w:ascii="Times New Roman" w:eastAsia="仿宋_GB2312" w:hAnsi="Times New Roman" w:cs="Times New Roman" w:hint="eastAsia"/>
          <w:color w:val="000000"/>
          <w:kern w:val="0"/>
          <w:sz w:val="32"/>
          <w:szCs w:val="32"/>
        </w:rPr>
        <w:t>党组书记、</w:t>
      </w:r>
      <w:r>
        <w:rPr>
          <w:rFonts w:ascii="Times New Roman" w:eastAsia="仿宋_GB2312" w:hAnsi="Times New Roman" w:cs="Times New Roman"/>
          <w:color w:val="000000"/>
          <w:kern w:val="0"/>
          <w:sz w:val="32"/>
          <w:szCs w:val="32"/>
        </w:rPr>
        <w:t>场长</w:t>
      </w:r>
    </w:p>
    <w:p w14:paraId="0ED6738D"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潘</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建</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城子镇镇长</w:t>
      </w:r>
    </w:p>
    <w:p w14:paraId="541B98ED"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陆洪锋</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港口街镇镇长</w:t>
      </w:r>
    </w:p>
    <w:p w14:paraId="41C6987C"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刘</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阳</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浔南街道党工委副书记</w:t>
      </w:r>
    </w:p>
    <w:p w14:paraId="7AD4A576"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黄志锋</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沙河街道办事处主任</w:t>
      </w:r>
    </w:p>
    <w:p w14:paraId="4ADC8698"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姚</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琼</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狮子街道办事处主任</w:t>
      </w:r>
    </w:p>
    <w:p w14:paraId="09245043"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吴佳彬</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城门街道办事处主任</w:t>
      </w:r>
    </w:p>
    <w:p w14:paraId="5127C20D"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李洪亮</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新合镇镇长</w:t>
      </w:r>
    </w:p>
    <w:p w14:paraId="7D4C50E6"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刘</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春</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新塘乡乡长</w:t>
      </w:r>
    </w:p>
    <w:p w14:paraId="73C88222"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吕</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清</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涌泉乡乡长</w:t>
      </w:r>
    </w:p>
    <w:p w14:paraId="6E3558D8"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叶朋林</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马回岭镇镇长</w:t>
      </w:r>
    </w:p>
    <w:p w14:paraId="0F9E5879"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凌</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钢</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岷山乡乡长</w:t>
      </w:r>
    </w:p>
    <w:p w14:paraId="48B4D321" w14:textId="77777777" w:rsidR="00B96412" w:rsidRDefault="00000000">
      <w:pPr>
        <w:spacing w:line="600" w:lineRule="exact"/>
        <w:ind w:right="60"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凌</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勇</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岷山公益林场党组书记、场长</w:t>
      </w:r>
    </w:p>
    <w:p w14:paraId="5C14632A" w14:textId="77777777" w:rsidR="00B96412" w:rsidRDefault="00000000">
      <w:pPr>
        <w:spacing w:line="600" w:lineRule="exact"/>
        <w:ind w:right="60" w:firstLineChars="250" w:firstLine="80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领导小组下设办公室，办公室设在区统计局，由宋华同志兼任办公室主任，负责领导小组日常工作。</w:t>
      </w:r>
    </w:p>
    <w:p w14:paraId="152D3BB8"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b/>
          <w:bCs/>
          <w:color w:val="000000"/>
          <w:kern w:val="0"/>
          <w:sz w:val="32"/>
          <w:szCs w:val="32"/>
        </w:rPr>
        <w:t>（二）加强监测调度</w:t>
      </w:r>
    </w:p>
    <w:p w14:paraId="0358C62F"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建立由区</w:t>
      </w:r>
      <w:r>
        <w:rPr>
          <w:rFonts w:ascii="Times New Roman" w:eastAsia="仿宋_GB2312" w:hAnsi="Times New Roman" w:cs="Times New Roman" w:hint="eastAsia"/>
          <w:color w:val="000000"/>
          <w:kern w:val="0"/>
          <w:sz w:val="32"/>
          <w:szCs w:val="32"/>
        </w:rPr>
        <w:t>工信</w:t>
      </w:r>
      <w:r>
        <w:rPr>
          <w:rFonts w:ascii="Times New Roman" w:eastAsia="仿宋_GB2312" w:hAnsi="Times New Roman" w:cs="Times New Roman"/>
          <w:color w:val="000000"/>
          <w:kern w:val="0"/>
          <w:sz w:val="32"/>
          <w:szCs w:val="32"/>
        </w:rPr>
        <w:t>局、区商务局、区发改委、区住建局</w:t>
      </w:r>
      <w:r>
        <w:rPr>
          <w:rFonts w:ascii="Times New Roman" w:eastAsia="仿宋_GB2312" w:hAnsi="Times New Roman" w:cs="Times New Roman" w:hint="eastAsia"/>
          <w:color w:val="000000"/>
          <w:kern w:val="0"/>
          <w:sz w:val="32"/>
          <w:szCs w:val="32"/>
        </w:rPr>
        <w:t>、区统计局</w:t>
      </w:r>
      <w:r>
        <w:rPr>
          <w:rFonts w:ascii="Times New Roman" w:eastAsia="仿宋_GB2312" w:hAnsi="Times New Roman" w:cs="Times New Roman"/>
          <w:color w:val="000000"/>
          <w:kern w:val="0"/>
          <w:sz w:val="32"/>
          <w:szCs w:val="32"/>
        </w:rPr>
        <w:t>牵头，市场监管、税务</w:t>
      </w:r>
      <w:r>
        <w:rPr>
          <w:rFonts w:ascii="Times New Roman" w:eastAsia="仿宋_GB2312" w:hAnsi="Times New Roman" w:cs="Times New Roman" w:hint="eastAsia"/>
          <w:color w:val="000000"/>
          <w:kern w:val="0"/>
          <w:sz w:val="32"/>
          <w:szCs w:val="32"/>
        </w:rPr>
        <w:t>、供电</w:t>
      </w:r>
      <w:r>
        <w:rPr>
          <w:rFonts w:ascii="Times New Roman" w:eastAsia="仿宋_GB2312" w:hAnsi="Times New Roman" w:cs="Times New Roman"/>
          <w:color w:val="000000"/>
          <w:kern w:val="0"/>
          <w:sz w:val="32"/>
          <w:szCs w:val="32"/>
        </w:rPr>
        <w:t>等相关部门协同配合的</w:t>
      </w:r>
      <w:r>
        <w:rPr>
          <w:rFonts w:ascii="Times New Roman" w:eastAsia="仿宋_GB2312" w:hAnsi="Times New Roman" w:cs="Times New Roman"/>
          <w:color w:val="000000"/>
          <w:kern w:val="0"/>
          <w:sz w:val="32"/>
          <w:szCs w:val="32"/>
        </w:rPr>
        <w:lastRenderedPageBreak/>
        <w:t>工作机制，实时掌握新增、净增企业数，以及在库在报、保基数和退库企业等情况，</w:t>
      </w:r>
      <w:r>
        <w:rPr>
          <w:rFonts w:ascii="Times New Roman" w:eastAsia="仿宋_GB2312" w:hAnsi="Times New Roman" w:cs="Times New Roman" w:hint="eastAsia"/>
          <w:color w:val="000000"/>
          <w:kern w:val="0"/>
          <w:sz w:val="32"/>
          <w:szCs w:val="32"/>
        </w:rPr>
        <w:t>加强监测预警，</w:t>
      </w:r>
      <w:r>
        <w:rPr>
          <w:rFonts w:ascii="Times New Roman" w:eastAsia="仿宋_GB2312" w:hAnsi="Times New Roman" w:cs="Times New Roman"/>
          <w:color w:val="000000"/>
          <w:kern w:val="0"/>
          <w:sz w:val="32"/>
          <w:szCs w:val="32"/>
        </w:rPr>
        <w:t>开展专题分析，提出对策建议。</w:t>
      </w:r>
    </w:p>
    <w:p w14:paraId="7FB79F5C"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b/>
          <w:bCs/>
          <w:color w:val="000000"/>
          <w:kern w:val="0"/>
          <w:sz w:val="32"/>
          <w:szCs w:val="32"/>
        </w:rPr>
        <w:t>（三）加强宣传引导</w:t>
      </w:r>
    </w:p>
    <w:p w14:paraId="426985A8"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以各部门排查摸底出的符合</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入规入统</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条件的企业、个体户为重点，充分利用网络、广播、电视、微信公众号等媒介，以政策推送、在线解答等方式开展政策宣传服务，持续加强对</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企业优惠条件等扶持政策的宣传工作，为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五上</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企业培育工作创造良好工作氛围，提升政策覆盖面和知晓率，引导企业积极申报</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入规入统</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w:t>
      </w:r>
    </w:p>
    <w:p w14:paraId="653953F9" w14:textId="77777777" w:rsidR="00B96412" w:rsidRDefault="00000000">
      <w:pPr>
        <w:overflowPunct w:val="0"/>
        <w:autoSpaceDE w:val="0"/>
        <w:autoSpaceDN w:val="0"/>
        <w:adjustRightInd w:val="0"/>
        <w:snapToGrid w:val="0"/>
        <w:spacing w:line="600" w:lineRule="exact"/>
        <w:ind w:firstLineChars="200" w:firstLine="640"/>
        <w:rPr>
          <w:rFonts w:ascii="Times New Roman" w:eastAsia="黑体" w:hAnsi="Times New Roman" w:cs="Times New Roman"/>
          <w:sz w:val="32"/>
          <w:szCs w:val="32"/>
        </w:rPr>
      </w:pPr>
      <w:r>
        <w:rPr>
          <w:rFonts w:ascii="黑体" w:eastAsia="黑体" w:hAnsi="黑体" w:cs="黑体" w:hint="eastAsia"/>
          <w:color w:val="000000"/>
          <w:kern w:val="0"/>
          <w:sz w:val="32"/>
          <w:szCs w:val="32"/>
        </w:rPr>
        <w:t>四、</w:t>
      </w:r>
      <w:r>
        <w:rPr>
          <w:rFonts w:ascii="Times New Roman" w:eastAsia="黑体" w:hAnsi="Times New Roman" w:cs="Times New Roman"/>
          <w:sz w:val="32"/>
          <w:szCs w:val="32"/>
        </w:rPr>
        <w:t>奖惩措施</w:t>
      </w:r>
    </w:p>
    <w:p w14:paraId="63575E68"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b/>
          <w:bCs/>
          <w:color w:val="000000"/>
          <w:kern w:val="0"/>
          <w:sz w:val="32"/>
          <w:szCs w:val="32"/>
        </w:rPr>
        <w:t>（一） 加大奖励力度</w:t>
      </w:r>
    </w:p>
    <w:p w14:paraId="29CDABA7" w14:textId="77777777" w:rsidR="00B96412" w:rsidRDefault="00000000">
      <w:pPr>
        <w:overflowPunct w:val="0"/>
        <w:autoSpaceDE w:val="0"/>
        <w:autoSpaceDN w:val="0"/>
        <w:adjustRightInd w:val="0"/>
        <w:snapToGri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、区政府对新申规企业，每户奖励</w:t>
      </w:r>
      <w:r>
        <w:rPr>
          <w:rFonts w:ascii="Times New Roman" w:eastAsia="仿宋" w:hAnsi="Times New Roman" w:cs="Times New Roman"/>
          <w:sz w:val="32"/>
          <w:szCs w:val="32"/>
        </w:rPr>
        <w:t>3</w:t>
      </w:r>
      <w:r>
        <w:rPr>
          <w:rFonts w:ascii="Times New Roman" w:eastAsia="仿宋" w:hAnsi="Times New Roman" w:cs="Times New Roman"/>
          <w:sz w:val="32"/>
          <w:szCs w:val="32"/>
        </w:rPr>
        <w:t>万元，同时给予服务单位</w:t>
      </w:r>
      <w:r>
        <w:rPr>
          <w:rFonts w:ascii="Times New Roman" w:eastAsia="仿宋" w:hAnsi="Times New Roman" w:cs="Times New Roman"/>
          <w:sz w:val="32"/>
          <w:szCs w:val="32"/>
        </w:rPr>
        <w:t>2</w:t>
      </w:r>
      <w:r>
        <w:rPr>
          <w:rFonts w:ascii="Times New Roman" w:eastAsia="仿宋" w:hAnsi="Times New Roman" w:cs="Times New Roman"/>
          <w:sz w:val="32"/>
          <w:szCs w:val="32"/>
        </w:rPr>
        <w:t>万元、牵头单位和统计局各</w:t>
      </w:r>
      <w:r>
        <w:rPr>
          <w:rFonts w:ascii="Times New Roman" w:eastAsia="仿宋" w:hAnsi="Times New Roman" w:cs="Times New Roman"/>
          <w:sz w:val="32"/>
          <w:szCs w:val="32"/>
        </w:rPr>
        <w:t>5000</w:t>
      </w:r>
      <w:r>
        <w:rPr>
          <w:rFonts w:ascii="Times New Roman" w:eastAsia="仿宋" w:hAnsi="Times New Roman" w:cs="Times New Roman"/>
          <w:sz w:val="32"/>
          <w:szCs w:val="32"/>
        </w:rPr>
        <w:t>元的奖励，用作牵头单位开展培规工作经费和统计局对新申规企业业务培训经费。</w:t>
      </w:r>
      <w:r>
        <w:rPr>
          <w:rFonts w:ascii="Times New Roman" w:eastAsia="仿宋" w:hAnsi="Times New Roman" w:cs="Times New Roman" w:hint="eastAsia"/>
          <w:sz w:val="32"/>
          <w:szCs w:val="32"/>
        </w:rPr>
        <w:t>规上工业企业入库奖励</w:t>
      </w:r>
      <w:r>
        <w:rPr>
          <w:rFonts w:ascii="Times New Roman" w:eastAsia="仿宋_GB2312" w:hAnsi="Times New Roman" w:cs="Times New Roman" w:hint="eastAsia"/>
          <w:color w:val="000000"/>
          <w:kern w:val="0"/>
          <w:sz w:val="32"/>
          <w:szCs w:val="32"/>
        </w:rPr>
        <w:t>依据</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柴桑区支持工业经济高质量发展和科技创新的政策措施十四条</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柴字</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2022</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59</w:t>
      </w:r>
      <w:r>
        <w:rPr>
          <w:rFonts w:ascii="Times New Roman" w:eastAsia="仿宋_GB2312" w:hAnsi="Times New Roman" w:cs="Times New Roman"/>
          <w:color w:val="000000"/>
          <w:kern w:val="0"/>
          <w:sz w:val="32"/>
          <w:szCs w:val="32"/>
        </w:rPr>
        <w:t>号）对新入规</w:t>
      </w:r>
      <w:r>
        <w:rPr>
          <w:rFonts w:ascii="Times New Roman" w:eastAsia="仿宋_GB2312" w:hAnsi="Times New Roman" w:cs="Times New Roman" w:hint="eastAsia"/>
          <w:color w:val="000000"/>
          <w:kern w:val="0"/>
          <w:sz w:val="32"/>
          <w:szCs w:val="32"/>
        </w:rPr>
        <w:t>工业</w:t>
      </w:r>
      <w:r>
        <w:rPr>
          <w:rFonts w:ascii="Times New Roman" w:eastAsia="仿宋_GB2312" w:hAnsi="Times New Roman" w:cs="Times New Roman"/>
          <w:color w:val="000000"/>
          <w:kern w:val="0"/>
          <w:sz w:val="32"/>
          <w:szCs w:val="32"/>
        </w:rPr>
        <w:t>企业进行奖补。</w:t>
      </w:r>
    </w:p>
    <w:p w14:paraId="523EE069" w14:textId="77777777" w:rsidR="00B96412" w:rsidRDefault="00000000">
      <w:pPr>
        <w:overflowPunct w:val="0"/>
        <w:autoSpaceDE w:val="0"/>
        <w:autoSpaceDN w:val="0"/>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、在年终目标考核中奖励加分。对牵头单位完成年度目标任务后，每超额完成一家申规企业加</w:t>
      </w:r>
      <w:r>
        <w:rPr>
          <w:rFonts w:ascii="Times New Roman" w:eastAsia="仿宋" w:hAnsi="Times New Roman" w:cs="Times New Roman"/>
          <w:sz w:val="32"/>
          <w:szCs w:val="32"/>
        </w:rPr>
        <w:t>0.5</w:t>
      </w:r>
      <w:r>
        <w:rPr>
          <w:rFonts w:ascii="Times New Roman" w:eastAsia="仿宋" w:hAnsi="Times New Roman" w:cs="Times New Roman"/>
          <w:sz w:val="32"/>
          <w:szCs w:val="32"/>
        </w:rPr>
        <w:t>分，最多加</w:t>
      </w:r>
      <w:r>
        <w:rPr>
          <w:rFonts w:ascii="Times New Roman" w:eastAsia="仿宋" w:hAnsi="Times New Roman" w:cs="Times New Roman"/>
          <w:sz w:val="32"/>
          <w:szCs w:val="32"/>
        </w:rPr>
        <w:t>2</w:t>
      </w:r>
      <w:r>
        <w:rPr>
          <w:rFonts w:ascii="Times New Roman" w:eastAsia="仿宋" w:hAnsi="Times New Roman" w:cs="Times New Roman"/>
          <w:sz w:val="32"/>
          <w:szCs w:val="32"/>
        </w:rPr>
        <w:t>分；其他没有下达任务的单位，每申规一家企业加</w:t>
      </w:r>
      <w:r>
        <w:rPr>
          <w:rFonts w:ascii="Times New Roman" w:eastAsia="仿宋" w:hAnsi="Times New Roman" w:cs="Times New Roman"/>
          <w:sz w:val="32"/>
          <w:szCs w:val="32"/>
        </w:rPr>
        <w:t>0.5</w:t>
      </w:r>
      <w:r>
        <w:rPr>
          <w:rFonts w:ascii="Times New Roman" w:eastAsia="仿宋" w:hAnsi="Times New Roman" w:cs="Times New Roman"/>
          <w:sz w:val="32"/>
          <w:szCs w:val="32"/>
        </w:rPr>
        <w:t>分，最多加</w:t>
      </w:r>
      <w:r>
        <w:rPr>
          <w:rFonts w:ascii="Times New Roman" w:eastAsia="仿宋" w:hAnsi="Times New Roman" w:cs="Times New Roman"/>
          <w:sz w:val="32"/>
          <w:szCs w:val="32"/>
        </w:rPr>
        <w:t>2</w:t>
      </w:r>
      <w:r>
        <w:rPr>
          <w:rFonts w:ascii="Times New Roman" w:eastAsia="仿宋" w:hAnsi="Times New Roman" w:cs="Times New Roman"/>
          <w:sz w:val="32"/>
          <w:szCs w:val="32"/>
        </w:rPr>
        <w:t>分；对各乡（镇、场、街道）每净增一家申规企业加</w:t>
      </w:r>
      <w:r>
        <w:rPr>
          <w:rFonts w:ascii="Times New Roman" w:eastAsia="仿宋" w:hAnsi="Times New Roman" w:cs="Times New Roman"/>
          <w:sz w:val="32"/>
          <w:szCs w:val="32"/>
        </w:rPr>
        <w:t>0.5</w:t>
      </w:r>
      <w:r>
        <w:rPr>
          <w:rFonts w:ascii="Times New Roman" w:eastAsia="仿宋" w:hAnsi="Times New Roman" w:cs="Times New Roman"/>
          <w:sz w:val="32"/>
          <w:szCs w:val="32"/>
        </w:rPr>
        <w:t>分，最多加</w:t>
      </w:r>
      <w:r>
        <w:rPr>
          <w:rFonts w:ascii="Times New Roman" w:eastAsia="仿宋" w:hAnsi="Times New Roman" w:cs="Times New Roman"/>
          <w:sz w:val="32"/>
          <w:szCs w:val="32"/>
        </w:rPr>
        <w:t>2</w:t>
      </w:r>
      <w:r>
        <w:rPr>
          <w:rFonts w:ascii="Times New Roman" w:eastAsia="仿宋" w:hAnsi="Times New Roman" w:cs="Times New Roman"/>
          <w:sz w:val="32"/>
          <w:szCs w:val="32"/>
        </w:rPr>
        <w:t>分。</w:t>
      </w:r>
    </w:p>
    <w:p w14:paraId="51340591" w14:textId="77777777" w:rsidR="00B96412" w:rsidRDefault="00000000">
      <w:pPr>
        <w:spacing w:line="600" w:lineRule="exact"/>
        <w:ind w:firstLineChars="200" w:firstLine="643"/>
        <w:rPr>
          <w:rFonts w:ascii="宋体" w:eastAsia="宋体" w:hAnsi="宋体" w:cs="宋体" w:hint="eastAsia"/>
          <w:b/>
          <w:bCs/>
          <w:color w:val="000000"/>
          <w:kern w:val="0"/>
          <w:sz w:val="32"/>
          <w:szCs w:val="32"/>
        </w:rPr>
      </w:pPr>
      <w:r>
        <w:rPr>
          <w:rFonts w:ascii="宋体" w:eastAsia="宋体" w:hAnsi="宋体" w:cs="宋体"/>
          <w:b/>
          <w:bCs/>
          <w:color w:val="000000"/>
          <w:kern w:val="0"/>
          <w:sz w:val="32"/>
          <w:szCs w:val="32"/>
        </w:rPr>
        <w:lastRenderedPageBreak/>
        <w:t>（二） 加大处罚力度</w:t>
      </w:r>
    </w:p>
    <w:p w14:paraId="53C67B51" w14:textId="77777777" w:rsidR="00B96412" w:rsidRDefault="00000000">
      <w:pPr>
        <w:overflowPunct w:val="0"/>
        <w:autoSpaceDE w:val="0"/>
        <w:autoSpaceDN w:val="0"/>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、对牵头单位和各乡（镇、场、街道），经核查每漏报一家所属企业达到了</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入规</w:t>
      </w:r>
      <w:r>
        <w:rPr>
          <w:rFonts w:ascii="Times New Roman" w:eastAsia="仿宋" w:hAnsi="Times New Roman" w:cs="Times New Roman" w:hint="eastAsia"/>
          <w:sz w:val="32"/>
          <w:szCs w:val="32"/>
        </w:rPr>
        <w:t>”</w:t>
      </w:r>
      <w:r>
        <w:rPr>
          <w:rFonts w:ascii="Times New Roman" w:eastAsia="仿宋" w:hAnsi="Times New Roman" w:cs="Times New Roman"/>
          <w:sz w:val="32"/>
          <w:szCs w:val="32"/>
        </w:rPr>
        <w:t>条件而未入规的，取消年度综合先进单位评选资格。</w:t>
      </w:r>
    </w:p>
    <w:p w14:paraId="0075C4FF" w14:textId="77777777" w:rsidR="00B96412" w:rsidRDefault="00000000">
      <w:pPr>
        <w:overflowPunct w:val="0"/>
        <w:autoSpaceDE w:val="0"/>
        <w:autoSpaceDN w:val="0"/>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、对牵头单位和各乡（镇、场、街道），年度退库企业多于入库企业，退库入库企业相抵后超出的每一家退库企业，在年终目标考核中扣</w:t>
      </w:r>
      <w:r>
        <w:rPr>
          <w:rFonts w:ascii="Times New Roman" w:eastAsia="仿宋" w:hAnsi="Times New Roman" w:cs="Times New Roman"/>
          <w:sz w:val="32"/>
          <w:szCs w:val="32"/>
        </w:rPr>
        <w:t>0.5</w:t>
      </w:r>
      <w:r>
        <w:rPr>
          <w:rFonts w:ascii="Times New Roman" w:eastAsia="仿宋" w:hAnsi="Times New Roman" w:cs="Times New Roman"/>
          <w:sz w:val="32"/>
          <w:szCs w:val="32"/>
        </w:rPr>
        <w:t>分，最多扣</w:t>
      </w:r>
      <w:r>
        <w:rPr>
          <w:rFonts w:ascii="Times New Roman" w:eastAsia="仿宋" w:hAnsi="Times New Roman" w:cs="Times New Roman"/>
          <w:sz w:val="32"/>
          <w:szCs w:val="32"/>
        </w:rPr>
        <w:t>2</w:t>
      </w:r>
      <w:r>
        <w:rPr>
          <w:rFonts w:ascii="Times New Roman" w:eastAsia="仿宋" w:hAnsi="Times New Roman" w:cs="Times New Roman"/>
          <w:sz w:val="32"/>
          <w:szCs w:val="32"/>
        </w:rPr>
        <w:t>分。</w:t>
      </w:r>
    </w:p>
    <w:p w14:paraId="411313B3" w14:textId="77777777" w:rsidR="00B96412" w:rsidRDefault="00000000">
      <w:pPr>
        <w:spacing w:line="600" w:lineRule="exact"/>
        <w:ind w:left="60" w:right="60" w:firstLine="63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、对达到了</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入规</w:t>
      </w:r>
      <w:r>
        <w:rPr>
          <w:rFonts w:ascii="Times New Roman" w:eastAsia="仿宋" w:hAnsi="Times New Roman" w:cs="Times New Roman" w:hint="eastAsia"/>
          <w:sz w:val="32"/>
          <w:szCs w:val="32"/>
        </w:rPr>
        <w:t>”</w:t>
      </w:r>
      <w:r>
        <w:rPr>
          <w:rFonts w:ascii="Times New Roman" w:eastAsia="仿宋" w:hAnsi="Times New Roman" w:cs="Times New Roman"/>
          <w:sz w:val="32"/>
          <w:szCs w:val="32"/>
        </w:rPr>
        <w:t>条件而不申报的企业，暂时取消上级和本区优惠政策支持同时不予向上级转报申报项目资金；</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对已连续享受了两年</w:t>
      </w:r>
      <w:r>
        <w:rPr>
          <w:rFonts w:ascii="Times New Roman" w:eastAsia="仿宋" w:hAnsi="Times New Roman" w:cs="Times New Roman" w:hint="eastAsia"/>
          <w:sz w:val="32"/>
          <w:szCs w:val="32"/>
        </w:rPr>
        <w:t>“</w:t>
      </w:r>
      <w:r>
        <w:rPr>
          <w:rFonts w:ascii="Times New Roman" w:eastAsia="仿宋" w:hAnsi="Times New Roman" w:cs="Times New Roman"/>
          <w:sz w:val="32"/>
          <w:szCs w:val="32"/>
        </w:rPr>
        <w:t>财园通</w:t>
      </w:r>
      <w:r>
        <w:rPr>
          <w:rFonts w:ascii="Times New Roman" w:eastAsia="仿宋" w:hAnsi="Times New Roman" w:cs="Times New Roman" w:hint="eastAsia"/>
          <w:sz w:val="32"/>
          <w:szCs w:val="32"/>
        </w:rPr>
        <w:t>”</w:t>
      </w:r>
      <w:r>
        <w:rPr>
          <w:rFonts w:ascii="Times New Roman" w:eastAsia="仿宋" w:hAnsi="Times New Roman" w:cs="Times New Roman"/>
          <w:sz w:val="32"/>
          <w:szCs w:val="32"/>
        </w:rPr>
        <w:t>贷款支持仍不能</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入规</w:t>
      </w:r>
      <w:r>
        <w:rPr>
          <w:rFonts w:ascii="Times New Roman" w:eastAsia="仿宋" w:hAnsi="Times New Roman" w:cs="Times New Roman" w:hint="eastAsia"/>
          <w:sz w:val="32"/>
          <w:szCs w:val="32"/>
        </w:rPr>
        <w:t>”</w:t>
      </w:r>
      <w:r>
        <w:rPr>
          <w:rFonts w:ascii="Times New Roman" w:eastAsia="仿宋" w:hAnsi="Times New Roman" w:cs="Times New Roman"/>
          <w:sz w:val="32"/>
          <w:szCs w:val="32"/>
        </w:rPr>
        <w:t>的企业，减少</w:t>
      </w:r>
      <w:r>
        <w:rPr>
          <w:rFonts w:ascii="Times New Roman" w:eastAsia="仿宋" w:hAnsi="Times New Roman" w:cs="Times New Roman" w:hint="eastAsia"/>
          <w:sz w:val="32"/>
          <w:szCs w:val="32"/>
        </w:rPr>
        <w:t>“</w:t>
      </w:r>
      <w:r>
        <w:rPr>
          <w:rFonts w:ascii="Times New Roman" w:eastAsia="仿宋" w:hAnsi="Times New Roman" w:cs="Times New Roman"/>
          <w:sz w:val="32"/>
          <w:szCs w:val="32"/>
        </w:rPr>
        <w:t>财园通</w:t>
      </w:r>
      <w:r>
        <w:rPr>
          <w:rFonts w:ascii="Times New Roman" w:eastAsia="仿宋" w:hAnsi="Times New Roman" w:cs="Times New Roman" w:hint="eastAsia"/>
          <w:sz w:val="32"/>
          <w:szCs w:val="32"/>
        </w:rPr>
        <w:t>”</w:t>
      </w:r>
      <w:r>
        <w:rPr>
          <w:rFonts w:ascii="Times New Roman" w:eastAsia="仿宋" w:hAnsi="Times New Roman" w:cs="Times New Roman"/>
          <w:sz w:val="32"/>
          <w:szCs w:val="32"/>
        </w:rPr>
        <w:t>贷款的支持额度；并组织税务部门对该类企业重点核查。</w:t>
      </w:r>
    </w:p>
    <w:p w14:paraId="13E78230" w14:textId="77777777" w:rsidR="00B96412" w:rsidRDefault="00B96412">
      <w:pPr>
        <w:spacing w:line="600" w:lineRule="exact"/>
        <w:rPr>
          <w:rFonts w:ascii="Times New Roman" w:eastAsia="仿宋_GB2312" w:hAnsi="Times New Roman" w:cs="Times New Roman"/>
          <w:color w:val="000000"/>
          <w:kern w:val="0"/>
          <w:sz w:val="32"/>
          <w:szCs w:val="32"/>
        </w:rPr>
      </w:pPr>
    </w:p>
    <w:p w14:paraId="337A274E" w14:textId="77777777" w:rsidR="00B96412" w:rsidRDefault="0000000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附件：“五上”企业和投资项目的入库标准和流程</w:t>
      </w:r>
    </w:p>
    <w:p w14:paraId="7042BA31" w14:textId="77777777" w:rsidR="00B96412" w:rsidRDefault="00B96412"/>
    <w:p w14:paraId="4AEDE85B" w14:textId="77777777" w:rsidR="00B96412" w:rsidRDefault="00B96412"/>
    <w:p w14:paraId="23F7BCF5" w14:textId="77777777" w:rsidR="00B96412" w:rsidRDefault="00B96412">
      <w:pPr>
        <w:sectPr w:rsidR="00B96412">
          <w:pgSz w:w="11906" w:h="16838"/>
          <w:pgMar w:top="1440" w:right="1800" w:bottom="1440" w:left="1800" w:header="851" w:footer="992" w:gutter="0"/>
          <w:cols w:space="425"/>
          <w:docGrid w:type="lines" w:linePitch="312"/>
        </w:sectPr>
      </w:pPr>
    </w:p>
    <w:p w14:paraId="7218CAEF" w14:textId="77777777" w:rsidR="00B96412" w:rsidRDefault="00000000">
      <w:pPr>
        <w:spacing w:line="600" w:lineRule="exact"/>
        <w:rPr>
          <w:rFonts w:ascii="Times New Roman" w:eastAsia="宋体" w:hAnsi="Times New Roman" w:cs="Times New Roman"/>
          <w:b/>
          <w:bCs/>
          <w:sz w:val="32"/>
          <w:szCs w:val="32"/>
        </w:rPr>
      </w:pPr>
      <w:r>
        <w:rPr>
          <w:rFonts w:ascii="Times New Roman" w:eastAsia="宋体" w:hAnsi="Times New Roman" w:cs="Times New Roman"/>
          <w:b/>
          <w:bCs/>
          <w:sz w:val="32"/>
          <w:szCs w:val="32"/>
        </w:rPr>
        <w:lastRenderedPageBreak/>
        <w:t>附件</w:t>
      </w:r>
    </w:p>
    <w:p w14:paraId="3C2E1B0D" w14:textId="77777777" w:rsidR="00B96412" w:rsidRDefault="00000000">
      <w:pPr>
        <w:spacing w:line="600" w:lineRule="exact"/>
        <w:jc w:val="center"/>
        <w:rPr>
          <w:rFonts w:ascii="Times New Roman" w:eastAsia="宋体" w:hAnsi="Times New Roman" w:cs="Times New Roman"/>
          <w:b/>
          <w:bCs/>
          <w:sz w:val="44"/>
          <w:szCs w:val="44"/>
        </w:rPr>
      </w:pPr>
      <w:r>
        <w:rPr>
          <w:rFonts w:ascii="Times New Roman" w:eastAsia="宋体" w:hAnsi="Times New Roman" w:cs="Times New Roman" w:hint="eastAsia"/>
          <w:b/>
          <w:bCs/>
          <w:sz w:val="44"/>
          <w:szCs w:val="44"/>
        </w:rPr>
        <w:t>“</w:t>
      </w:r>
      <w:r>
        <w:rPr>
          <w:rFonts w:ascii="Times New Roman" w:eastAsia="宋体" w:hAnsi="Times New Roman" w:cs="Times New Roman"/>
          <w:b/>
          <w:bCs/>
          <w:sz w:val="44"/>
          <w:szCs w:val="44"/>
        </w:rPr>
        <w:t>五上</w:t>
      </w:r>
      <w:r>
        <w:rPr>
          <w:rFonts w:ascii="Times New Roman" w:eastAsia="宋体" w:hAnsi="Times New Roman" w:cs="Times New Roman" w:hint="eastAsia"/>
          <w:b/>
          <w:bCs/>
          <w:sz w:val="44"/>
          <w:szCs w:val="44"/>
        </w:rPr>
        <w:t>”</w:t>
      </w:r>
      <w:r>
        <w:rPr>
          <w:rFonts w:ascii="Times New Roman" w:eastAsia="宋体" w:hAnsi="Times New Roman" w:cs="Times New Roman"/>
          <w:b/>
          <w:bCs/>
          <w:sz w:val="44"/>
          <w:szCs w:val="44"/>
        </w:rPr>
        <w:t>企业入库标准</w:t>
      </w:r>
    </w:p>
    <w:p w14:paraId="4FD08EAC" w14:textId="77777777" w:rsidR="00B96412" w:rsidRDefault="00B96412">
      <w:pPr>
        <w:spacing w:line="600" w:lineRule="exact"/>
        <w:ind w:firstLineChars="200" w:firstLine="643"/>
        <w:rPr>
          <w:rFonts w:ascii="Times New Roman" w:eastAsia="黑体" w:hAnsi="Times New Roman" w:cs="Times New Roman"/>
          <w:b/>
          <w:bCs/>
          <w:sz w:val="32"/>
          <w:szCs w:val="32"/>
        </w:rPr>
      </w:pPr>
    </w:p>
    <w:p w14:paraId="0EFE4B3B" w14:textId="77777777" w:rsidR="00B96412"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五上</w:t>
      </w:r>
      <w:r>
        <w:rPr>
          <w:rFonts w:ascii="Times New Roman" w:eastAsia="仿宋" w:hAnsi="Times New Roman" w:cs="Times New Roman" w:hint="eastAsia"/>
          <w:sz w:val="32"/>
          <w:szCs w:val="32"/>
        </w:rPr>
        <w:t>”</w:t>
      </w:r>
      <w:r>
        <w:rPr>
          <w:rFonts w:ascii="Times New Roman" w:eastAsia="仿宋" w:hAnsi="Times New Roman" w:cs="Times New Roman"/>
          <w:sz w:val="32"/>
          <w:szCs w:val="32"/>
        </w:rPr>
        <w:t>企业是指规模以上工业企业、资质以内建筑业与房地产开发经营企业、限额以上批发和零售、住宿和餐饮业</w:t>
      </w:r>
      <w:r>
        <w:rPr>
          <w:rFonts w:ascii="Times New Roman" w:eastAsia="仿宋" w:hAnsi="Times New Roman" w:cs="Times New Roman"/>
          <w:sz w:val="32"/>
          <w:szCs w:val="32"/>
        </w:rPr>
        <w:t>(</w:t>
      </w:r>
      <w:r>
        <w:rPr>
          <w:rFonts w:ascii="Times New Roman" w:eastAsia="仿宋" w:hAnsi="Times New Roman" w:cs="Times New Roman"/>
          <w:sz w:val="32"/>
          <w:szCs w:val="32"/>
        </w:rPr>
        <w:t>简称贸易企业</w:t>
      </w:r>
      <w:r>
        <w:rPr>
          <w:rFonts w:ascii="Times New Roman" w:eastAsia="仿宋" w:hAnsi="Times New Roman" w:cs="Times New Roman"/>
          <w:sz w:val="32"/>
          <w:szCs w:val="32"/>
        </w:rPr>
        <w:t>)</w:t>
      </w:r>
      <w:r>
        <w:rPr>
          <w:rFonts w:ascii="Times New Roman" w:eastAsia="仿宋" w:hAnsi="Times New Roman" w:cs="Times New Roman"/>
          <w:sz w:val="32"/>
          <w:szCs w:val="32"/>
        </w:rPr>
        <w:t>和规模以上服务业企业。标准为：</w:t>
      </w:r>
    </w:p>
    <w:p w14:paraId="4C98DBBE" w14:textId="77777777" w:rsidR="00B96412" w:rsidRDefault="00000000">
      <w:pPr>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sz w:val="32"/>
          <w:szCs w:val="32"/>
        </w:rPr>
        <w:t>1</w:t>
      </w:r>
      <w:r>
        <w:rPr>
          <w:rFonts w:ascii="Times New Roman" w:eastAsia="黑体" w:hAnsi="Times New Roman" w:cs="Times New Roman"/>
          <w:sz w:val="32"/>
          <w:szCs w:val="32"/>
        </w:rPr>
        <w:t>、规模以上工业企业：</w:t>
      </w:r>
      <w:r>
        <w:rPr>
          <w:rFonts w:ascii="Times New Roman" w:eastAsia="仿宋" w:hAnsi="Times New Roman" w:cs="Times New Roman"/>
          <w:sz w:val="32"/>
          <w:szCs w:val="32"/>
        </w:rPr>
        <w:t>年主营业务收入达到</w:t>
      </w:r>
      <w:r>
        <w:rPr>
          <w:rFonts w:ascii="Times New Roman" w:eastAsia="仿宋" w:hAnsi="Times New Roman" w:cs="Times New Roman"/>
          <w:sz w:val="32"/>
          <w:szCs w:val="32"/>
        </w:rPr>
        <w:t>2000</w:t>
      </w:r>
      <w:r>
        <w:rPr>
          <w:rFonts w:ascii="Times New Roman" w:eastAsia="仿宋" w:hAnsi="Times New Roman" w:cs="Times New Roman"/>
          <w:sz w:val="32"/>
          <w:szCs w:val="32"/>
        </w:rPr>
        <w:t>万元以上工业法人企业。</w:t>
      </w:r>
    </w:p>
    <w:p w14:paraId="1F32E28A" w14:textId="77777777" w:rsidR="00B96412" w:rsidRDefault="00000000">
      <w:pPr>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sz w:val="32"/>
          <w:szCs w:val="32"/>
        </w:rPr>
        <w:t>2</w:t>
      </w:r>
      <w:r>
        <w:rPr>
          <w:rFonts w:ascii="Times New Roman" w:eastAsia="黑体" w:hAnsi="Times New Roman" w:cs="Times New Roman"/>
          <w:sz w:val="32"/>
          <w:szCs w:val="32"/>
        </w:rPr>
        <w:t>、资质内建筑业、房地产开发经营企业：</w:t>
      </w:r>
      <w:r>
        <w:rPr>
          <w:rFonts w:ascii="Times New Roman" w:eastAsia="仿宋" w:hAnsi="Times New Roman" w:cs="Times New Roman"/>
          <w:sz w:val="32"/>
          <w:szCs w:val="32"/>
        </w:rPr>
        <w:t>具有总承包、专业承包、劳务分包资质</w:t>
      </w:r>
      <w:r>
        <w:rPr>
          <w:rFonts w:ascii="Times New Roman" w:eastAsia="仿宋" w:hAnsi="Times New Roman" w:cs="Times New Roman"/>
          <w:sz w:val="32"/>
          <w:szCs w:val="32"/>
        </w:rPr>
        <w:t>(</w:t>
      </w:r>
      <w:r>
        <w:rPr>
          <w:rFonts w:ascii="Times New Roman" w:eastAsia="仿宋" w:hAnsi="Times New Roman" w:cs="Times New Roman"/>
          <w:sz w:val="32"/>
          <w:szCs w:val="32"/>
        </w:rPr>
        <w:t>拥有城乡建设部门颁发的《建筑业企业资质证书》</w:t>
      </w:r>
      <w:r>
        <w:rPr>
          <w:rFonts w:ascii="Times New Roman" w:eastAsia="仿宋" w:hAnsi="Times New Roman" w:cs="Times New Roman"/>
          <w:sz w:val="32"/>
          <w:szCs w:val="32"/>
        </w:rPr>
        <w:t> )</w:t>
      </w:r>
      <w:r>
        <w:rPr>
          <w:rFonts w:ascii="Times New Roman" w:eastAsia="仿宋" w:hAnsi="Times New Roman" w:cs="Times New Roman"/>
          <w:sz w:val="32"/>
          <w:szCs w:val="32"/>
        </w:rPr>
        <w:t>建筑业法人企业和全部房地产开经营法人企业。</w:t>
      </w:r>
    </w:p>
    <w:p w14:paraId="7E298BCA" w14:textId="77777777" w:rsidR="00B96412" w:rsidRDefault="00000000">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3</w:t>
      </w:r>
      <w:r>
        <w:rPr>
          <w:rFonts w:ascii="Times New Roman" w:eastAsia="黑体" w:hAnsi="Times New Roman" w:cs="Times New Roman"/>
          <w:sz w:val="32"/>
          <w:szCs w:val="32"/>
        </w:rPr>
        <w:t>、限额以上贸易企业：</w:t>
      </w:r>
    </w:p>
    <w:p w14:paraId="1AE4C569" w14:textId="77777777" w:rsidR="00B96412"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批发业：年主营业务收入达到</w:t>
      </w:r>
      <w:r>
        <w:rPr>
          <w:rFonts w:ascii="Times New Roman" w:eastAsia="仿宋" w:hAnsi="Times New Roman" w:cs="Times New Roman"/>
          <w:sz w:val="32"/>
          <w:szCs w:val="32"/>
        </w:rPr>
        <w:t>2000</w:t>
      </w:r>
      <w:r>
        <w:rPr>
          <w:rFonts w:ascii="Times New Roman" w:eastAsia="仿宋" w:hAnsi="Times New Roman" w:cs="Times New Roman"/>
          <w:sz w:val="32"/>
          <w:szCs w:val="32"/>
        </w:rPr>
        <w:t>万元及以上的批发业法人企业。</w:t>
      </w:r>
    </w:p>
    <w:p w14:paraId="55761EE4" w14:textId="77777777" w:rsidR="00B96412"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零售业：年主营业务收入达到</w:t>
      </w:r>
      <w:r>
        <w:rPr>
          <w:rFonts w:ascii="Times New Roman" w:eastAsia="仿宋" w:hAnsi="Times New Roman" w:cs="Times New Roman"/>
          <w:sz w:val="32"/>
          <w:szCs w:val="32"/>
        </w:rPr>
        <w:t>500</w:t>
      </w:r>
      <w:r>
        <w:rPr>
          <w:rFonts w:ascii="Times New Roman" w:eastAsia="仿宋" w:hAnsi="Times New Roman" w:cs="Times New Roman"/>
          <w:sz w:val="32"/>
          <w:szCs w:val="32"/>
        </w:rPr>
        <w:t>万元及以上的零售业法人企业。</w:t>
      </w:r>
    </w:p>
    <w:p w14:paraId="2F8BF130" w14:textId="77777777" w:rsidR="00B96412"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住宿业和餐饮业：年主营业务收入达到</w:t>
      </w:r>
      <w:r>
        <w:rPr>
          <w:rFonts w:ascii="Times New Roman" w:eastAsia="仿宋" w:hAnsi="Times New Roman" w:cs="Times New Roman"/>
          <w:sz w:val="32"/>
          <w:szCs w:val="32"/>
        </w:rPr>
        <w:t>200</w:t>
      </w:r>
      <w:r>
        <w:rPr>
          <w:rFonts w:ascii="Times New Roman" w:eastAsia="仿宋" w:hAnsi="Times New Roman" w:cs="Times New Roman"/>
          <w:sz w:val="32"/>
          <w:szCs w:val="32"/>
        </w:rPr>
        <w:t>万元及以上的住宿和餐饮业法人企业。</w:t>
      </w:r>
    </w:p>
    <w:p w14:paraId="26B0888B" w14:textId="77777777" w:rsidR="00B96412" w:rsidRDefault="00000000">
      <w:pPr>
        <w:numPr>
          <w:ilvl w:val="0"/>
          <w:numId w:val="1"/>
        </w:numPr>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sz w:val="32"/>
          <w:szCs w:val="32"/>
        </w:rPr>
        <w:t>规模以上服务业企业：</w:t>
      </w:r>
      <w:r>
        <w:rPr>
          <w:rFonts w:ascii="Times New Roman" w:eastAsia="仿宋" w:hAnsi="Times New Roman" w:cs="Times New Roman"/>
          <w:sz w:val="32"/>
          <w:szCs w:val="32"/>
        </w:rPr>
        <w:t>①</w:t>
      </w:r>
      <w:r>
        <w:rPr>
          <w:rFonts w:ascii="Times New Roman" w:eastAsia="仿宋" w:hAnsi="Times New Roman" w:cs="Times New Roman"/>
          <w:sz w:val="32"/>
          <w:szCs w:val="32"/>
        </w:rPr>
        <w:t>年营业收入</w:t>
      </w:r>
      <w:r>
        <w:rPr>
          <w:rFonts w:ascii="Times New Roman" w:eastAsia="仿宋" w:hAnsi="Times New Roman" w:cs="Times New Roman"/>
          <w:sz w:val="32"/>
          <w:szCs w:val="32"/>
        </w:rPr>
        <w:t>2000</w:t>
      </w:r>
      <w:r>
        <w:rPr>
          <w:rFonts w:ascii="Times New Roman" w:eastAsia="仿宋" w:hAnsi="Times New Roman" w:cs="Times New Roman"/>
          <w:sz w:val="32"/>
          <w:szCs w:val="32"/>
        </w:rPr>
        <w:t>万元及以上服务业法人单位，包括：交通运输、仓储和邮政业，信息传输、软件和信息技术服务业，水利、环境和公共设施管理业，卫生行业。</w:t>
      </w:r>
      <w:r>
        <w:rPr>
          <w:rFonts w:ascii="Times New Roman" w:eastAsia="仿宋" w:hAnsi="Times New Roman" w:cs="Times New Roman"/>
          <w:sz w:val="32"/>
          <w:szCs w:val="32"/>
        </w:rPr>
        <w:t>②</w:t>
      </w:r>
      <w:r>
        <w:rPr>
          <w:rFonts w:ascii="Times New Roman" w:eastAsia="仿宋" w:hAnsi="Times New Roman" w:cs="Times New Roman"/>
          <w:sz w:val="32"/>
          <w:szCs w:val="32"/>
        </w:rPr>
        <w:t>年营业收入</w:t>
      </w:r>
      <w:r>
        <w:rPr>
          <w:rFonts w:ascii="Times New Roman" w:eastAsia="仿宋" w:hAnsi="Times New Roman" w:cs="Times New Roman"/>
          <w:sz w:val="32"/>
          <w:szCs w:val="32"/>
        </w:rPr>
        <w:t>1000</w:t>
      </w:r>
      <w:r>
        <w:rPr>
          <w:rFonts w:ascii="Times New Roman" w:eastAsia="仿宋" w:hAnsi="Times New Roman" w:cs="Times New Roman"/>
          <w:sz w:val="32"/>
          <w:szCs w:val="32"/>
        </w:rPr>
        <w:t>万元及以上服务业法人</w:t>
      </w:r>
      <w:r>
        <w:rPr>
          <w:rFonts w:ascii="Times New Roman" w:eastAsia="仿宋" w:hAnsi="Times New Roman" w:cs="Times New Roman"/>
          <w:sz w:val="32"/>
          <w:szCs w:val="32"/>
        </w:rPr>
        <w:lastRenderedPageBreak/>
        <w:t>单位，包括：租赁和商务服务业，科学研究和技术服务业，教育以及物业管理、房地产中介服务、自由房地产经营活动和其他房地产业等行业。</w:t>
      </w:r>
      <w:r>
        <w:rPr>
          <w:rFonts w:ascii="Times New Roman" w:eastAsia="仿宋" w:hAnsi="Times New Roman" w:cs="Times New Roman"/>
          <w:sz w:val="32"/>
          <w:szCs w:val="32"/>
        </w:rPr>
        <w:t>③</w:t>
      </w:r>
      <w:r>
        <w:rPr>
          <w:rFonts w:ascii="Times New Roman" w:eastAsia="仿宋" w:hAnsi="Times New Roman" w:cs="Times New Roman"/>
          <w:sz w:val="32"/>
          <w:szCs w:val="32"/>
        </w:rPr>
        <w:t>年经营收入</w:t>
      </w:r>
      <w:r>
        <w:rPr>
          <w:rFonts w:ascii="Times New Roman" w:eastAsia="仿宋" w:hAnsi="Times New Roman" w:cs="Times New Roman"/>
          <w:sz w:val="32"/>
          <w:szCs w:val="32"/>
        </w:rPr>
        <w:t>500</w:t>
      </w:r>
      <w:r>
        <w:rPr>
          <w:rFonts w:ascii="Times New Roman" w:eastAsia="仿宋" w:hAnsi="Times New Roman" w:cs="Times New Roman"/>
          <w:sz w:val="32"/>
          <w:szCs w:val="32"/>
        </w:rPr>
        <w:t>万元及以上服务业法人单位，包括</w:t>
      </w:r>
      <w:r>
        <w:rPr>
          <w:rFonts w:ascii="Times New Roman" w:eastAsia="仿宋" w:hAnsi="Times New Roman" w:cs="Times New Roman"/>
          <w:sz w:val="32"/>
          <w:szCs w:val="32"/>
        </w:rPr>
        <w:t>:</w:t>
      </w:r>
      <w:r>
        <w:rPr>
          <w:rFonts w:ascii="Times New Roman" w:eastAsia="仿宋" w:hAnsi="Times New Roman" w:cs="Times New Roman"/>
          <w:sz w:val="32"/>
          <w:szCs w:val="32"/>
        </w:rPr>
        <w:t>居民服务、修理和其他服务业，文化、体育和娱乐业，社会工作行业。</w:t>
      </w:r>
    </w:p>
    <w:p w14:paraId="5D73089F" w14:textId="77777777" w:rsidR="00B96412" w:rsidRDefault="00B96412"/>
    <w:p w14:paraId="211EAA95" w14:textId="77777777" w:rsidR="00B96412" w:rsidRDefault="00B96412"/>
    <w:sectPr w:rsidR="00B96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F3555F"/>
    <w:multiLevelType w:val="singleLevel"/>
    <w:tmpl w:val="C1F3555F"/>
    <w:lvl w:ilvl="0">
      <w:start w:val="4"/>
      <w:numFmt w:val="decimal"/>
      <w:suff w:val="nothing"/>
      <w:lvlText w:val="%1、"/>
      <w:lvlJc w:val="left"/>
    </w:lvl>
  </w:abstractNum>
  <w:num w:numId="1" w16cid:durableId="178927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NkZGVlMjQzZTUyZGUwMWIyMzUyMzMzZDUwYzFjZWIifQ=="/>
  </w:docVars>
  <w:rsids>
    <w:rsidRoot w:val="3A010091"/>
    <w:rsid w:val="00772E62"/>
    <w:rsid w:val="00B96412"/>
    <w:rsid w:val="00C50D57"/>
    <w:rsid w:val="3A010091"/>
    <w:rsid w:val="65413261"/>
    <w:rsid w:val="7611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C3063"/>
  <w15:docId w15:val="{243277BA-5917-491C-837E-62E3CFB8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中华小当家</dc:creator>
  <cp:lastModifiedBy>孝晋 谢</cp:lastModifiedBy>
  <cp:revision>2</cp:revision>
  <dcterms:created xsi:type="dcterms:W3CDTF">2023-04-20T08:13:00Z</dcterms:created>
  <dcterms:modified xsi:type="dcterms:W3CDTF">2024-09-18T04:12:00Z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8C004CF398434C2B86D9F4B408DE008A_13</vt:lpwstr>
  </property>
</Properties>
</file>