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2023年6月份税收收入分析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6月份</w:t>
      </w:r>
      <w:r>
        <w:rPr>
          <w:rFonts w:hint="eastAsia" w:ascii="仿宋_GB2312" w:eastAsia="仿宋_GB2312"/>
          <w:sz w:val="32"/>
          <w:szCs w:val="32"/>
        </w:rPr>
        <w:t>全区共组织市局计划口径税收收入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1.28</w:t>
      </w:r>
      <w:r>
        <w:rPr>
          <w:rFonts w:hint="eastAsia" w:ascii="仿宋_GB2312" w:eastAsia="仿宋_GB2312"/>
          <w:sz w:val="32"/>
          <w:szCs w:val="32"/>
        </w:rPr>
        <w:t>亿元，同比</w:t>
      </w:r>
      <w:r>
        <w:rPr>
          <w:rFonts w:hint="eastAsia" w:ascii="仿宋_GB2312" w:eastAsia="仿宋_GB2312"/>
          <w:sz w:val="32"/>
          <w:szCs w:val="32"/>
          <w:lang w:eastAsia="zh-CN"/>
        </w:rPr>
        <w:t>减</w:t>
      </w:r>
      <w:r>
        <w:rPr>
          <w:rFonts w:hint="eastAsia" w:ascii="仿宋_GB2312" w:eastAsia="仿宋_GB2312"/>
          <w:sz w:val="32"/>
          <w:szCs w:val="32"/>
        </w:rPr>
        <w:t>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381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2.88</w:t>
      </w:r>
      <w:r>
        <w:rPr>
          <w:rFonts w:hint="eastAsia" w:ascii="仿宋_GB2312" w:eastAsia="仿宋_GB2312"/>
          <w:sz w:val="32"/>
          <w:szCs w:val="32"/>
        </w:rPr>
        <w:t>%。组织财政口径税收收入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1.27</w:t>
      </w:r>
      <w:r>
        <w:rPr>
          <w:rFonts w:hint="eastAsia" w:ascii="仿宋_GB2312" w:eastAsia="仿宋_GB2312"/>
          <w:sz w:val="32"/>
          <w:szCs w:val="32"/>
        </w:rPr>
        <w:t>亿元，</w:t>
      </w:r>
      <w:r>
        <w:rPr>
          <w:rFonts w:hint="eastAsia" w:ascii="仿宋_GB2312" w:hAnsi="宋体" w:eastAsia="仿宋_GB2312"/>
          <w:sz w:val="32"/>
          <w:szCs w:val="32"/>
        </w:rPr>
        <w:t>同比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减</w:t>
      </w:r>
      <w:r>
        <w:rPr>
          <w:rFonts w:hint="eastAsia" w:ascii="仿宋_GB2312" w:hAnsi="宋体" w:eastAsia="仿宋_GB2312"/>
          <w:sz w:val="32"/>
          <w:szCs w:val="32"/>
        </w:rPr>
        <w:t>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381</w:t>
      </w:r>
      <w:r>
        <w:rPr>
          <w:rFonts w:hint="eastAsia" w:ascii="仿宋_GB2312" w:hAnsi="宋体" w:eastAsia="仿宋_GB2312"/>
          <w:sz w:val="32"/>
          <w:szCs w:val="32"/>
        </w:rPr>
        <w:t>万元，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2.91</w:t>
      </w:r>
      <w:r>
        <w:rPr>
          <w:rFonts w:hint="eastAsia" w:ascii="仿宋_GB2312" w:eastAsia="仿宋_GB2312"/>
          <w:sz w:val="32"/>
          <w:szCs w:val="32"/>
        </w:rPr>
        <w:t>%。</w:t>
      </w:r>
      <w:r>
        <w:rPr>
          <w:rFonts w:hint="eastAsia" w:ascii="仿宋_GB2312" w:eastAsia="仿宋_GB2312"/>
          <w:sz w:val="32"/>
          <w:szCs w:val="32"/>
          <w:lang w:eastAsia="zh-CN"/>
        </w:rPr>
        <w:t>其中一般公共预算税收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5724万元，同比增收282万元，增长5.18%。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1-6月</w:t>
      </w:r>
      <w:r>
        <w:rPr>
          <w:rFonts w:hint="eastAsia" w:ascii="仿宋_GB2312" w:eastAsia="仿宋_GB2312"/>
          <w:sz w:val="32"/>
          <w:szCs w:val="32"/>
        </w:rPr>
        <w:t>全区共组织市局计划口径税收收入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10.85</w:t>
      </w:r>
      <w:r>
        <w:rPr>
          <w:rFonts w:hint="eastAsia" w:ascii="仿宋_GB2312" w:eastAsia="仿宋_GB2312"/>
          <w:sz w:val="32"/>
          <w:szCs w:val="32"/>
        </w:rPr>
        <w:t>亿元，同比</w:t>
      </w:r>
      <w:r>
        <w:rPr>
          <w:rFonts w:hint="eastAsia" w:ascii="仿宋_GB2312" w:eastAsia="仿宋_GB2312"/>
          <w:sz w:val="32"/>
          <w:szCs w:val="32"/>
          <w:lang w:eastAsia="zh-CN"/>
        </w:rPr>
        <w:t>减收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1.01亿</w:t>
      </w:r>
      <w:r>
        <w:rPr>
          <w:rFonts w:hint="eastAsia" w:ascii="仿宋_GB2312" w:eastAsia="仿宋_GB2312"/>
          <w:sz w:val="32"/>
          <w:szCs w:val="32"/>
        </w:rPr>
        <w:t>元，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8.55</w:t>
      </w:r>
      <w:r>
        <w:rPr>
          <w:rFonts w:hint="eastAsia" w:ascii="仿宋_GB2312" w:eastAsia="仿宋_GB2312"/>
          <w:sz w:val="32"/>
          <w:szCs w:val="32"/>
        </w:rPr>
        <w:t>%。组织财政口径税收收入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10.78</w:t>
      </w:r>
      <w:r>
        <w:rPr>
          <w:rFonts w:hint="eastAsia" w:ascii="仿宋_GB2312" w:eastAsia="仿宋_GB2312"/>
          <w:sz w:val="32"/>
          <w:szCs w:val="32"/>
        </w:rPr>
        <w:t>亿元，</w:t>
      </w:r>
      <w:r>
        <w:rPr>
          <w:rFonts w:hint="eastAsia" w:ascii="仿宋_GB2312" w:hAnsi="宋体" w:eastAsia="仿宋_GB2312"/>
          <w:sz w:val="32"/>
          <w:szCs w:val="32"/>
        </w:rPr>
        <w:t>同比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减收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1亿</w:t>
      </w:r>
      <w:r>
        <w:rPr>
          <w:rFonts w:hint="eastAsia" w:ascii="仿宋_GB2312" w:hAnsi="宋体" w:eastAsia="仿宋_GB2312"/>
          <w:sz w:val="32"/>
          <w:szCs w:val="32"/>
        </w:rPr>
        <w:t>元，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减少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8.49</w:t>
      </w:r>
      <w:r>
        <w:rPr>
          <w:rFonts w:hint="eastAsia" w:ascii="仿宋_GB2312" w:eastAsia="仿宋_GB2312"/>
          <w:sz w:val="32"/>
          <w:szCs w:val="32"/>
        </w:rPr>
        <w:t>%。</w:t>
      </w:r>
      <w:r>
        <w:rPr>
          <w:rFonts w:hint="eastAsia" w:ascii="仿宋_GB2312" w:eastAsia="仿宋_GB2312"/>
          <w:sz w:val="32"/>
          <w:szCs w:val="32"/>
          <w:lang w:eastAsia="zh-CN"/>
        </w:rPr>
        <w:t>其中一般公共预算税收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4.49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亿元，同比减收2923万元，减少5.87%。</w:t>
      </w:r>
    </w:p>
    <w:p>
      <w:pPr>
        <w:spacing w:line="360" w:lineRule="auto"/>
        <w:ind w:firstLine="640" w:firstLineChars="200"/>
        <w:outlineLvl w:val="0"/>
        <w:rPr>
          <w:rFonts w:ascii="黑体" w:hAnsi="宋体" w:eastAsia="黑体"/>
          <w:b w:val="0"/>
          <w:bCs/>
          <w:sz w:val="32"/>
          <w:szCs w:val="32"/>
        </w:rPr>
      </w:pPr>
      <w:r>
        <w:rPr>
          <w:rFonts w:hint="eastAsia" w:ascii="黑体" w:hAnsi="宋体" w:eastAsia="黑体"/>
          <w:b w:val="0"/>
          <w:bCs/>
          <w:sz w:val="32"/>
          <w:szCs w:val="32"/>
        </w:rPr>
        <w:t>一、主要特点</w:t>
      </w:r>
    </w:p>
    <w:p>
      <w:pPr>
        <w:numPr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（一）税种收入“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7增8减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”</w:t>
      </w:r>
      <w:r>
        <w:rPr>
          <w:rFonts w:hint="eastAsia" w:ascii="楷体_GB2312" w:eastAsia="楷体_GB2312"/>
          <w:b/>
          <w:sz w:val="32"/>
          <w:szCs w:val="32"/>
        </w:rPr>
        <w:t>。</w:t>
      </w:r>
      <w:r>
        <w:rPr>
          <w:rFonts w:hint="eastAsia" w:ascii="仿宋_GB2312" w:eastAsia="仿宋_GB2312"/>
          <w:spacing w:val="-12"/>
          <w:sz w:val="32"/>
          <w:szCs w:val="32"/>
          <w:lang w:val="en-US" w:eastAsia="zh-CN"/>
        </w:rPr>
        <w:t>上半年城市维护建设税入库3237万元，同比增收320万元，增长10.98%；土地增值税入库2387万元，同比增收1342万元，增长128.33%；增值税入库6.94亿元，同比减收5937万元，减少7.88%；城镇土地使用税入库725万元，同比减收641万元，减少46.91%；企业所得税入库1.88亿元，同比减收3927万元，减少17.3%；契税入库4015万元，同比减收891万元，减少18.15%。</w:t>
      </w:r>
    </w:p>
    <w:p>
      <w:pPr>
        <w:numPr>
          <w:numId w:val="0"/>
        </w:numPr>
        <w:ind w:firstLine="643" w:firstLineChars="200"/>
        <w:rPr>
          <w:rFonts w:hint="default" w:ascii="楷体_GB2312" w:hAnsi="仿宋_GB2312" w:eastAsia="楷体_GB2312" w:cs="仿宋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（二）二产减收明显。</w:t>
      </w:r>
      <w:r>
        <w:rPr>
          <w:rFonts w:hint="eastAsia" w:ascii="仿宋_GB2312" w:eastAsia="仿宋_GB2312"/>
          <w:spacing w:val="-12"/>
          <w:sz w:val="32"/>
          <w:szCs w:val="32"/>
          <w:lang w:val="en-US" w:eastAsia="zh-CN"/>
        </w:rPr>
        <w:t>上半年入库二产税收5.17亿元，同比减收1.12亿元，减少17.76%，其中工业税收3.67亿元，同比减收8535万元，减少18.86%；制造业上半年入库税收3.12亿元，同比减收8129万元，减少20.68%。。</w:t>
      </w:r>
    </w:p>
    <w:p>
      <w:pPr>
        <w:numPr>
          <w:numId w:val="0"/>
        </w:numPr>
        <w:ind w:firstLine="643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（三）重点税源表现欠佳。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上半年入库税收100万元以上企业170户，较上年同期增加12户，税收100万元以上企业总税收数7.28亿元，较上年同期减少2.15亿元，下降22.8%，其中城门山铜矿入库4358万元，同比减收997万元，减少19%；康迅实业入库1473万元，同比减收1102万元，减少31%，鑫山水泥入库138万元，同比减收5664万元，减少98%，九轩环保入库0.4万元，同比减收4942万元，减少100%。</w:t>
      </w:r>
    </w:p>
    <w:p>
      <w:pPr>
        <w:overflowPunct w:val="0"/>
        <w:ind w:firstLine="640" w:firstLineChars="200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二</w:t>
      </w:r>
      <w:r>
        <w:rPr>
          <w:rFonts w:hint="eastAsia" w:ascii="黑体" w:eastAsia="黑体"/>
          <w:sz w:val="32"/>
          <w:szCs w:val="32"/>
        </w:rPr>
        <w:t>、</w:t>
      </w:r>
      <w:r>
        <w:rPr>
          <w:rFonts w:hint="eastAsia" w:ascii="黑体" w:eastAsia="黑体"/>
          <w:sz w:val="32"/>
          <w:szCs w:val="32"/>
          <w:lang w:eastAsia="zh-CN"/>
        </w:rPr>
        <w:t>下一步工作打算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（一）尽力完成税收目标，算好收入总账。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我局将紧扣一般公共预算税收目标，切实抓好组织收入工作，特别是地方小税种的税款征收工作，力争完成区政府下达的税收目标。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（二）强化地方税种征管。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进一步深入开展税源建设，做强地方税。持续开展工业增值税清算、房土两税普查等工作，加强与发改、自然资源、规划、住建等外部信息比对，及时掌握相关批文信息和资产盘活信息，确保税款及时足额入库。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2"/>
        </w:rPr>
        <w:t>做好</w:t>
      </w:r>
      <w:r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2"/>
          <w:lang w:eastAsia="zh-CN"/>
        </w:rPr>
        <w:t>优化税收营商环境工作</w:t>
      </w:r>
      <w:r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继续增强税收专业化辅导团队的工作力度，充分发挥税收职能作用，做到对纳税人辅导全方位、全覆盖。持续深化“放管服”改革，同时积极为政府招商引资建言献策，认真服务重大项目引进落地，助力柴桑区经济高质量跨越式发展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61C57"/>
    <w:rsid w:val="02161C57"/>
    <w:rsid w:val="05814FFE"/>
    <w:rsid w:val="0B4E6D2E"/>
    <w:rsid w:val="249E7E6A"/>
    <w:rsid w:val="27E52449"/>
    <w:rsid w:val="3F032E19"/>
    <w:rsid w:val="4B8D7B7B"/>
    <w:rsid w:val="5CE915DA"/>
    <w:rsid w:val="65F14606"/>
    <w:rsid w:val="78605BB8"/>
    <w:rsid w:val="7F15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2023-07-04T07:55:00Z</dcterms:created>
  <dc:creator>邹丽玲</dc:creator>
  <cp:lastModifiedBy>徐世杰</cp:lastModifiedBy>
  <cp:lastPrinted>2023-07-05T08:49:43Z</cp:lastPrinted>
  <dcterms:modified xsi:type="dcterms:W3CDTF">2023-07-05T09:15:01Z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