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D4835">
      <w:pPr>
        <w:spacing w:line="560" w:lineRule="exact"/>
        <w:jc w:val="center"/>
        <w:rPr>
          <w:rFonts w:eastAsia="方正小标宋简体"/>
          <w:sz w:val="44"/>
          <w:szCs w:val="44"/>
        </w:rPr>
      </w:pPr>
      <w:bookmarkStart w:id="0" w:name="_GoBack"/>
      <w:r>
        <w:rPr>
          <w:rFonts w:eastAsia="方正小标宋简体"/>
          <w:sz w:val="44"/>
          <w:szCs w:val="44"/>
        </w:rPr>
        <w:t>九江市柴桑区人民政府办公室</w:t>
      </w:r>
    </w:p>
    <w:p w14:paraId="27887265">
      <w:pPr>
        <w:spacing w:line="560" w:lineRule="exact"/>
        <w:jc w:val="center"/>
        <w:rPr>
          <w:rFonts w:hint="eastAsia" w:ascii="方正小标宋简体" w:hAnsi="方正小标宋简体" w:eastAsia="方正小标宋简体" w:cs="方正小标宋简体"/>
          <w:sz w:val="44"/>
          <w:szCs w:val="44"/>
        </w:rPr>
      </w:pPr>
      <w:r>
        <w:rPr>
          <w:rFonts w:eastAsia="方正小标宋简体"/>
          <w:sz w:val="44"/>
          <w:szCs w:val="44"/>
        </w:rPr>
        <w:t>关于印发</w:t>
      </w:r>
      <w:r>
        <w:rPr>
          <w:rFonts w:hint="eastAsia" w:ascii="方正小标宋简体" w:hAnsi="方正小标宋简体" w:eastAsia="方正小标宋简体" w:cs="方正小标宋简体"/>
          <w:sz w:val="44"/>
          <w:szCs w:val="44"/>
        </w:rPr>
        <w:t>柴桑区关于支持企业绿色转型推动</w:t>
      </w:r>
    </w:p>
    <w:p w14:paraId="00B2D583">
      <w:pPr>
        <w:spacing w:line="560" w:lineRule="exact"/>
        <w:jc w:val="center"/>
        <w:rPr>
          <w:rFonts w:eastAsia="方正小标宋简体"/>
          <w:sz w:val="44"/>
          <w:szCs w:val="44"/>
        </w:rPr>
      </w:pPr>
      <w:r>
        <w:rPr>
          <w:rFonts w:hint="eastAsia" w:ascii="方正小标宋简体" w:hAnsi="方正小标宋简体" w:eastAsia="方正小标宋简体" w:cs="方正小标宋简体"/>
          <w:sz w:val="44"/>
          <w:szCs w:val="44"/>
        </w:rPr>
        <w:t>产业集群发展的若干意见（试行）</w:t>
      </w:r>
      <w:r>
        <w:rPr>
          <w:rFonts w:eastAsia="方正小标宋简体"/>
          <w:sz w:val="44"/>
          <w:szCs w:val="44"/>
        </w:rPr>
        <w:t>的通知</w:t>
      </w:r>
    </w:p>
    <w:p w14:paraId="43303DDC">
      <w:pPr>
        <w:spacing w:line="560" w:lineRule="exact"/>
        <w:ind w:firstLine="880" w:firstLineChars="200"/>
        <w:jc w:val="center"/>
        <w:rPr>
          <w:rFonts w:eastAsia="仿宋_GB2312"/>
          <w:sz w:val="44"/>
          <w:szCs w:val="44"/>
        </w:rPr>
      </w:pPr>
      <w:r>
        <w:rPr>
          <w:rFonts w:eastAsia="仿宋_GB2312"/>
          <w:sz w:val="44"/>
          <w:szCs w:val="44"/>
        </w:rPr>
        <w:t xml:space="preserve"> </w:t>
      </w:r>
    </w:p>
    <w:p w14:paraId="16DA2640">
      <w:pPr>
        <w:spacing w:line="560" w:lineRule="exact"/>
        <w:rPr>
          <w:rFonts w:eastAsia="仿宋_GB2312"/>
          <w:sz w:val="32"/>
          <w:szCs w:val="32"/>
        </w:rPr>
      </w:pPr>
      <w:r>
        <w:rPr>
          <w:rFonts w:eastAsia="仿宋_GB2312"/>
          <w:sz w:val="32"/>
          <w:szCs w:val="32"/>
        </w:rPr>
        <w:t>各乡（镇）人民政府</w:t>
      </w:r>
      <w:r>
        <w:rPr>
          <w:rFonts w:hint="eastAsia" w:eastAsia="仿宋_GB2312"/>
          <w:sz w:val="32"/>
          <w:szCs w:val="32"/>
        </w:rPr>
        <w:t>，各</w:t>
      </w:r>
      <w:r>
        <w:rPr>
          <w:rFonts w:eastAsia="仿宋_GB2312"/>
          <w:sz w:val="32"/>
          <w:szCs w:val="32"/>
        </w:rPr>
        <w:t>街道办事处，区政府</w:t>
      </w:r>
      <w:r>
        <w:rPr>
          <w:rFonts w:hint="eastAsia" w:eastAsia="仿宋_GB2312"/>
          <w:sz w:val="32"/>
          <w:szCs w:val="32"/>
        </w:rPr>
        <w:t>相关</w:t>
      </w:r>
      <w:r>
        <w:rPr>
          <w:rFonts w:eastAsia="仿宋_GB2312"/>
          <w:sz w:val="32"/>
          <w:szCs w:val="32"/>
        </w:rPr>
        <w:t>部门，区直及驻区</w:t>
      </w:r>
      <w:r>
        <w:rPr>
          <w:rFonts w:hint="eastAsia" w:eastAsia="仿宋_GB2312"/>
          <w:sz w:val="32"/>
          <w:szCs w:val="32"/>
        </w:rPr>
        <w:t>相关</w:t>
      </w:r>
      <w:r>
        <w:rPr>
          <w:rFonts w:eastAsia="仿宋_GB2312"/>
          <w:sz w:val="32"/>
          <w:szCs w:val="32"/>
        </w:rPr>
        <w:t>单位：</w:t>
      </w:r>
    </w:p>
    <w:p w14:paraId="1E777045">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柴桑区关于支持企业绿色转型推动产业集群发展的若干意见（试行）</w:t>
      </w:r>
      <w:r>
        <w:rPr>
          <w:rFonts w:eastAsia="仿宋_GB2312"/>
          <w:sz w:val="32"/>
          <w:szCs w:val="32"/>
        </w:rPr>
        <w:t>》已经区政府</w:t>
      </w:r>
      <w:r>
        <w:rPr>
          <w:rFonts w:hint="eastAsia" w:eastAsia="仿宋_GB2312"/>
          <w:sz w:val="32"/>
          <w:szCs w:val="32"/>
        </w:rPr>
        <w:t>研究</w:t>
      </w:r>
      <w:r>
        <w:rPr>
          <w:rFonts w:eastAsia="仿宋_GB2312"/>
          <w:sz w:val="32"/>
          <w:szCs w:val="32"/>
        </w:rPr>
        <w:t>同意，现印发给你们，请结合实际认真贯彻落实。</w:t>
      </w:r>
    </w:p>
    <w:p w14:paraId="556A0BC8">
      <w:pPr>
        <w:spacing w:line="560" w:lineRule="exact"/>
        <w:ind w:firstLine="640" w:firstLineChars="200"/>
        <w:rPr>
          <w:rFonts w:eastAsia="仿宋_GB2312"/>
          <w:sz w:val="32"/>
          <w:szCs w:val="32"/>
        </w:rPr>
      </w:pPr>
      <w:r>
        <w:rPr>
          <w:rFonts w:eastAsia="仿宋_GB2312"/>
          <w:sz w:val="32"/>
          <w:szCs w:val="32"/>
        </w:rPr>
        <w:t xml:space="preserve">  </w:t>
      </w:r>
    </w:p>
    <w:p w14:paraId="29096EFC">
      <w:pPr>
        <w:spacing w:line="560" w:lineRule="exact"/>
        <w:ind w:firstLine="640" w:firstLineChars="200"/>
        <w:rPr>
          <w:rFonts w:eastAsia="仿宋_GB2312"/>
          <w:sz w:val="32"/>
          <w:szCs w:val="32"/>
        </w:rPr>
      </w:pPr>
    </w:p>
    <w:p w14:paraId="2CF3256E">
      <w:pPr>
        <w:snapToGrid w:val="0"/>
        <w:spacing w:line="560" w:lineRule="exact"/>
        <w:ind w:firstLine="640" w:firstLineChars="200"/>
        <w:jc w:val="center"/>
        <w:rPr>
          <w:rFonts w:eastAsia="仿宋_GB2312"/>
          <w:sz w:val="32"/>
          <w:szCs w:val="32"/>
        </w:rPr>
      </w:pPr>
      <w:r>
        <w:rPr>
          <w:rFonts w:eastAsia="仿宋_GB2312"/>
          <w:sz w:val="32"/>
          <w:szCs w:val="32"/>
        </w:rPr>
        <w:t xml:space="preserve">                   202</w:t>
      </w:r>
      <w:r>
        <w:rPr>
          <w:rFonts w:hint="eastAsia" w:eastAsia="仿宋_GB2312"/>
          <w:sz w:val="32"/>
          <w:szCs w:val="32"/>
        </w:rPr>
        <w:t>5</w:t>
      </w:r>
      <w:r>
        <w:rPr>
          <w:rFonts w:eastAsia="仿宋_GB2312"/>
          <w:sz w:val="32"/>
          <w:szCs w:val="32"/>
        </w:rPr>
        <w:t>年</w:t>
      </w:r>
      <w:r>
        <w:rPr>
          <w:rFonts w:hint="eastAsia" w:eastAsia="仿宋_GB2312"/>
          <w:sz w:val="32"/>
          <w:szCs w:val="32"/>
        </w:rPr>
        <w:t>12月31</w:t>
      </w:r>
      <w:r>
        <w:rPr>
          <w:rFonts w:eastAsia="仿宋_GB2312"/>
          <w:sz w:val="32"/>
          <w:szCs w:val="32"/>
        </w:rPr>
        <w:t>日</w:t>
      </w:r>
    </w:p>
    <w:p w14:paraId="18F0DDD4">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E7ED5C1">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柴桑区关于支持企业绿色转型推动产业集群</w:t>
      </w:r>
    </w:p>
    <w:p w14:paraId="56E0CDD8">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发展的若干意见（试行）</w:t>
      </w:r>
    </w:p>
    <w:p w14:paraId="7F5320BA">
      <w:pPr>
        <w:spacing w:line="560" w:lineRule="exact"/>
      </w:pPr>
    </w:p>
    <w:p w14:paraId="3726C9E6">
      <w:pPr>
        <w:spacing w:line="560" w:lineRule="exact"/>
        <w:ind w:firstLine="640" w:firstLineChars="200"/>
        <w:rPr>
          <w:rFonts w:eastAsia="仿宋_GB2312"/>
          <w:sz w:val="32"/>
          <w:szCs w:val="32"/>
        </w:rPr>
      </w:pPr>
      <w:r>
        <w:rPr>
          <w:rFonts w:hint="eastAsia" w:eastAsia="仿宋_GB2312"/>
          <w:sz w:val="32"/>
          <w:szCs w:val="32"/>
        </w:rPr>
        <w:t>为深入贯彻落实习近平总书记考察江西重要讲话精神、党的二十届四中全会和中央经济工作会议精神，依据《中共中央 国务院关于加快经济社会发展全面绿色转型的意见》等文件要求，立足绿色转型发展方向，着力构建柴桑特色的绿色循环制造枢纽，加快形成具有区域特色和竞争优势的现代化产业体系。结合我区实际，特制定本意见。</w:t>
      </w:r>
    </w:p>
    <w:p w14:paraId="7099D37D">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一、总体要求</w:t>
      </w:r>
    </w:p>
    <w:p w14:paraId="065C3D67">
      <w:pPr>
        <w:spacing w:line="560" w:lineRule="exact"/>
        <w:ind w:firstLine="640" w:firstLineChars="200"/>
        <w:rPr>
          <w:rFonts w:eastAsia="仿宋_GB2312"/>
          <w:sz w:val="32"/>
          <w:szCs w:val="32"/>
        </w:rPr>
      </w:pPr>
      <w:r>
        <w:rPr>
          <w:rFonts w:hint="eastAsia" w:eastAsia="仿宋_GB2312"/>
          <w:sz w:val="32"/>
          <w:szCs w:val="32"/>
        </w:rPr>
        <w:t>坚持稳中求进工作总基调，完整、准确、全面贯彻新发展理念，以科技创新为核心驱动力，以构建现代化产业体系为目标，因地制宜发展新质生产力。聚焦我区产业基础和发展潜力，坚持改造提升传统产业、发展壮大战略性新兴产业、超前布局未来产业并举，强化政策引导和要素保障，推动产业智能化、绿色化、融合化发展，为区域经济持续健康发展注入强劲动能。</w:t>
      </w:r>
    </w:p>
    <w:p w14:paraId="1E20F669">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二、重点任务</w:t>
      </w:r>
    </w:p>
    <w:p w14:paraId="745CFD0B">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（一）推动企业绿色转型</w:t>
      </w:r>
    </w:p>
    <w:p w14:paraId="73881353">
      <w:pPr>
        <w:widowControl/>
        <w:spacing w:line="560" w:lineRule="exact"/>
        <w:ind w:firstLine="640" w:firstLineChars="200"/>
        <w:jc w:val="left"/>
        <w:rPr>
          <w:rFonts w:eastAsia="仿宋_GB2312"/>
          <w:sz w:val="32"/>
          <w:szCs w:val="32"/>
        </w:rPr>
      </w:pPr>
      <w:r>
        <w:rPr>
          <w:rFonts w:hint="eastAsia" w:eastAsia="仿宋_GB2312"/>
          <w:sz w:val="32"/>
          <w:szCs w:val="32"/>
        </w:rPr>
        <w:t>落实《江西省加快经济社会发展全面绿色转型的若干措施》等文件精神，推动企业向绿色化转型升级，争创省级零碳园区。</w:t>
      </w:r>
    </w:p>
    <w:p w14:paraId="77AFDD11">
      <w:pPr>
        <w:spacing w:line="560" w:lineRule="exact"/>
        <w:ind w:firstLine="643" w:firstLineChars="200"/>
        <w:rPr>
          <w:rFonts w:eastAsia="仿宋"/>
          <w:b/>
          <w:bCs/>
          <w:sz w:val="32"/>
          <w:szCs w:val="32"/>
        </w:rPr>
      </w:pPr>
      <w:r>
        <w:rPr>
          <w:rFonts w:hint="eastAsia" w:eastAsia="仿宋_GB2312"/>
          <w:b/>
          <w:bCs/>
          <w:sz w:val="32"/>
          <w:szCs w:val="32"/>
        </w:rPr>
        <w:t>1．支持企业绿色发展：</w:t>
      </w:r>
      <w:r>
        <w:rPr>
          <w:rFonts w:hint="eastAsia" w:eastAsia="仿宋_GB2312"/>
          <w:sz w:val="32"/>
          <w:szCs w:val="32"/>
        </w:rPr>
        <w:t>以贴息或奖补的方式支持企业实施节能、节水、节材、降碳、减污、减排、增效、资源综合利用等绿色低碳改造项目。对项目完工并完成节能验收后的绿色低碳改造项目，单位产品综合能耗水平达到行业标杆或行业先进值且较改造前提升了3%～5%（含）、5%～8%（含）、8%以上的，最高分别奖励15万元、30万元、50万元。单位产品综合能耗水平情况以经节能审查机关和相关主管部门备案后的节能验收报告为准。</w:t>
      </w:r>
      <w:r>
        <w:rPr>
          <w:rFonts w:hint="eastAsia" w:eastAsia="仿宋"/>
          <w:b/>
          <w:bCs/>
          <w:sz w:val="32"/>
          <w:szCs w:val="32"/>
        </w:rPr>
        <w:t>［责任单位：区工信局、区水利局］</w:t>
      </w:r>
    </w:p>
    <w:p w14:paraId="0C0A1EEB">
      <w:pPr>
        <w:spacing w:line="560" w:lineRule="exact"/>
        <w:ind w:firstLine="643" w:firstLineChars="200"/>
        <w:rPr>
          <w:rFonts w:eastAsia="仿宋"/>
          <w:b/>
          <w:bCs/>
          <w:sz w:val="32"/>
          <w:szCs w:val="32"/>
        </w:rPr>
      </w:pPr>
      <w:r>
        <w:rPr>
          <w:rFonts w:hint="eastAsia" w:eastAsia="仿宋_GB2312"/>
          <w:b/>
          <w:bCs/>
          <w:sz w:val="32"/>
          <w:szCs w:val="32"/>
        </w:rPr>
        <w:t>2．支持创建绿色标杆：</w:t>
      </w:r>
      <w:r>
        <w:rPr>
          <w:rFonts w:hint="eastAsia" w:eastAsia="仿宋_GB2312"/>
          <w:sz w:val="32"/>
          <w:szCs w:val="32"/>
        </w:rPr>
        <w:t>对获得国家级、省级绿色制造项目的工业企业(绿色工厂、绿色供应链、绿色设计产品)，分别给予一次性奖励30万元、15万元；对当年评为省级、市级节水型的工业企业，分别给予5万元、3万元一次性奖励。</w:t>
      </w:r>
      <w:r>
        <w:rPr>
          <w:rFonts w:hint="eastAsia" w:eastAsia="仿宋"/>
          <w:b/>
          <w:bCs/>
          <w:sz w:val="32"/>
          <w:szCs w:val="32"/>
        </w:rPr>
        <w:t>［责任单位:区工信局、区水利局］</w:t>
      </w:r>
    </w:p>
    <w:p w14:paraId="5DABBE15">
      <w:pPr>
        <w:spacing w:line="560" w:lineRule="exact"/>
        <w:ind w:firstLine="643" w:firstLineChars="200"/>
        <w:rPr>
          <w:rFonts w:eastAsia="仿宋"/>
          <w:b/>
          <w:bCs/>
          <w:sz w:val="32"/>
          <w:szCs w:val="32"/>
        </w:rPr>
      </w:pPr>
      <w:r>
        <w:rPr>
          <w:rFonts w:hint="eastAsia" w:eastAsia="仿宋_GB2312"/>
          <w:b/>
          <w:bCs/>
          <w:sz w:val="32"/>
          <w:szCs w:val="32"/>
        </w:rPr>
        <w:t>3．支持数智赋能升级：</w:t>
      </w:r>
      <w:r>
        <w:rPr>
          <w:rFonts w:hint="eastAsia" w:eastAsia="仿宋_GB2312"/>
          <w:sz w:val="32"/>
          <w:szCs w:val="32"/>
        </w:rPr>
        <w:t>引导链主企业打造特色型、行业型工业互联网平台建设，对省级认定的工业互联网平台，给予建设单位一次性奖励30万元；对国家部委认定的工业互联网专业平台、特色平台，给予建设单位一次性奖励50万元。鼓励企业应用工业互联网平台，按核定投入额的80%给予每家最高5万元的补助。</w:t>
      </w:r>
      <w:r>
        <w:rPr>
          <w:rFonts w:hint="eastAsia" w:eastAsia="仿宋"/>
          <w:b/>
          <w:bCs/>
          <w:sz w:val="32"/>
          <w:szCs w:val="32"/>
        </w:rPr>
        <w:t>［责任单位：区工信局、沙城工业园区管委会］</w:t>
      </w:r>
    </w:p>
    <w:p w14:paraId="4B14E85F">
      <w:pPr>
        <w:spacing w:line="560" w:lineRule="exact"/>
        <w:ind w:firstLine="643" w:firstLineChars="200"/>
        <w:rPr>
          <w:rFonts w:eastAsia="仿宋"/>
          <w:b/>
          <w:bCs/>
          <w:sz w:val="32"/>
          <w:szCs w:val="32"/>
        </w:rPr>
      </w:pPr>
      <w:r>
        <w:rPr>
          <w:rFonts w:hint="eastAsia" w:eastAsia="仿宋_GB2312"/>
          <w:b/>
          <w:bCs/>
          <w:sz w:val="32"/>
          <w:szCs w:val="32"/>
        </w:rPr>
        <w:t>4．强化金融物流支撑：</w:t>
      </w:r>
      <w:r>
        <w:rPr>
          <w:rFonts w:hint="eastAsia" w:eastAsia="仿宋_GB2312"/>
          <w:sz w:val="32"/>
          <w:szCs w:val="32"/>
        </w:rPr>
        <w:t>以多元化金融工具引导资源配置，统筹资金用于物流体系建设和规上货运企业培育，以物流体系升级打通关键环节，形成"金融+物流" 双轮驱动的长效支撑机制。</w:t>
      </w:r>
      <w:r>
        <w:rPr>
          <w:rFonts w:hint="eastAsia" w:eastAsia="仿宋"/>
          <w:b/>
          <w:bCs/>
          <w:sz w:val="32"/>
          <w:szCs w:val="32"/>
        </w:rPr>
        <w:t>[责任单位：区发改委、区商务局、区金融发展服务中心、区产投公司]</w:t>
      </w:r>
    </w:p>
    <w:p w14:paraId="237E85E1">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（二）壮大新材料（金属）产业集群</w:t>
      </w:r>
    </w:p>
    <w:p w14:paraId="65FD1CAF">
      <w:pPr>
        <w:spacing w:line="560" w:lineRule="exact"/>
        <w:ind w:firstLine="640" w:firstLineChars="200"/>
        <w:rPr>
          <w:rFonts w:eastAsia="仿宋_GB2312"/>
          <w:sz w:val="32"/>
          <w:szCs w:val="32"/>
        </w:rPr>
      </w:pPr>
      <w:r>
        <w:rPr>
          <w:rFonts w:hint="eastAsia" w:eastAsia="仿宋_GB2312"/>
          <w:sz w:val="32"/>
          <w:szCs w:val="32"/>
        </w:rPr>
        <w:t>根据《国务院关于印发〈推动大规模设备更新和消费品以旧换新行动方案〉的通知》和《江西省产业集群提能升级实施方案》等文件要求，对我区重点培育的省级产业集群——新材料（金属）产业集群中的资源循环利用生产型企业给予支持，推动集群化发展。</w:t>
      </w:r>
    </w:p>
    <w:p w14:paraId="7DC0B5F1">
      <w:pPr>
        <w:spacing w:line="560" w:lineRule="exact"/>
        <w:ind w:firstLine="643" w:firstLineChars="200"/>
        <w:rPr>
          <w:rFonts w:eastAsia="仿宋"/>
          <w:b/>
          <w:bCs/>
          <w:sz w:val="32"/>
          <w:szCs w:val="32"/>
        </w:rPr>
      </w:pPr>
      <w:r>
        <w:rPr>
          <w:rFonts w:hint="eastAsia" w:eastAsia="仿宋_GB2312"/>
          <w:b/>
          <w:bCs/>
          <w:sz w:val="32"/>
          <w:szCs w:val="32"/>
        </w:rPr>
        <w:t>5．支持集群企业发展：</w:t>
      </w:r>
      <w:r>
        <w:rPr>
          <w:rFonts w:hint="eastAsia" w:eastAsia="仿宋_GB2312"/>
          <w:sz w:val="32"/>
          <w:szCs w:val="32"/>
        </w:rPr>
        <w:t>对</w:t>
      </w:r>
      <w:r>
        <w:rPr>
          <w:rFonts w:eastAsia="仿宋_GB2312"/>
          <w:sz w:val="32"/>
          <w:szCs w:val="32"/>
        </w:rPr>
        <w:t>实际产值</w:t>
      </w:r>
      <w:r>
        <w:rPr>
          <w:rFonts w:hint="eastAsia" w:eastAsia="仿宋_GB2312"/>
          <w:sz w:val="32"/>
          <w:szCs w:val="32"/>
        </w:rPr>
        <w:t>超过1亿元（含1亿元）的企业，</w:t>
      </w:r>
      <w:r>
        <w:rPr>
          <w:rFonts w:eastAsia="仿宋_GB2312"/>
          <w:sz w:val="32"/>
          <w:szCs w:val="32"/>
        </w:rPr>
        <w:t>给予</w:t>
      </w:r>
      <w:r>
        <w:rPr>
          <w:rFonts w:hint="eastAsia" w:eastAsia="仿宋_GB2312"/>
          <w:sz w:val="32"/>
          <w:szCs w:val="32"/>
        </w:rPr>
        <w:t>其产值1.4%</w:t>
      </w:r>
      <w:r>
        <w:rPr>
          <w:rFonts w:eastAsia="仿宋_GB2312"/>
          <w:sz w:val="32"/>
          <w:szCs w:val="32"/>
        </w:rPr>
        <w:t>的产业扶持</w:t>
      </w:r>
      <w:r>
        <w:rPr>
          <w:rFonts w:hint="eastAsia" w:eastAsia="仿宋_GB2312"/>
          <w:sz w:val="32"/>
          <w:szCs w:val="32"/>
        </w:rPr>
        <w:t>；对</w:t>
      </w:r>
      <w:r>
        <w:rPr>
          <w:rFonts w:eastAsia="仿宋_GB2312"/>
          <w:sz w:val="32"/>
          <w:szCs w:val="32"/>
        </w:rPr>
        <w:t>实际产值</w:t>
      </w:r>
      <w:r>
        <w:rPr>
          <w:rFonts w:hint="eastAsia" w:eastAsia="仿宋_GB2312"/>
          <w:sz w:val="32"/>
          <w:szCs w:val="32"/>
        </w:rPr>
        <w:t>超过2亿元（含2亿元）的企业，</w:t>
      </w:r>
      <w:r>
        <w:rPr>
          <w:rFonts w:eastAsia="仿宋_GB2312"/>
          <w:sz w:val="32"/>
          <w:szCs w:val="32"/>
        </w:rPr>
        <w:t>给予</w:t>
      </w:r>
      <w:r>
        <w:rPr>
          <w:rFonts w:hint="eastAsia" w:eastAsia="仿宋_GB2312"/>
          <w:sz w:val="32"/>
          <w:szCs w:val="32"/>
        </w:rPr>
        <w:t>其产值1.7%</w:t>
      </w:r>
      <w:r>
        <w:rPr>
          <w:rFonts w:eastAsia="仿宋_GB2312"/>
          <w:sz w:val="32"/>
          <w:szCs w:val="32"/>
        </w:rPr>
        <w:t>的产业扶持</w:t>
      </w:r>
      <w:r>
        <w:rPr>
          <w:rFonts w:hint="eastAsia" w:eastAsia="仿宋_GB2312"/>
          <w:sz w:val="32"/>
          <w:szCs w:val="32"/>
        </w:rPr>
        <w:t>；对</w:t>
      </w:r>
      <w:r>
        <w:rPr>
          <w:rFonts w:eastAsia="仿宋_GB2312"/>
          <w:sz w:val="32"/>
          <w:szCs w:val="32"/>
        </w:rPr>
        <w:t>实际产值</w:t>
      </w:r>
      <w:r>
        <w:rPr>
          <w:rFonts w:hint="eastAsia" w:eastAsia="仿宋_GB2312"/>
          <w:sz w:val="32"/>
          <w:szCs w:val="32"/>
        </w:rPr>
        <w:t>超过3亿元（含3亿元）的企业，</w:t>
      </w:r>
      <w:r>
        <w:rPr>
          <w:rFonts w:eastAsia="仿宋_GB2312"/>
          <w:sz w:val="32"/>
          <w:szCs w:val="32"/>
        </w:rPr>
        <w:t>给予</w:t>
      </w:r>
      <w:r>
        <w:rPr>
          <w:rFonts w:hint="eastAsia" w:eastAsia="仿宋_GB2312"/>
          <w:sz w:val="32"/>
          <w:szCs w:val="32"/>
        </w:rPr>
        <w:t>其产值2%</w:t>
      </w:r>
      <w:r>
        <w:rPr>
          <w:rFonts w:eastAsia="仿宋_GB2312"/>
          <w:sz w:val="32"/>
          <w:szCs w:val="32"/>
        </w:rPr>
        <w:t>的产业扶持。</w:t>
      </w:r>
      <w:r>
        <w:rPr>
          <w:rFonts w:hint="eastAsia" w:eastAsia="仿宋"/>
          <w:b/>
          <w:bCs/>
          <w:sz w:val="32"/>
          <w:szCs w:val="32"/>
        </w:rPr>
        <w:t>［责任单位：沙城工业园区管委会、区财政局、区商务局、区工信局］</w:t>
      </w:r>
    </w:p>
    <w:p w14:paraId="1E21E8A5">
      <w:pPr>
        <w:spacing w:line="560" w:lineRule="exact"/>
        <w:ind w:firstLine="643" w:firstLineChars="200"/>
        <w:rPr>
          <w:rFonts w:eastAsia="仿宋"/>
          <w:b/>
          <w:bCs/>
          <w:sz w:val="32"/>
          <w:szCs w:val="32"/>
        </w:rPr>
      </w:pPr>
      <w:r>
        <w:rPr>
          <w:rFonts w:hint="eastAsia" w:eastAsia="仿宋_GB2312"/>
          <w:b/>
          <w:bCs/>
          <w:sz w:val="32"/>
          <w:szCs w:val="32"/>
        </w:rPr>
        <w:t>6．支持引入上下游企业：</w:t>
      </w:r>
      <w:r>
        <w:rPr>
          <w:rFonts w:hint="eastAsia" w:eastAsia="仿宋_GB2312"/>
          <w:sz w:val="32"/>
          <w:szCs w:val="32"/>
        </w:rPr>
        <w:t>鼓励集群内企业引入产业链上下游企业，形成产业集聚效应。如引进的企业升规成功，则给予招引方奖励2万元，单家招引方奖励最高不超过20万元。</w:t>
      </w:r>
      <w:r>
        <w:rPr>
          <w:rFonts w:hint="eastAsia" w:eastAsia="仿宋"/>
          <w:b/>
          <w:bCs/>
          <w:sz w:val="32"/>
          <w:szCs w:val="32"/>
        </w:rPr>
        <w:t>［责任单位：区工信局、区商务局、区统计局、沙城工业园区管委会］</w:t>
      </w:r>
    </w:p>
    <w:p w14:paraId="5A39B251">
      <w:pPr>
        <w:spacing w:line="560" w:lineRule="exact"/>
        <w:ind w:firstLine="643" w:firstLineChars="200"/>
        <w:rPr>
          <w:rFonts w:eastAsia="仿宋"/>
          <w:b/>
          <w:bCs/>
          <w:sz w:val="32"/>
          <w:szCs w:val="32"/>
        </w:rPr>
      </w:pPr>
      <w:r>
        <w:rPr>
          <w:rFonts w:hint="eastAsia" w:eastAsia="仿宋_GB2312"/>
          <w:b/>
          <w:bCs/>
          <w:sz w:val="32"/>
          <w:szCs w:val="32"/>
        </w:rPr>
        <w:t>7．支持集群企业创新：</w:t>
      </w:r>
      <w:r>
        <w:rPr>
          <w:rFonts w:hint="eastAsia" w:eastAsia="仿宋_GB2312"/>
          <w:sz w:val="32"/>
          <w:szCs w:val="32"/>
        </w:rPr>
        <w:t>对当年认定为国家级、省级、市级重点实验室、企业技术中心、制造业创新中心、技术创新中心、工程技术研究中心、工业设计中心等科技创新平台的，分别给予50万元、20万元、5万元一次性奖励。</w:t>
      </w:r>
      <w:r>
        <w:rPr>
          <w:rFonts w:hint="eastAsia" w:eastAsia="仿宋"/>
          <w:b/>
          <w:bCs/>
          <w:sz w:val="32"/>
          <w:szCs w:val="32"/>
        </w:rPr>
        <w:t>［责任单位：区工信局］</w:t>
      </w:r>
    </w:p>
    <w:p w14:paraId="5BE6E5D6">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（三）前瞻布局未来产业</w:t>
      </w:r>
    </w:p>
    <w:p w14:paraId="059E02AF">
      <w:pPr>
        <w:spacing w:line="560" w:lineRule="exact"/>
        <w:ind w:firstLine="640" w:firstLineChars="200"/>
        <w:rPr>
          <w:rFonts w:eastAsia="仿宋_GB2312"/>
          <w:sz w:val="32"/>
          <w:szCs w:val="32"/>
        </w:rPr>
      </w:pPr>
      <w:r>
        <w:rPr>
          <w:rFonts w:hint="eastAsia" w:eastAsia="仿宋_GB2312"/>
          <w:sz w:val="32"/>
          <w:szCs w:val="32"/>
        </w:rPr>
        <w:t>依据《江西省未来产业培育发展行动方案（2024—2026年）》等文件精神，结合我区在时空信息（北斗惯导）、未来健康（脑机接口）、智能终端等领域的发展基础，前瞻布局未来产业。</w:t>
      </w:r>
    </w:p>
    <w:p w14:paraId="0C3A138E">
      <w:pPr>
        <w:spacing w:line="560" w:lineRule="exact"/>
        <w:ind w:firstLine="643" w:firstLineChars="200"/>
        <w:rPr>
          <w:rFonts w:eastAsia="仿宋"/>
          <w:b/>
          <w:bCs/>
          <w:sz w:val="32"/>
          <w:szCs w:val="32"/>
        </w:rPr>
      </w:pPr>
      <w:r>
        <w:rPr>
          <w:rFonts w:hint="eastAsia" w:eastAsia="仿宋_GB2312"/>
          <w:b/>
          <w:bCs/>
          <w:sz w:val="32"/>
          <w:szCs w:val="32"/>
        </w:rPr>
        <w:t>8．支持高端人才创业：</w:t>
      </w:r>
      <w:r>
        <w:rPr>
          <w:rFonts w:hint="eastAsia" w:eastAsia="仿宋_GB2312"/>
          <w:sz w:val="32"/>
          <w:szCs w:val="32"/>
        </w:rPr>
        <w:t>在落实人才相关政策的基础上，给予E类（博士）及以上人才来区创办（或合资创办）企业，提供物理空间支持。</w:t>
      </w:r>
      <w:r>
        <w:rPr>
          <w:rFonts w:hint="eastAsia" w:eastAsia="仿宋"/>
          <w:b/>
          <w:bCs/>
          <w:sz w:val="32"/>
          <w:szCs w:val="32"/>
        </w:rPr>
        <w:t>［责任单位：区委组织部（人才办）、区工信局、沙城工业园区管委会、区产投公司］</w:t>
      </w:r>
    </w:p>
    <w:p w14:paraId="291FC7F7">
      <w:pPr>
        <w:spacing w:line="560" w:lineRule="exact"/>
        <w:ind w:firstLine="643" w:firstLineChars="200"/>
        <w:rPr>
          <w:rFonts w:eastAsia="仿宋"/>
          <w:b/>
          <w:bCs/>
          <w:sz w:val="32"/>
          <w:szCs w:val="32"/>
        </w:rPr>
      </w:pPr>
      <w:r>
        <w:rPr>
          <w:rFonts w:hint="eastAsia" w:eastAsia="仿宋_GB2312"/>
          <w:b/>
          <w:bCs/>
          <w:sz w:val="32"/>
          <w:szCs w:val="32"/>
        </w:rPr>
        <w:t>9．支持企业升规入统：</w:t>
      </w:r>
      <w:r>
        <w:rPr>
          <w:rFonts w:hint="eastAsia" w:eastAsia="仿宋_GB2312"/>
          <w:sz w:val="32"/>
          <w:szCs w:val="32"/>
        </w:rPr>
        <w:t>对未来产业中进规的工业企业，自入库年起分三年给予10万元奖励（三年比例为3:3:4）。对成功认定为战略性新兴企业，再奖励5万元。</w:t>
      </w:r>
      <w:r>
        <w:rPr>
          <w:rFonts w:hint="eastAsia" w:eastAsia="仿宋"/>
          <w:b/>
          <w:bCs/>
          <w:sz w:val="32"/>
          <w:szCs w:val="32"/>
        </w:rPr>
        <w:t>［责任单位：区工信局、区商务局、区财政局等］</w:t>
      </w:r>
    </w:p>
    <w:p w14:paraId="4AC011EF">
      <w:pPr>
        <w:spacing w:line="560" w:lineRule="exact"/>
        <w:ind w:firstLine="643" w:firstLineChars="200"/>
        <w:rPr>
          <w:rFonts w:eastAsia="仿宋"/>
          <w:b/>
          <w:bCs/>
          <w:sz w:val="32"/>
          <w:szCs w:val="32"/>
        </w:rPr>
      </w:pPr>
      <w:r>
        <w:rPr>
          <w:rFonts w:hint="eastAsia" w:eastAsia="仿宋_GB2312"/>
          <w:b/>
          <w:bCs/>
          <w:sz w:val="32"/>
          <w:szCs w:val="32"/>
        </w:rPr>
        <w:t>10．支持多元金融赋能：</w:t>
      </w:r>
      <w:r>
        <w:rPr>
          <w:rFonts w:hint="eastAsia" w:eastAsia="仿宋_GB2312"/>
          <w:sz w:val="32"/>
          <w:szCs w:val="32"/>
        </w:rPr>
        <w:t>设立未来产业科创基金，投早投小，用于支持区内相关企业发展。积极运用各类金融产品，支持企业初期孵化及成长阶段发展。</w:t>
      </w:r>
      <w:r>
        <w:rPr>
          <w:rFonts w:hint="eastAsia" w:eastAsia="仿宋"/>
          <w:b/>
          <w:bCs/>
          <w:sz w:val="32"/>
          <w:szCs w:val="32"/>
        </w:rPr>
        <w:t>［责任单位：产投公司、区金融发展服务中心、区财政局、区工信局］</w:t>
      </w:r>
    </w:p>
    <w:p w14:paraId="5A634BC4">
      <w:pPr>
        <w:spacing w:line="560" w:lineRule="exact"/>
        <w:ind w:firstLine="643" w:firstLineChars="200"/>
        <w:rPr>
          <w:rFonts w:eastAsia="仿宋"/>
          <w:b/>
          <w:bCs/>
          <w:sz w:val="32"/>
          <w:szCs w:val="32"/>
        </w:rPr>
      </w:pPr>
      <w:r>
        <w:rPr>
          <w:rFonts w:hint="eastAsia" w:eastAsia="仿宋_GB2312"/>
          <w:b/>
          <w:bCs/>
          <w:sz w:val="32"/>
          <w:szCs w:val="32"/>
        </w:rPr>
        <w:t>11．支持科技成果转化：</w:t>
      </w:r>
      <w:r>
        <w:rPr>
          <w:rFonts w:hint="eastAsia" w:eastAsia="仿宋_GB2312"/>
          <w:sz w:val="32"/>
          <w:szCs w:val="32"/>
        </w:rPr>
        <w:t>对当年认定为省级概念验证中心、中试基地的企业，给予20万元一次性奖励。</w:t>
      </w:r>
      <w:r>
        <w:rPr>
          <w:rFonts w:hint="eastAsia" w:eastAsia="仿宋"/>
          <w:b/>
          <w:bCs/>
          <w:sz w:val="32"/>
          <w:szCs w:val="32"/>
        </w:rPr>
        <w:t>［责任单位：区工信局］</w:t>
      </w:r>
    </w:p>
    <w:p w14:paraId="58D90E59">
      <w:pPr>
        <w:spacing w:line="560" w:lineRule="exact"/>
        <w:ind w:firstLine="643" w:firstLineChars="200"/>
        <w:rPr>
          <w:rFonts w:eastAsia="仿宋"/>
          <w:b/>
          <w:bCs/>
          <w:sz w:val="32"/>
          <w:szCs w:val="32"/>
        </w:rPr>
      </w:pPr>
      <w:r>
        <w:rPr>
          <w:rFonts w:hint="eastAsia" w:eastAsia="仿宋_GB2312"/>
          <w:b/>
          <w:bCs/>
          <w:sz w:val="32"/>
          <w:szCs w:val="32"/>
        </w:rPr>
        <w:t>12．支持开放合作交流：</w:t>
      </w:r>
      <w:r>
        <w:rPr>
          <w:rFonts w:hint="eastAsia" w:eastAsia="仿宋_GB2312"/>
          <w:sz w:val="32"/>
          <w:szCs w:val="32"/>
        </w:rPr>
        <w:t>对区内企业经报备同意举办的未来产业领域全国性峰会、博览会、展览会，给予承办单位一次性5万—10万元的补贴。</w:t>
      </w:r>
      <w:r>
        <w:rPr>
          <w:rFonts w:hint="eastAsia" w:eastAsia="仿宋"/>
          <w:b/>
          <w:bCs/>
          <w:sz w:val="32"/>
          <w:szCs w:val="32"/>
        </w:rPr>
        <w:t>［责任单位：区商务局、区财政局、区工信局］</w:t>
      </w:r>
    </w:p>
    <w:p w14:paraId="60B02D48">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三、保障措施</w:t>
      </w:r>
    </w:p>
    <w:p w14:paraId="2AC46710">
      <w:pPr>
        <w:spacing w:line="560" w:lineRule="exact"/>
        <w:ind w:firstLine="643" w:firstLineChars="200"/>
        <w:rPr>
          <w:rFonts w:eastAsia="仿宋_GB2312"/>
          <w:sz w:val="32"/>
          <w:szCs w:val="32"/>
        </w:rPr>
      </w:pPr>
      <w:r>
        <w:rPr>
          <w:rFonts w:hint="eastAsia" w:ascii="楷体_GB2312" w:hAnsi="楷体_GB2312" w:eastAsia="楷体_GB2312" w:cs="楷体_GB2312"/>
          <w:b/>
          <w:bCs/>
          <w:sz w:val="32"/>
          <w:szCs w:val="32"/>
        </w:rPr>
        <w:t>（一）强化协同联动。</w:t>
      </w:r>
      <w:r>
        <w:rPr>
          <w:rFonts w:hint="eastAsia" w:eastAsia="仿宋_GB2312"/>
          <w:sz w:val="32"/>
          <w:szCs w:val="32"/>
        </w:rPr>
        <w:t>区工信局要发挥好牵头协调作用，各相关责任部门要密切配合，加强信息共享和工作协同，形成推动产业发展的强大合力。</w:t>
      </w:r>
    </w:p>
    <w:p w14:paraId="558C1EB6">
      <w:pPr>
        <w:spacing w:line="560" w:lineRule="exact"/>
        <w:ind w:firstLine="643" w:firstLineChars="200"/>
        <w:rPr>
          <w:rFonts w:eastAsia="仿宋_GB2312"/>
          <w:sz w:val="32"/>
          <w:szCs w:val="32"/>
        </w:rPr>
      </w:pPr>
      <w:r>
        <w:rPr>
          <w:rFonts w:hint="eastAsia" w:ascii="楷体_GB2312" w:hAnsi="楷体_GB2312" w:eastAsia="楷体_GB2312" w:cs="楷体_GB2312"/>
          <w:b/>
          <w:bCs/>
          <w:sz w:val="32"/>
          <w:szCs w:val="32"/>
        </w:rPr>
        <w:t>（二）做好政策宣贯。</w:t>
      </w:r>
      <w:r>
        <w:rPr>
          <w:rFonts w:hint="eastAsia" w:eastAsia="仿宋_GB2312"/>
          <w:sz w:val="32"/>
          <w:szCs w:val="32"/>
        </w:rPr>
        <w:t>通过多种渠道和形式广泛宣传解读政策措施，提高政策知晓度和覆盖面，确保符合条件的企业应享尽享，营造良好发展氛围。</w:t>
      </w:r>
    </w:p>
    <w:p w14:paraId="312FE462">
      <w:pPr>
        <w:spacing w:line="560" w:lineRule="exact"/>
        <w:ind w:firstLine="643" w:firstLineChars="200"/>
        <w:rPr>
          <w:rFonts w:eastAsia="仿宋_GB2312"/>
          <w:sz w:val="32"/>
          <w:szCs w:val="32"/>
        </w:rPr>
      </w:pPr>
      <w:r>
        <w:rPr>
          <w:rFonts w:hint="eastAsia" w:ascii="楷体_GB2312" w:hAnsi="楷体_GB2312" w:eastAsia="楷体_GB2312" w:cs="楷体_GB2312"/>
          <w:b/>
          <w:bCs/>
          <w:sz w:val="32"/>
          <w:szCs w:val="32"/>
        </w:rPr>
        <w:t>（三）严格资金管理。</w:t>
      </w:r>
      <w:r>
        <w:rPr>
          <w:rFonts w:hint="eastAsia" w:eastAsia="仿宋_GB2312"/>
          <w:sz w:val="32"/>
          <w:szCs w:val="32"/>
        </w:rPr>
        <w:t>政策奖补资金纳入年度财政预算总额控制。各责任单位要规范申报、审核和兑现流程，确保资金使用安全、高效、透明。审计部门要加强监督。</w:t>
      </w:r>
    </w:p>
    <w:p w14:paraId="44C187D7">
      <w:pPr>
        <w:spacing w:line="560" w:lineRule="exact"/>
        <w:ind w:firstLine="640" w:firstLineChars="200"/>
      </w:pPr>
      <w:r>
        <w:rPr>
          <w:rFonts w:hint="eastAsia" w:eastAsia="仿宋_GB2312"/>
          <w:sz w:val="32"/>
          <w:szCs w:val="32"/>
        </w:rPr>
        <w:t>本意见自</w:t>
      </w:r>
      <w:r>
        <w:rPr>
          <w:rFonts w:eastAsia="仿宋_GB2312"/>
          <w:sz w:val="32"/>
          <w:szCs w:val="32"/>
        </w:rPr>
        <w:t>2026</w:t>
      </w:r>
      <w:r>
        <w:rPr>
          <w:rFonts w:hint="eastAsia" w:eastAsia="仿宋_GB2312"/>
          <w:sz w:val="32"/>
          <w:szCs w:val="32"/>
        </w:rPr>
        <w:t>年</w:t>
      </w:r>
      <w:r>
        <w:rPr>
          <w:rFonts w:eastAsia="仿宋_GB2312"/>
          <w:sz w:val="32"/>
          <w:szCs w:val="32"/>
        </w:rPr>
        <w:t>1</w:t>
      </w:r>
      <w:r>
        <w:rPr>
          <w:rFonts w:hint="eastAsia" w:eastAsia="仿宋_GB2312"/>
          <w:sz w:val="32"/>
          <w:szCs w:val="32"/>
        </w:rPr>
        <w:t>月</w:t>
      </w:r>
      <w:r>
        <w:rPr>
          <w:rFonts w:eastAsia="仿宋_GB2312"/>
          <w:sz w:val="32"/>
          <w:szCs w:val="32"/>
        </w:rPr>
        <w:t>3</w:t>
      </w:r>
      <w:r>
        <w:rPr>
          <w:rFonts w:hint="eastAsia" w:eastAsia="仿宋_GB2312"/>
          <w:sz w:val="32"/>
          <w:szCs w:val="32"/>
        </w:rPr>
        <w:t>0日起施行，有效期2年。具体由区工信局会同区直有关部门负责解释。省、市、区同类政策按就高不重复奖励原则享受。本意见施行过程中国家、省、市出台新政策的，从其规定。</w:t>
      </w:r>
      <w:r>
        <mc:AlternateContent>
          <mc:Choice Requires="wps">
            <w:drawing>
              <wp:anchor distT="0" distB="0" distL="114300" distR="114300" simplePos="0" relativeHeight="251659264" behindDoc="0" locked="0" layoutInCell="1" allowOverlap="1">
                <wp:simplePos x="0" y="0"/>
                <wp:positionH relativeFrom="column">
                  <wp:posOffset>-303530</wp:posOffset>
                </wp:positionH>
                <wp:positionV relativeFrom="paragraph">
                  <wp:posOffset>8338820</wp:posOffset>
                </wp:positionV>
                <wp:extent cx="832485" cy="396240"/>
                <wp:effectExtent l="0" t="0" r="5715" b="0"/>
                <wp:wrapNone/>
                <wp:docPr id="6" name="文本框 61"/>
                <wp:cNvGraphicFramePr/>
                <a:graphic xmlns:a="http://schemas.openxmlformats.org/drawingml/2006/main">
                  <a:graphicData uri="http://schemas.microsoft.com/office/word/2010/wordprocessingShape">
                    <wps:wsp>
                      <wps:cNvSpPr txBox="1"/>
                      <wps:spPr>
                        <a:xfrm>
                          <a:off x="0" y="0"/>
                          <a:ext cx="832485" cy="396240"/>
                        </a:xfrm>
                        <a:prstGeom prst="rect">
                          <a:avLst/>
                        </a:prstGeom>
                        <a:solidFill>
                          <a:srgbClr val="FFFFFF"/>
                        </a:solidFill>
                        <a:ln w="15875">
                          <a:noFill/>
                        </a:ln>
                        <a:effectLst/>
                      </wps:spPr>
                      <wps:txbx>
                        <w:txbxContent>
                          <w:p w14:paraId="0755EEE5"/>
                        </w:txbxContent>
                      </wps:txbx>
                      <wps:bodyPr wrap="square" upright="1"/>
                    </wps:wsp>
                  </a:graphicData>
                </a:graphic>
              </wp:anchor>
            </w:drawing>
          </mc:Choice>
          <mc:Fallback>
            <w:pict>
              <v:shape id="文本框 61" o:spid="_x0000_s1026" o:spt="202" type="#_x0000_t202" style="position:absolute;left:0pt;margin-left:-23.9pt;margin-top:656.6pt;height:31.2pt;width:65.55pt;z-index:251659264;mso-width-relative:page;mso-height-relative:page;" fillcolor="#FFFFFF" filled="t" stroked="f" coordsize="21600,21600" o:gfxdata="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bQnGdoAAAAMAQAADwAA&#10;AAAAAAABACAAAAAiAAAAZHJzL2Rvd25yZXYueG1sUEsBAhQAFAAAAAgAh07iQP4UIevbAQAAnQMA&#10;AA4AAAAAAAAAAQAgAAAAKQEAAGRycy9lMm9Eb2MueG1sUEsFBgAAAAAGAAYAWQEAAHYFAAAAAA==&#10;">
                <v:fill on="t" focussize="0,0"/>
                <v:stroke on="f" weight="1.25pt"/>
                <v:imagedata o:title=""/>
                <o:lock v:ext="edit" aspectratio="f"/>
                <v:textbox>
                  <w:txbxContent>
                    <w:p w14:paraId="0755EEE5"/>
                  </w:txbxContent>
                </v:textbox>
              </v:shape>
            </w:pict>
          </mc:Fallback>
        </mc:AlternateContent>
      </w:r>
    </w:p>
    <w:bookmarkEnd w:id="0"/>
    <w:sectPr>
      <w:footerReference r:id="rId3" w:type="default"/>
      <w:footerReference r:id="rId4" w:type="even"/>
      <w:pgSz w:w="11906" w:h="16838"/>
      <w:pgMar w:top="2041" w:right="1531" w:bottom="204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6C7C37-8593-4F5A-B7E0-EC53C7036F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499C9B36-CA6E-42DC-AD4A-613978AA14BA}"/>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方正小标宋简体">
    <w:panose1 w:val="02000000000000000000"/>
    <w:charset w:val="86"/>
    <w:family w:val="script"/>
    <w:pitch w:val="default"/>
    <w:sig w:usb0="00000001" w:usb1="08000000" w:usb2="00000000" w:usb3="00000000" w:csb0="00040000" w:csb1="00000000"/>
    <w:embedRegular r:id="rId3" w:fontKey="{D0234F48-CAD4-4481-9040-E8DA0DA28403}"/>
  </w:font>
  <w:font w:name="楷体_GB2312">
    <w:altName w:val="楷体"/>
    <w:panose1 w:val="02010609030101010101"/>
    <w:charset w:val="86"/>
    <w:family w:val="modern"/>
    <w:pitch w:val="default"/>
    <w:sig w:usb0="00000000" w:usb1="00000000" w:usb2="00000010" w:usb3="00000000" w:csb0="00040000" w:csb1="00000000"/>
    <w:embedRegular r:id="rId4" w:fontKey="{8C67A1A7-125B-4EE6-A7BF-451230F1DFD6}"/>
  </w:font>
  <w:font w:name="仿宋">
    <w:panose1 w:val="02010609060101010101"/>
    <w:charset w:val="86"/>
    <w:family w:val="modern"/>
    <w:pitch w:val="default"/>
    <w:sig w:usb0="800002BF" w:usb1="38CF7CFA" w:usb2="00000016" w:usb3="00000000" w:csb0="00040001" w:csb1="00000000"/>
    <w:embedRegular r:id="rId5" w:fontKey="{6872015C-B2F0-412B-8F45-B43C5DA25D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632D5">
    <w:pPr>
      <w:pStyle w:val="5"/>
      <w:framePr w:wrap="around" w:vAnchor="text" w:hAnchor="margin" w:xAlign="outside" w:y="1"/>
      <w:rPr>
        <w:rStyle w:val="10"/>
        <w:sz w:val="28"/>
        <w:szCs w:val="28"/>
      </w:rPr>
    </w:pP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- 1 -</w:t>
    </w:r>
    <w:r>
      <w:rPr>
        <w:rStyle w:val="10"/>
        <w:sz w:val="28"/>
        <w:szCs w:val="28"/>
      </w:rPr>
      <w:fldChar w:fldCharType="end"/>
    </w:r>
  </w:p>
  <w:p w14:paraId="25A91AF5">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C3EF3">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421C2616">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MzcwOTM2NDkxNTA1Y2Y4YmI2ZmM1MDE3Y2JlOTIifQ=="/>
  </w:docVars>
  <w:rsids>
    <w:rsidRoot w:val="00D21EC6"/>
    <w:rsid w:val="000A5F17"/>
    <w:rsid w:val="002D0D54"/>
    <w:rsid w:val="0038490F"/>
    <w:rsid w:val="00595BC9"/>
    <w:rsid w:val="005C4399"/>
    <w:rsid w:val="00645B02"/>
    <w:rsid w:val="00686891"/>
    <w:rsid w:val="007F6E25"/>
    <w:rsid w:val="008A4B98"/>
    <w:rsid w:val="00A21EE5"/>
    <w:rsid w:val="00A84E89"/>
    <w:rsid w:val="00AC7504"/>
    <w:rsid w:val="00AE4276"/>
    <w:rsid w:val="00B57467"/>
    <w:rsid w:val="00B84EAB"/>
    <w:rsid w:val="00BC4C51"/>
    <w:rsid w:val="00BD6D24"/>
    <w:rsid w:val="00CD4752"/>
    <w:rsid w:val="00D009D7"/>
    <w:rsid w:val="00D21EC6"/>
    <w:rsid w:val="00E910FC"/>
    <w:rsid w:val="00F461B0"/>
    <w:rsid w:val="05C805CD"/>
    <w:rsid w:val="09B23D05"/>
    <w:rsid w:val="143264DA"/>
    <w:rsid w:val="157B701D"/>
    <w:rsid w:val="1BF93F0A"/>
    <w:rsid w:val="201E1DBC"/>
    <w:rsid w:val="21C244AB"/>
    <w:rsid w:val="28C43977"/>
    <w:rsid w:val="29DC2957"/>
    <w:rsid w:val="30486192"/>
    <w:rsid w:val="323D386C"/>
    <w:rsid w:val="35243A1C"/>
    <w:rsid w:val="44560A60"/>
    <w:rsid w:val="4E9066F0"/>
    <w:rsid w:val="537537AA"/>
    <w:rsid w:val="5E3E4C2D"/>
    <w:rsid w:val="6C1C0987"/>
    <w:rsid w:val="718350B3"/>
    <w:rsid w:val="75242305"/>
    <w:rsid w:val="7BCE2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uiPriority w:val="0"/>
    <w:pPr>
      <w:keepNext/>
      <w:keepLines/>
      <w:spacing w:before="340" w:after="330" w:line="576" w:lineRule="auto"/>
      <w:outlineLvl w:val="0"/>
    </w:pPr>
    <w:rPr>
      <w:rFonts w:ascii="Calibri" w:hAnsi="Calibri" w:eastAsia="黑体"/>
      <w:kern w:val="44"/>
    </w:rPr>
  </w:style>
  <w:style w:type="paragraph" w:styleId="3">
    <w:name w:val="heading 3"/>
    <w:basedOn w:val="1"/>
    <w:next w:val="1"/>
    <w:qFormat/>
    <w:uiPriority w:val="9"/>
    <w:pPr>
      <w:keepNext/>
      <w:keepLines/>
      <w:spacing w:before="100" w:after="100"/>
      <w:outlineLvl w:val="2"/>
    </w:pPr>
    <w:rPr>
      <w:rFonts w:eastAsia="楷体"/>
      <w:b/>
      <w:bCs/>
      <w:kern w:val="0"/>
      <w:sz w:val="20"/>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before="100" w:beforeAutospacing="1" w:after="100" w:afterAutospacing="1"/>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jc w:val="left"/>
    </w:pPr>
    <w:rPr>
      <w:rFonts w:ascii="宋体" w:hAnsi="宋体" w:cs="宋体"/>
      <w:kern w:val="0"/>
      <w:sz w:val="24"/>
      <w:szCs w:val="24"/>
    </w:rPr>
  </w:style>
  <w:style w:type="character" w:styleId="10">
    <w:name w:val="page number"/>
    <w:basedOn w:val="9"/>
    <w:qFormat/>
    <w:uiPriority w:val="0"/>
  </w:style>
  <w:style w:type="paragraph" w:customStyle="1" w:styleId="11">
    <w:name w:val="正文1"/>
    <w:basedOn w:val="1"/>
    <w:qFormat/>
    <w:uiPriority w:val="0"/>
    <w:pPr>
      <w:widowControl/>
    </w:pPr>
    <w:rPr>
      <w:rFonts w:ascii="Calibri" w:hAnsi="Calibri" w:cs="宋体"/>
    </w:rPr>
  </w:style>
  <w:style w:type="paragraph" w:customStyle="1" w:styleId="12">
    <w:name w:val="正文_0"/>
    <w:basedOn w:val="1"/>
    <w:qFormat/>
    <w:uiPriority w:val="0"/>
    <w:rPr>
      <w:rFonts w:eastAsia="仿宋_GB231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13d73e80-da82-4e39-a102-af5198ab7310</errorID>
      <errorWord>(</errorWord>
      <group>L1_Format</group>
      <groupName>格式问题</groupName>
      <ability>L2_HalfPunc</ability>
      <abilityName>全半角检查</abilityName>
      <candidateList>
        <item>（</item>
      </candidateList>
      <explain>文本全半角错误。</explain>
      <paraID>110A5807</paraID>
      <start>31</start>
      <end>32</end>
      <status>unmodified</status>
      <modifiedWord/>
      <trackRevisions>false</trackRevisions>
    </reviewItem>
    <reviewItem>
      <errorID>0b08a3af-9c93-41cb-bca2-1d9fc0631079</errorID>
      <errorWord>)</errorWord>
      <group>L1_Format</group>
      <groupName>格式问题</groupName>
      <ability>L2_HalfPunc</ability>
      <abilityName>全半角检查</abilityName>
      <candidateList>
        <item>）</item>
      </candidateList>
      <explain>文本全半角错误。</explain>
      <paraID>110A5807</paraID>
      <start>49</start>
      <end>50</end>
      <status>unmodified</status>
      <modifiedWord/>
      <trackRevisions>false</trackRevisions>
    </reviewItem>
    <reviewItem>
      <errorID>0df8d953-7358-438a-be73-1173c1b14bb9</errorID>
      <errorWord>:</errorWord>
      <group>L1_Format</group>
      <groupName>格式问题</groupName>
      <ability>L2_HalfPunc</ability>
      <abilityName>全半角检查</abilityName>
      <candidateList>
        <item>：</item>
      </candidateList>
      <explain>文本全半角错误。</explain>
      <paraID>110A5807</paraID>
      <start>111</start>
      <end>112</end>
      <status>unmodified</status>
      <modifiedWord/>
      <trackRevisions>false</trackRevisions>
    </reviewItem>
    <reviewItem>
      <errorID>4a9ca571-ea6e-4c51-8237-a0d69c63204e</errorID>
      <errorWord>"</errorWord>
      <group>L1_Format</group>
      <groupName>格式问题</groupName>
      <ability>L2_HalfPunc</ability>
      <abilityName>全半角检查</abilityName>
      <candidateList>
        <item>“</item>
      </candidateList>
      <explain>文本全半角错误。</explain>
      <paraID>3931013C</paraID>
      <start>64</start>
      <end>65</end>
      <status>unmodified</status>
      <modifiedWord/>
      <trackRevisions>false</trackRevisions>
    </reviewItem>
    <reviewItem>
      <errorID>b6e9baf4-8ef2-4289-bbf8-707622ade687</errorID>
      <errorWord>"</errorWord>
      <group>L1_Format</group>
      <groupName>格式问题</groupName>
      <ability>L2_HalfPunc</ability>
      <abilityName>全半角检查</abilityName>
      <candidateList>
        <item>”</item>
      </candidateList>
      <explain>文本全半角错误。</explain>
      <paraID>3931013C</paraID>
      <start>70</start>
      <end>71</end>
      <status>unmodified</status>
      <modifiedWord/>
      <trackRevisions>false</trackRevisions>
    </reviewItem>
    <reviewItem>
      <errorID>ad6ce8ce-9857-4c45-9cce-11743c22c136</errorID>
      <errorWord>战略性新兴企业</errorWord>
      <group>L1_Political</group>
      <groupName>政治性问题</groupName>
      <ability>L2_Keyword</ability>
      <abilityName>固定表述</abilityName>
      <candidateList>
        <item>战略性新兴产业</item>
      </candidateList>
      <explain>词汇“战略性新兴产业”在特定场景下为固定表述形式，请确认此处的“战略性新兴企业”是否存在不当。</explain>
      <paraID>434C0350</paraID>
      <start>60</start>
      <end>67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216DDB-99DD-421F-88CA-63D075176B1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2505</Words>
  <Characters>2563</Characters>
  <Lines>18</Lines>
  <Paragraphs>5</Paragraphs>
  <TotalTime>14</TotalTime>
  <ScaleCrop>false</ScaleCrop>
  <LinksUpToDate>false</LinksUpToDate>
  <CharactersWithSpaces>2604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2023-01-12T06:54:00Z</dcterms:created>
  <dc:creator>vv</dc:creator>
  <cp:lastModifiedBy>孟</cp:lastModifiedBy>
  <cp:lastPrinted>2026-01-14T01:35:00Z</cp:lastPrinted>
  <dcterms:modified xsi:type="dcterms:W3CDTF">2026-01-16T03:31:19Z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8752F20A5D594C92B21D6F306259514E_13</vt:lpwstr>
  </property>
  <property fmtid="{D5CDD505-2E9C-101B-9397-08002B2CF9AE}" pid="4" name="KSOTemplateDocerSaveRecord">
    <vt:lpwstr>eyJoZGlkIjoiZTU4OWFkOTI0ZTEwOGEyMWU1YTk5NmM1NmZmYTc5MDciLCJ1c2VySWQiOiIyNTI3OTk3MjkifQ==</vt:lpwstr>
  </property>
</Properties>
</file>