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3525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default" w:ascii="Times New Roman" w:hAnsi="Times New Roman" w:cs="Times New Roman"/>
          <w:highlight w:val="none"/>
        </w:rPr>
      </w:pPr>
    </w:p>
    <w:p w14:paraId="7A9FDA05">
      <w:pPr>
        <w:widowControl w:val="0"/>
        <w:kinsoku/>
        <w:autoSpaceDE/>
        <w:autoSpaceDN/>
        <w:adjustRightInd/>
        <w:snapToGrid/>
        <w:spacing w:line="240" w:lineRule="auto"/>
        <w:jc w:val="center"/>
        <w:textAlignment w:val="auto"/>
        <w:rPr>
          <w:rFonts w:hint="default" w:ascii="Times New Roman" w:hAnsi="Times New Roman" w:eastAsia="仿宋" w:cs="Times New Roman"/>
          <w:b/>
          <w:bCs/>
          <w:snapToGrid/>
          <w:color w:val="000000"/>
          <w:kern w:val="2"/>
          <w:sz w:val="44"/>
          <w:szCs w:val="44"/>
          <w:lang w:eastAsia="zh-CN"/>
        </w:rPr>
      </w:pPr>
      <w:r>
        <w:rPr>
          <w:rFonts w:hint="default" w:ascii="Times New Roman" w:hAnsi="Times New Roman" w:eastAsia="仿宋" w:cs="Times New Roman"/>
          <w:b/>
          <w:bCs/>
          <w:snapToGrid/>
          <w:color w:val="000000"/>
          <w:kern w:val="2"/>
          <w:sz w:val="44"/>
          <w:szCs w:val="44"/>
          <w:lang w:eastAsia="zh-CN"/>
        </w:rPr>
        <w:t>电子门锁产品质量监督抽查</w:t>
      </w:r>
      <w:bookmarkStart w:id="0" w:name="_GoBack"/>
      <w:bookmarkEnd w:id="0"/>
      <w:r>
        <w:rPr>
          <w:rFonts w:hint="default" w:ascii="Times New Roman" w:hAnsi="Times New Roman" w:eastAsia="仿宋" w:cs="Times New Roman"/>
          <w:b/>
          <w:bCs/>
          <w:snapToGrid/>
          <w:color w:val="000000"/>
          <w:kern w:val="2"/>
          <w:sz w:val="44"/>
          <w:szCs w:val="44"/>
          <w:lang w:eastAsia="zh-CN"/>
        </w:rPr>
        <w:t>实施细则（2025年版）</w:t>
      </w:r>
    </w:p>
    <w:p w14:paraId="5AD3918B">
      <w:pPr>
        <w:pStyle w:val="2"/>
        <w:ind w:left="0" w:leftChars="0" w:firstLine="0" w:firstLineChars="0"/>
        <w:rPr>
          <w:rFonts w:hint="default" w:ascii="Times New Roman" w:hAnsi="Times New Roman" w:eastAsia="仿宋" w:cs="Times New Roman"/>
          <w:b/>
          <w:bCs/>
          <w:snapToGrid/>
          <w:color w:val="000000"/>
          <w:kern w:val="2"/>
          <w:sz w:val="44"/>
          <w:szCs w:val="44"/>
          <w:lang w:eastAsia="zh-CN"/>
        </w:rPr>
      </w:pPr>
    </w:p>
    <w:p w14:paraId="3289ACFE">
      <w:pPr>
        <w:widowControl w:val="0"/>
        <w:kinsoku/>
        <w:autoSpaceDE/>
        <w:autoSpaceDN/>
        <w:adjustRightInd/>
        <w:snapToGrid/>
        <w:spacing w:before="156" w:beforeLines="50" w:line="360" w:lineRule="auto"/>
        <w:jc w:val="both"/>
        <w:textAlignment w:val="auto"/>
        <w:rPr>
          <w:rFonts w:hint="default" w:ascii="Times New Roman" w:hAnsi="Times New Roman" w:eastAsia="仿宋" w:cs="Times New Roman"/>
          <w:b/>
          <w:snapToGrid/>
          <w:kern w:val="2"/>
          <w:sz w:val="24"/>
          <w:szCs w:val="24"/>
          <w:lang w:eastAsia="zh-CN"/>
        </w:rPr>
      </w:pPr>
      <w:r>
        <w:rPr>
          <w:rFonts w:hint="default" w:ascii="Times New Roman" w:hAnsi="Times New Roman" w:eastAsia="仿宋" w:cs="Times New Roman"/>
          <w:b/>
          <w:snapToGrid/>
          <w:kern w:val="2"/>
          <w:sz w:val="24"/>
          <w:szCs w:val="24"/>
          <w:lang w:eastAsia="zh-CN"/>
        </w:rPr>
        <w:t>1 抽样方法</w:t>
      </w:r>
    </w:p>
    <w:p w14:paraId="2AFFE63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z w:val="22"/>
          <w:szCs w:val="22"/>
          <w:highlight w:val="none"/>
        </w:rPr>
      </w:pPr>
      <w:r>
        <w:rPr>
          <w:rFonts w:hint="default" w:ascii="Times New Roman" w:hAnsi="Times New Roman" w:eastAsia="宋体" w:cs="Times New Roman"/>
          <w:spacing w:val="-2"/>
          <w:sz w:val="22"/>
          <w:szCs w:val="22"/>
          <w:highlight w:val="none"/>
        </w:rPr>
        <w:t>以随机抽样的方式在被抽样生产者、销售者的待销产品中抽取。</w:t>
      </w:r>
    </w:p>
    <w:p w14:paraId="4CEA9C4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z w:val="22"/>
          <w:szCs w:val="22"/>
          <w:highlight w:val="none"/>
        </w:rPr>
      </w:pPr>
      <w:r>
        <w:rPr>
          <w:rFonts w:hint="default" w:ascii="Times New Roman" w:hAnsi="Times New Roman" w:eastAsia="宋体" w:cs="Times New Roman"/>
          <w:spacing w:val="-2"/>
          <w:sz w:val="22"/>
          <w:szCs w:val="22"/>
          <w:highlight w:val="none"/>
        </w:rPr>
        <w:t>随机数一般可使用随机数表等方法产生。</w:t>
      </w:r>
    </w:p>
    <w:p w14:paraId="01C3644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jc w:val="both"/>
        <w:textAlignment w:val="baseline"/>
        <w:rPr>
          <w:rFonts w:hint="default" w:ascii="Times New Roman" w:hAnsi="Times New Roman" w:eastAsia="宋体" w:cs="Times New Roman"/>
          <w:spacing w:val="-4"/>
          <w:sz w:val="22"/>
          <w:szCs w:val="22"/>
          <w:highlight w:val="none"/>
        </w:rPr>
      </w:pPr>
      <w:r>
        <w:rPr>
          <w:rFonts w:hint="default" w:ascii="Times New Roman" w:hAnsi="Times New Roman" w:eastAsia="宋体" w:cs="Times New Roman"/>
          <w:spacing w:val="-1"/>
          <w:sz w:val="22"/>
          <w:szCs w:val="22"/>
          <w:highlight w:val="none"/>
        </w:rPr>
        <w:t>每批次抽样数量抽取样品</w:t>
      </w:r>
      <w:r>
        <w:rPr>
          <w:rFonts w:hint="default" w:ascii="Times New Roman" w:hAnsi="Times New Roman" w:eastAsia="宋体" w:cs="Times New Roman"/>
          <w:spacing w:val="-54"/>
          <w:sz w:val="22"/>
          <w:szCs w:val="22"/>
          <w:highlight w:val="none"/>
        </w:rPr>
        <w:t xml:space="preserve"> </w:t>
      </w:r>
      <w:r>
        <w:rPr>
          <w:rFonts w:hint="default" w:ascii="Times New Roman" w:hAnsi="Times New Roman" w:eastAsia="宋体" w:cs="Times New Roman"/>
          <w:spacing w:val="-1"/>
          <w:sz w:val="22"/>
          <w:szCs w:val="22"/>
          <w:highlight w:val="none"/>
        </w:rPr>
        <w:t>2</w:t>
      </w:r>
      <w:r>
        <w:rPr>
          <w:rFonts w:hint="default" w:ascii="Times New Roman" w:hAnsi="Times New Roman" w:eastAsia="宋体" w:cs="Times New Roman"/>
          <w:spacing w:val="-55"/>
          <w:sz w:val="22"/>
          <w:szCs w:val="22"/>
          <w:highlight w:val="none"/>
        </w:rPr>
        <w:t xml:space="preserve"> </w:t>
      </w:r>
      <w:r>
        <w:rPr>
          <w:rFonts w:hint="default" w:ascii="Times New Roman" w:hAnsi="Times New Roman" w:eastAsia="宋体" w:cs="Times New Roman"/>
          <w:spacing w:val="-1"/>
          <w:sz w:val="22"/>
          <w:szCs w:val="22"/>
          <w:highlight w:val="none"/>
        </w:rPr>
        <w:t>套，其中</w:t>
      </w:r>
      <w:r>
        <w:rPr>
          <w:rFonts w:hint="default" w:ascii="Times New Roman" w:hAnsi="Times New Roman" w:eastAsia="宋体" w:cs="Times New Roman"/>
          <w:spacing w:val="-36"/>
          <w:sz w:val="22"/>
          <w:szCs w:val="22"/>
          <w:highlight w:val="none"/>
        </w:rPr>
        <w:t xml:space="preserve"> </w:t>
      </w:r>
      <w:r>
        <w:rPr>
          <w:rFonts w:hint="default" w:ascii="Times New Roman" w:hAnsi="Times New Roman" w:eastAsia="宋体" w:cs="Times New Roman"/>
          <w:spacing w:val="-1"/>
          <w:sz w:val="22"/>
          <w:szCs w:val="22"/>
          <w:highlight w:val="none"/>
        </w:rPr>
        <w:t>1</w:t>
      </w:r>
      <w:r>
        <w:rPr>
          <w:rFonts w:hint="default" w:ascii="Times New Roman" w:hAnsi="Times New Roman" w:eastAsia="宋体" w:cs="Times New Roman"/>
          <w:spacing w:val="-57"/>
          <w:sz w:val="22"/>
          <w:szCs w:val="22"/>
          <w:highlight w:val="none"/>
        </w:rPr>
        <w:t xml:space="preserve"> </w:t>
      </w:r>
      <w:r>
        <w:rPr>
          <w:rFonts w:hint="default" w:ascii="Times New Roman" w:hAnsi="Times New Roman" w:eastAsia="宋体" w:cs="Times New Roman"/>
          <w:spacing w:val="-1"/>
          <w:sz w:val="22"/>
          <w:szCs w:val="22"/>
          <w:highlight w:val="none"/>
        </w:rPr>
        <w:t>套作为检验样品，</w:t>
      </w:r>
      <w:r>
        <w:rPr>
          <w:rFonts w:hint="default" w:ascii="Times New Roman" w:hAnsi="Times New Roman" w:eastAsia="宋体" w:cs="Times New Roman"/>
          <w:spacing w:val="-2"/>
          <w:sz w:val="22"/>
          <w:szCs w:val="22"/>
          <w:highlight w:val="none"/>
        </w:rPr>
        <w:t>1</w:t>
      </w:r>
      <w:r>
        <w:rPr>
          <w:rFonts w:hint="default" w:ascii="Times New Roman" w:hAnsi="Times New Roman" w:eastAsia="宋体" w:cs="Times New Roman"/>
          <w:spacing w:val="-55"/>
          <w:sz w:val="22"/>
          <w:szCs w:val="22"/>
          <w:highlight w:val="none"/>
        </w:rPr>
        <w:t xml:space="preserve"> </w:t>
      </w:r>
      <w:r>
        <w:rPr>
          <w:rFonts w:hint="default" w:ascii="Times New Roman" w:hAnsi="Times New Roman" w:eastAsia="宋体" w:cs="Times New Roman"/>
          <w:spacing w:val="-2"/>
          <w:sz w:val="22"/>
          <w:szCs w:val="22"/>
          <w:highlight w:val="none"/>
        </w:rPr>
        <w:t>套作为备</w:t>
      </w:r>
      <w:r>
        <w:rPr>
          <w:rFonts w:hint="default" w:ascii="Times New Roman" w:hAnsi="Times New Roman" w:eastAsia="宋体" w:cs="Times New Roman"/>
          <w:spacing w:val="-4"/>
          <w:sz w:val="22"/>
          <w:szCs w:val="22"/>
          <w:highlight w:val="none"/>
        </w:rPr>
        <w:t>用样品。</w:t>
      </w:r>
    </w:p>
    <w:p w14:paraId="6A97345B">
      <w:pPr>
        <w:pStyle w:val="2"/>
        <w:rPr>
          <w:rFonts w:hint="default" w:ascii="Times New Roman" w:hAnsi="Times New Roman" w:cs="Times New Roman"/>
        </w:rPr>
      </w:pPr>
    </w:p>
    <w:p w14:paraId="502CF598">
      <w:pPr>
        <w:widowControl w:val="0"/>
        <w:kinsoku/>
        <w:autoSpaceDE/>
        <w:autoSpaceDN/>
        <w:adjustRightInd/>
        <w:snapToGrid/>
        <w:spacing w:before="156" w:beforeLines="50" w:line="360" w:lineRule="auto"/>
        <w:jc w:val="both"/>
        <w:textAlignment w:val="auto"/>
        <w:rPr>
          <w:rFonts w:hint="default" w:ascii="Times New Roman" w:hAnsi="Times New Roman" w:eastAsia="仿宋" w:cs="Times New Roman"/>
          <w:b/>
          <w:snapToGrid/>
          <w:kern w:val="2"/>
          <w:sz w:val="24"/>
          <w:szCs w:val="24"/>
          <w:lang w:eastAsia="zh-CN"/>
        </w:rPr>
      </w:pPr>
      <w:r>
        <w:rPr>
          <w:rFonts w:hint="default" w:ascii="Times New Roman" w:hAnsi="Times New Roman" w:eastAsia="仿宋" w:cs="Times New Roman"/>
          <w:b/>
          <w:snapToGrid/>
          <w:kern w:val="2"/>
          <w:sz w:val="24"/>
          <w:szCs w:val="24"/>
          <w:lang w:eastAsia="zh-CN"/>
        </w:rPr>
        <w:t>2 检验依据</w:t>
      </w:r>
    </w:p>
    <w:p w14:paraId="306804C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表1</w:t>
      </w:r>
      <w:r>
        <w:rPr>
          <w:rFonts w:hint="default" w:ascii="Times New Roman" w:hAnsi="Times New Roman" w:eastAsia="宋体" w:cs="Times New Roman"/>
          <w:color w:val="000000"/>
          <w:sz w:val="21"/>
          <w:szCs w:val="21"/>
          <w:highlight w:val="none"/>
          <w:lang w:val="en-US" w:eastAsia="zh-CN"/>
        </w:rPr>
        <w:t xml:space="preserve"> </w:t>
      </w:r>
      <w:r>
        <w:rPr>
          <w:rFonts w:hint="default" w:ascii="Times New Roman" w:hAnsi="Times New Roman" w:eastAsia="宋体" w:cs="Times New Roman"/>
          <w:color w:val="000000"/>
          <w:sz w:val="21"/>
          <w:szCs w:val="21"/>
          <w:highlight w:val="none"/>
        </w:rPr>
        <w:t>电子门锁（GB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2316"/>
        <w:gridCol w:w="2759"/>
        <w:gridCol w:w="2757"/>
      </w:tblGrid>
      <w:tr w14:paraId="1D07F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3" w:type="pct"/>
            <w:noWrap w:val="0"/>
            <w:vAlign w:val="center"/>
          </w:tcPr>
          <w:p w14:paraId="5B03E27C">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序号</w:t>
            </w:r>
          </w:p>
        </w:tc>
        <w:tc>
          <w:tcPr>
            <w:tcW w:w="1359" w:type="pct"/>
            <w:noWrap w:val="0"/>
            <w:vAlign w:val="center"/>
          </w:tcPr>
          <w:p w14:paraId="4CC44324">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检验项目</w:t>
            </w:r>
          </w:p>
        </w:tc>
        <w:tc>
          <w:tcPr>
            <w:tcW w:w="1619" w:type="pct"/>
            <w:noWrap w:val="0"/>
            <w:vAlign w:val="center"/>
          </w:tcPr>
          <w:p w14:paraId="2C5C79DD">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检验依据</w:t>
            </w:r>
          </w:p>
        </w:tc>
        <w:tc>
          <w:tcPr>
            <w:tcW w:w="1618" w:type="pct"/>
            <w:noWrap w:val="0"/>
            <w:vAlign w:val="center"/>
          </w:tcPr>
          <w:p w14:paraId="4FBCB620">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检验方法</w:t>
            </w:r>
          </w:p>
        </w:tc>
      </w:tr>
      <w:tr w14:paraId="28262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3" w:type="pct"/>
            <w:noWrap w:val="0"/>
            <w:vAlign w:val="center"/>
          </w:tcPr>
          <w:p w14:paraId="3180C95F">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1</w:t>
            </w:r>
          </w:p>
        </w:tc>
        <w:tc>
          <w:tcPr>
            <w:tcW w:w="1359" w:type="pct"/>
            <w:noWrap w:val="0"/>
            <w:vAlign w:val="center"/>
          </w:tcPr>
          <w:p w14:paraId="4562EAD1">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锁舌轴向静载荷</w:t>
            </w:r>
          </w:p>
        </w:tc>
        <w:tc>
          <w:tcPr>
            <w:tcW w:w="1619" w:type="pct"/>
            <w:noWrap w:val="0"/>
            <w:vAlign w:val="center"/>
          </w:tcPr>
          <w:p w14:paraId="6982250D">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c>
          <w:tcPr>
            <w:tcW w:w="1618" w:type="pct"/>
            <w:noWrap w:val="0"/>
            <w:vAlign w:val="center"/>
          </w:tcPr>
          <w:p w14:paraId="33381C69">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r>
      <w:tr w14:paraId="78601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3" w:type="pct"/>
            <w:noWrap w:val="0"/>
            <w:vAlign w:val="center"/>
          </w:tcPr>
          <w:p w14:paraId="34F7B864">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2</w:t>
            </w:r>
          </w:p>
        </w:tc>
        <w:tc>
          <w:tcPr>
            <w:tcW w:w="1359" w:type="pct"/>
            <w:noWrap w:val="0"/>
            <w:vAlign w:val="center"/>
          </w:tcPr>
          <w:p w14:paraId="0206ACB4">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锁舌侧向静载荷</w:t>
            </w:r>
          </w:p>
        </w:tc>
        <w:tc>
          <w:tcPr>
            <w:tcW w:w="1619" w:type="pct"/>
            <w:noWrap w:val="0"/>
            <w:vAlign w:val="center"/>
          </w:tcPr>
          <w:p w14:paraId="4F2A87CF">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c>
          <w:tcPr>
            <w:tcW w:w="1618" w:type="pct"/>
            <w:noWrap w:val="0"/>
            <w:vAlign w:val="center"/>
          </w:tcPr>
          <w:p w14:paraId="2035591B">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r>
      <w:tr w14:paraId="01141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3" w:type="pct"/>
            <w:noWrap w:val="0"/>
            <w:vAlign w:val="center"/>
          </w:tcPr>
          <w:p w14:paraId="20DA649A">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3</w:t>
            </w:r>
          </w:p>
        </w:tc>
        <w:tc>
          <w:tcPr>
            <w:tcW w:w="1359" w:type="pct"/>
            <w:noWrap w:val="0"/>
            <w:vAlign w:val="center"/>
          </w:tcPr>
          <w:p w14:paraId="2294E7B1">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手动操作件静压力及扭矩</w:t>
            </w:r>
          </w:p>
        </w:tc>
        <w:tc>
          <w:tcPr>
            <w:tcW w:w="1619" w:type="pct"/>
            <w:shd w:val="clear" w:color="auto" w:fill="auto"/>
            <w:noWrap w:val="0"/>
            <w:vAlign w:val="center"/>
          </w:tcPr>
          <w:p w14:paraId="033F7990">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c>
          <w:tcPr>
            <w:tcW w:w="1618" w:type="pct"/>
            <w:noWrap w:val="0"/>
            <w:vAlign w:val="center"/>
          </w:tcPr>
          <w:p w14:paraId="34E33229">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r>
      <w:tr w14:paraId="06F70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3" w:type="pct"/>
            <w:shd w:val="clear" w:color="auto" w:fill="auto"/>
            <w:noWrap w:val="0"/>
            <w:vAlign w:val="center"/>
          </w:tcPr>
          <w:p w14:paraId="3E99ABE0">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kern w:val="2"/>
                <w:sz w:val="21"/>
                <w:szCs w:val="21"/>
                <w:highlight w:val="none"/>
                <w:lang w:val="en-US" w:eastAsia="zh-CN" w:bidi="ar-SA"/>
              </w:rPr>
            </w:pPr>
            <w:r>
              <w:rPr>
                <w:rFonts w:hint="default" w:ascii="Times New Roman" w:hAnsi="Times New Roman" w:eastAsia="宋体" w:cs="Times New Roman"/>
                <w:color w:val="000000"/>
                <w:sz w:val="21"/>
                <w:szCs w:val="21"/>
                <w:highlight w:val="none"/>
              </w:rPr>
              <w:t>4</w:t>
            </w:r>
          </w:p>
        </w:tc>
        <w:tc>
          <w:tcPr>
            <w:tcW w:w="1359" w:type="pct"/>
            <w:noWrap w:val="0"/>
            <w:vAlign w:val="center"/>
          </w:tcPr>
          <w:p w14:paraId="507CF736">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rPr>
              <w:t>安全性要求(过压运行、阻燃)</w:t>
            </w:r>
          </w:p>
        </w:tc>
        <w:tc>
          <w:tcPr>
            <w:tcW w:w="1619" w:type="pct"/>
            <w:shd w:val="clear" w:color="auto" w:fill="auto"/>
            <w:noWrap w:val="0"/>
            <w:vAlign w:val="center"/>
          </w:tcPr>
          <w:p w14:paraId="2983EC78">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zh-CN" w:bidi="ar-SA"/>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r>
              <w:rPr>
                <w:rFonts w:hint="default" w:ascii="Times New Roman" w:hAnsi="Times New Roman" w:eastAsia="宋体" w:cs="Times New Roman"/>
                <w:color w:val="000000"/>
                <w:sz w:val="21"/>
                <w:szCs w:val="21"/>
                <w:highlight w:val="none"/>
                <w:lang w:val="en-US" w:eastAsia="zh-CN"/>
              </w:rPr>
              <w:t xml:space="preserve"> </w:t>
            </w:r>
          </w:p>
        </w:tc>
        <w:tc>
          <w:tcPr>
            <w:tcW w:w="1618" w:type="pct"/>
            <w:noWrap w:val="0"/>
            <w:vAlign w:val="center"/>
          </w:tcPr>
          <w:p w14:paraId="4719C616">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r>
      <w:tr w14:paraId="74BFA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3" w:type="pct"/>
            <w:shd w:val="clear" w:color="auto" w:fill="auto"/>
            <w:noWrap w:val="0"/>
            <w:vAlign w:val="center"/>
          </w:tcPr>
          <w:p w14:paraId="45C266DE">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kern w:val="2"/>
                <w:sz w:val="21"/>
                <w:szCs w:val="21"/>
                <w:highlight w:val="none"/>
                <w:lang w:val="en-US" w:eastAsia="zh-CN" w:bidi="ar-SA"/>
              </w:rPr>
            </w:pPr>
            <w:r>
              <w:rPr>
                <w:rFonts w:hint="default" w:ascii="Times New Roman" w:hAnsi="Times New Roman" w:eastAsia="宋体" w:cs="Times New Roman"/>
                <w:color w:val="000000"/>
                <w:sz w:val="21"/>
                <w:szCs w:val="21"/>
                <w:highlight w:val="none"/>
              </w:rPr>
              <w:t>5</w:t>
            </w:r>
          </w:p>
        </w:tc>
        <w:tc>
          <w:tcPr>
            <w:tcW w:w="1359" w:type="pct"/>
            <w:noWrap w:val="0"/>
            <w:vAlign w:val="center"/>
          </w:tcPr>
          <w:p w14:paraId="773865EF">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电源性能(电池容量</w:t>
            </w:r>
            <w:r>
              <w:rPr>
                <w:rFonts w:hint="default" w:ascii="Times New Roman" w:hAnsi="Times New Roman" w:eastAsia="宋体" w:cs="Times New Roman"/>
                <w:color w:val="000000"/>
                <w:sz w:val="21"/>
                <w:szCs w:val="21"/>
                <w:highlight w:val="none"/>
                <w:lang w:eastAsia="zh-CN"/>
              </w:rPr>
              <w:t>、</w:t>
            </w:r>
            <w:r>
              <w:rPr>
                <w:rFonts w:hint="default" w:ascii="Times New Roman" w:hAnsi="Times New Roman" w:eastAsia="宋体" w:cs="Times New Roman"/>
                <w:color w:val="000000"/>
                <w:sz w:val="21"/>
                <w:szCs w:val="21"/>
                <w:highlight w:val="none"/>
              </w:rPr>
              <w:t>欠压与电源适应性)</w:t>
            </w:r>
          </w:p>
        </w:tc>
        <w:tc>
          <w:tcPr>
            <w:tcW w:w="1619" w:type="pct"/>
            <w:noWrap w:val="0"/>
            <w:vAlign w:val="center"/>
          </w:tcPr>
          <w:p w14:paraId="38631E1D">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c>
          <w:tcPr>
            <w:tcW w:w="1618" w:type="pct"/>
            <w:noWrap w:val="0"/>
            <w:vAlign w:val="center"/>
          </w:tcPr>
          <w:p w14:paraId="19DE9B6D">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r>
      <w:tr w14:paraId="24D69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3" w:type="pct"/>
            <w:shd w:val="clear" w:color="auto" w:fill="auto"/>
            <w:noWrap w:val="0"/>
            <w:vAlign w:val="center"/>
          </w:tcPr>
          <w:p w14:paraId="46C68D4E">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kern w:val="2"/>
                <w:sz w:val="21"/>
                <w:szCs w:val="21"/>
                <w:highlight w:val="none"/>
                <w:lang w:val="en-US" w:eastAsia="zh-CN" w:bidi="ar-SA"/>
              </w:rPr>
            </w:pPr>
            <w:r>
              <w:rPr>
                <w:rFonts w:hint="default" w:ascii="Times New Roman" w:hAnsi="Times New Roman" w:eastAsia="宋体" w:cs="Times New Roman"/>
                <w:color w:val="000000"/>
                <w:sz w:val="21"/>
                <w:szCs w:val="21"/>
                <w:highlight w:val="none"/>
              </w:rPr>
              <w:t>6</w:t>
            </w:r>
          </w:p>
        </w:tc>
        <w:tc>
          <w:tcPr>
            <w:tcW w:w="1359" w:type="pct"/>
            <w:noWrap w:val="0"/>
            <w:vAlign w:val="center"/>
          </w:tcPr>
          <w:p w14:paraId="21238E9E">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lang w:val="en-US" w:eastAsia="zh-CN"/>
              </w:rPr>
              <w:t>信</w:t>
            </w:r>
            <w:r>
              <w:rPr>
                <w:rFonts w:hint="default" w:ascii="Times New Roman" w:hAnsi="Times New Roman" w:eastAsia="宋体" w:cs="Times New Roman"/>
                <w:color w:val="000000"/>
                <w:sz w:val="21"/>
                <w:szCs w:val="21"/>
                <w:highlight w:val="none"/>
              </w:rPr>
              <w:t>息保存及误识率</w:t>
            </w:r>
          </w:p>
        </w:tc>
        <w:tc>
          <w:tcPr>
            <w:tcW w:w="1619" w:type="pct"/>
            <w:noWrap w:val="0"/>
            <w:vAlign w:val="center"/>
          </w:tcPr>
          <w:p w14:paraId="76D84ABB">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c>
          <w:tcPr>
            <w:tcW w:w="1618" w:type="pct"/>
            <w:noWrap w:val="0"/>
            <w:vAlign w:val="center"/>
          </w:tcPr>
          <w:p w14:paraId="1160E37C">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r>
      <w:tr w14:paraId="31F4D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3" w:type="pct"/>
            <w:shd w:val="clear" w:color="auto" w:fill="auto"/>
            <w:noWrap w:val="0"/>
            <w:vAlign w:val="center"/>
          </w:tcPr>
          <w:p w14:paraId="07523BCA">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kern w:val="2"/>
                <w:sz w:val="21"/>
                <w:szCs w:val="21"/>
                <w:highlight w:val="none"/>
                <w:lang w:val="en-US" w:eastAsia="zh-CN" w:bidi="ar-SA"/>
              </w:rPr>
            </w:pPr>
            <w:r>
              <w:rPr>
                <w:rFonts w:hint="default" w:ascii="Times New Roman" w:hAnsi="Times New Roman" w:eastAsia="宋体" w:cs="Times New Roman"/>
                <w:color w:val="000000"/>
                <w:sz w:val="21"/>
                <w:szCs w:val="21"/>
                <w:highlight w:val="none"/>
              </w:rPr>
              <w:t>7</w:t>
            </w:r>
          </w:p>
        </w:tc>
        <w:tc>
          <w:tcPr>
            <w:tcW w:w="1359" w:type="pct"/>
            <w:noWrap w:val="0"/>
            <w:vAlign w:val="center"/>
          </w:tcPr>
          <w:p w14:paraId="5F1E25FA">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防破坏报警功能</w:t>
            </w:r>
          </w:p>
        </w:tc>
        <w:tc>
          <w:tcPr>
            <w:tcW w:w="1619" w:type="pct"/>
            <w:noWrap w:val="0"/>
            <w:vAlign w:val="center"/>
          </w:tcPr>
          <w:p w14:paraId="00AC07CC">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c>
          <w:tcPr>
            <w:tcW w:w="1618" w:type="pct"/>
            <w:noWrap w:val="0"/>
            <w:vAlign w:val="center"/>
          </w:tcPr>
          <w:p w14:paraId="131A7ECA">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r>
      <w:tr w14:paraId="1D8DC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3" w:type="pct"/>
            <w:shd w:val="clear" w:color="auto" w:fill="auto"/>
            <w:noWrap w:val="0"/>
            <w:vAlign w:val="center"/>
          </w:tcPr>
          <w:p w14:paraId="226C5D2B">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kern w:val="2"/>
                <w:sz w:val="21"/>
                <w:szCs w:val="21"/>
                <w:highlight w:val="none"/>
                <w:lang w:val="en-US" w:eastAsia="zh-CN" w:bidi="ar-SA"/>
              </w:rPr>
            </w:pPr>
            <w:r>
              <w:rPr>
                <w:rFonts w:hint="default" w:ascii="Times New Roman" w:hAnsi="Times New Roman" w:eastAsia="宋体" w:cs="Times New Roman"/>
                <w:color w:val="000000"/>
                <w:sz w:val="21"/>
                <w:szCs w:val="21"/>
                <w:highlight w:val="none"/>
              </w:rPr>
              <w:t>8</w:t>
            </w:r>
          </w:p>
        </w:tc>
        <w:tc>
          <w:tcPr>
            <w:tcW w:w="1359" w:type="pct"/>
            <w:noWrap w:val="0"/>
            <w:vAlign w:val="center"/>
          </w:tcPr>
          <w:p w14:paraId="08285EE2">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环境适应性(高温、低温)</w:t>
            </w:r>
          </w:p>
        </w:tc>
        <w:tc>
          <w:tcPr>
            <w:tcW w:w="1619" w:type="pct"/>
            <w:noWrap w:val="0"/>
            <w:vAlign w:val="center"/>
          </w:tcPr>
          <w:p w14:paraId="0F477F64">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c>
          <w:tcPr>
            <w:tcW w:w="1618" w:type="pct"/>
            <w:noWrap w:val="0"/>
            <w:vAlign w:val="center"/>
          </w:tcPr>
          <w:p w14:paraId="34F5F530">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r>
      <w:tr w14:paraId="32B2D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3" w:type="pct"/>
            <w:noWrap w:val="0"/>
            <w:vAlign w:val="center"/>
          </w:tcPr>
          <w:p w14:paraId="66C9B3C3">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备注</w:t>
            </w:r>
          </w:p>
        </w:tc>
        <w:tc>
          <w:tcPr>
            <w:tcW w:w="4596" w:type="pct"/>
            <w:gridSpan w:val="3"/>
            <w:noWrap w:val="0"/>
            <w:vAlign w:val="center"/>
          </w:tcPr>
          <w:p w14:paraId="4EEB5CB0">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both"/>
              <w:textAlignment w:val="baseline"/>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锁舌测试破坏的话，不需要做防破坏报警项目。</w:t>
            </w:r>
          </w:p>
        </w:tc>
      </w:tr>
    </w:tbl>
    <w:p w14:paraId="525EA88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表2</w:t>
      </w:r>
      <w:r>
        <w:rPr>
          <w:rFonts w:hint="default" w:ascii="Times New Roman" w:hAnsi="Times New Roman" w:eastAsia="宋体" w:cs="Times New Roman"/>
          <w:color w:val="000000"/>
          <w:sz w:val="21"/>
          <w:szCs w:val="21"/>
          <w:highlight w:val="none"/>
          <w:lang w:val="en-US" w:eastAsia="zh-CN"/>
        </w:rPr>
        <w:t xml:space="preserve"> </w:t>
      </w:r>
      <w:r>
        <w:rPr>
          <w:rFonts w:hint="default" w:ascii="Times New Roman" w:hAnsi="Times New Roman" w:eastAsia="宋体" w:cs="Times New Roman"/>
          <w:color w:val="000000"/>
          <w:sz w:val="21"/>
          <w:szCs w:val="21"/>
          <w:highlight w:val="none"/>
        </w:rPr>
        <w:t>电子门锁（GA 374—2019）</w:t>
      </w:r>
    </w:p>
    <w:tbl>
      <w:tblPr>
        <w:tblStyle w:val="6"/>
        <w:tblW w:w="501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2342"/>
        <w:gridCol w:w="2732"/>
        <w:gridCol w:w="2775"/>
      </w:tblGrid>
      <w:tr w14:paraId="09444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trPr>
        <w:tc>
          <w:tcPr>
            <w:tcW w:w="406" w:type="pct"/>
            <w:noWrap w:val="0"/>
            <w:vAlign w:val="center"/>
          </w:tcPr>
          <w:p w14:paraId="51C320B1">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序号</w:t>
            </w:r>
          </w:p>
        </w:tc>
        <w:tc>
          <w:tcPr>
            <w:tcW w:w="1370" w:type="pct"/>
            <w:noWrap w:val="0"/>
            <w:vAlign w:val="center"/>
          </w:tcPr>
          <w:p w14:paraId="0220C1E0">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检验项目</w:t>
            </w:r>
          </w:p>
        </w:tc>
        <w:tc>
          <w:tcPr>
            <w:tcW w:w="1598" w:type="pct"/>
            <w:noWrap w:val="0"/>
            <w:vAlign w:val="center"/>
          </w:tcPr>
          <w:p w14:paraId="37DE3848">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lang w:val="en-US" w:eastAsia="zh-CN"/>
              </w:rPr>
              <w:t>检验依据</w:t>
            </w:r>
          </w:p>
        </w:tc>
        <w:tc>
          <w:tcPr>
            <w:tcW w:w="1624" w:type="pct"/>
            <w:shd w:val="clear" w:color="auto" w:fill="auto"/>
            <w:noWrap w:val="0"/>
            <w:vAlign w:val="center"/>
          </w:tcPr>
          <w:p w14:paraId="701787F9">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检验方法</w:t>
            </w:r>
          </w:p>
        </w:tc>
      </w:tr>
      <w:tr w14:paraId="62620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14:paraId="28A85E97">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1</w:t>
            </w:r>
          </w:p>
        </w:tc>
        <w:tc>
          <w:tcPr>
            <w:tcW w:w="1370" w:type="pct"/>
            <w:noWrap w:val="0"/>
            <w:vAlign w:val="center"/>
          </w:tcPr>
          <w:p w14:paraId="158C10CD">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主锁舌抗轴向静压力</w:t>
            </w:r>
          </w:p>
        </w:tc>
        <w:tc>
          <w:tcPr>
            <w:tcW w:w="1598" w:type="pct"/>
            <w:noWrap w:val="0"/>
            <w:vAlign w:val="center"/>
          </w:tcPr>
          <w:p w14:paraId="3C48D644">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14:paraId="719A391F">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GA 374—2019</w:t>
            </w:r>
          </w:p>
        </w:tc>
      </w:tr>
      <w:tr w14:paraId="18A74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14:paraId="13007C2D">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2</w:t>
            </w:r>
          </w:p>
        </w:tc>
        <w:tc>
          <w:tcPr>
            <w:tcW w:w="1370" w:type="pct"/>
            <w:noWrap w:val="0"/>
            <w:vAlign w:val="center"/>
          </w:tcPr>
          <w:p w14:paraId="0A7CE43D">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主锁舌抗侧向静压力</w:t>
            </w:r>
          </w:p>
        </w:tc>
        <w:tc>
          <w:tcPr>
            <w:tcW w:w="1598" w:type="pct"/>
            <w:noWrap w:val="0"/>
            <w:vAlign w:val="center"/>
          </w:tcPr>
          <w:p w14:paraId="5E0D7D3C">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14:paraId="2899BB83">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GA 374—2019</w:t>
            </w:r>
          </w:p>
        </w:tc>
      </w:tr>
      <w:tr w14:paraId="7F8DA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14:paraId="4FB4CE1A">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3</w:t>
            </w:r>
          </w:p>
        </w:tc>
        <w:tc>
          <w:tcPr>
            <w:tcW w:w="1370" w:type="pct"/>
            <w:noWrap w:val="0"/>
            <w:vAlign w:val="center"/>
          </w:tcPr>
          <w:p w14:paraId="59E3FDF8">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手动部件强度</w:t>
            </w:r>
          </w:p>
        </w:tc>
        <w:tc>
          <w:tcPr>
            <w:tcW w:w="1598" w:type="pct"/>
            <w:noWrap w:val="0"/>
            <w:vAlign w:val="center"/>
          </w:tcPr>
          <w:p w14:paraId="71ABF7D1">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14:paraId="24004228">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GA 374—2019</w:t>
            </w:r>
          </w:p>
        </w:tc>
      </w:tr>
      <w:tr w14:paraId="31671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14:paraId="7796A330">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4</w:t>
            </w:r>
          </w:p>
        </w:tc>
        <w:tc>
          <w:tcPr>
            <w:tcW w:w="1370" w:type="pct"/>
            <w:noWrap w:val="0"/>
            <w:vAlign w:val="center"/>
          </w:tcPr>
          <w:p w14:paraId="02A4C09E">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阻燃</w:t>
            </w:r>
          </w:p>
        </w:tc>
        <w:tc>
          <w:tcPr>
            <w:tcW w:w="1598" w:type="pct"/>
            <w:noWrap w:val="0"/>
            <w:vAlign w:val="center"/>
          </w:tcPr>
          <w:p w14:paraId="14C311DB">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14:paraId="0737F135">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zh-CN" w:bidi="ar-SA"/>
              </w:rPr>
            </w:pPr>
            <w:r>
              <w:rPr>
                <w:rFonts w:hint="default" w:ascii="Times New Roman" w:hAnsi="Times New Roman" w:eastAsia="宋体" w:cs="Times New Roman"/>
                <w:color w:val="000000"/>
                <w:sz w:val="21"/>
                <w:szCs w:val="21"/>
                <w:highlight w:val="none"/>
                <w:lang w:val="en-US" w:eastAsia="zh-CN"/>
              </w:rPr>
              <w:t xml:space="preserve">GB 16796-2009 </w:t>
            </w:r>
          </w:p>
        </w:tc>
      </w:tr>
      <w:tr w14:paraId="16BC2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14:paraId="18640B00">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5</w:t>
            </w:r>
          </w:p>
        </w:tc>
        <w:tc>
          <w:tcPr>
            <w:tcW w:w="1370" w:type="pct"/>
            <w:noWrap w:val="0"/>
            <w:vAlign w:val="center"/>
          </w:tcPr>
          <w:p w14:paraId="423502FB">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供电方式</w:t>
            </w:r>
          </w:p>
        </w:tc>
        <w:tc>
          <w:tcPr>
            <w:tcW w:w="1598" w:type="pct"/>
            <w:noWrap w:val="0"/>
            <w:vAlign w:val="center"/>
          </w:tcPr>
          <w:p w14:paraId="6086D09C">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14:paraId="5723A44E">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GA 374—2019</w:t>
            </w:r>
          </w:p>
        </w:tc>
      </w:tr>
      <w:tr w14:paraId="5118A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14:paraId="3CB7DE0B">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6</w:t>
            </w:r>
          </w:p>
        </w:tc>
        <w:tc>
          <w:tcPr>
            <w:tcW w:w="1370" w:type="pct"/>
            <w:noWrap w:val="0"/>
            <w:vAlign w:val="center"/>
          </w:tcPr>
          <w:p w14:paraId="541B29BF">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电池容量</w:t>
            </w:r>
          </w:p>
        </w:tc>
        <w:tc>
          <w:tcPr>
            <w:tcW w:w="1598" w:type="pct"/>
            <w:noWrap w:val="0"/>
            <w:vAlign w:val="center"/>
          </w:tcPr>
          <w:p w14:paraId="03023447">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14:paraId="0AE6FD45">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GA 374—2019</w:t>
            </w:r>
          </w:p>
        </w:tc>
      </w:tr>
      <w:tr w14:paraId="0B7C5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14:paraId="46DE2B9F">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7</w:t>
            </w:r>
          </w:p>
        </w:tc>
        <w:tc>
          <w:tcPr>
            <w:tcW w:w="1370" w:type="pct"/>
            <w:noWrap w:val="0"/>
            <w:vAlign w:val="center"/>
          </w:tcPr>
          <w:p w14:paraId="17F2034B">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欠压指示</w:t>
            </w:r>
          </w:p>
        </w:tc>
        <w:tc>
          <w:tcPr>
            <w:tcW w:w="1598" w:type="pct"/>
            <w:noWrap w:val="0"/>
            <w:vAlign w:val="center"/>
          </w:tcPr>
          <w:p w14:paraId="104A5651">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14:paraId="69A9C913">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GA 374—2019</w:t>
            </w:r>
          </w:p>
        </w:tc>
      </w:tr>
      <w:tr w14:paraId="4F3EB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14:paraId="4F930166">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8</w:t>
            </w:r>
          </w:p>
        </w:tc>
        <w:tc>
          <w:tcPr>
            <w:tcW w:w="1370" w:type="pct"/>
            <w:noWrap w:val="0"/>
            <w:vAlign w:val="center"/>
          </w:tcPr>
          <w:p w14:paraId="7A3850FB">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rPr>
              <w:t>电源</w:t>
            </w:r>
            <w:r>
              <w:rPr>
                <w:rFonts w:hint="default" w:ascii="Times New Roman" w:hAnsi="Times New Roman" w:eastAsia="宋体" w:cs="Times New Roman"/>
                <w:color w:val="000000"/>
                <w:sz w:val="21"/>
                <w:szCs w:val="21"/>
                <w:highlight w:val="none"/>
                <w:lang w:val="en-US" w:eastAsia="zh-CN"/>
              </w:rPr>
              <w:t>电压</w:t>
            </w:r>
            <w:r>
              <w:rPr>
                <w:rFonts w:hint="default" w:ascii="Times New Roman" w:hAnsi="Times New Roman" w:eastAsia="宋体" w:cs="Times New Roman"/>
                <w:color w:val="000000"/>
                <w:sz w:val="21"/>
                <w:szCs w:val="21"/>
                <w:highlight w:val="none"/>
              </w:rPr>
              <w:t>适应</w:t>
            </w:r>
            <w:r>
              <w:rPr>
                <w:rFonts w:hint="default" w:ascii="Times New Roman" w:hAnsi="Times New Roman" w:eastAsia="宋体" w:cs="Times New Roman"/>
                <w:color w:val="000000"/>
                <w:sz w:val="21"/>
                <w:szCs w:val="21"/>
                <w:highlight w:val="none"/>
                <w:lang w:val="en-US" w:eastAsia="zh-CN"/>
              </w:rPr>
              <w:t>范围</w:t>
            </w:r>
          </w:p>
        </w:tc>
        <w:tc>
          <w:tcPr>
            <w:tcW w:w="1598" w:type="pct"/>
            <w:noWrap w:val="0"/>
            <w:vAlign w:val="center"/>
          </w:tcPr>
          <w:p w14:paraId="1DEAA5FB">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14:paraId="5480B0BC">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GA 374—2019</w:t>
            </w:r>
          </w:p>
        </w:tc>
      </w:tr>
      <w:tr w14:paraId="66556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14:paraId="50C6D42C">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eastAsia="zh-CN"/>
              </w:rPr>
            </w:pPr>
            <w:r>
              <w:rPr>
                <w:rFonts w:hint="default" w:ascii="Times New Roman" w:hAnsi="Times New Roman" w:eastAsia="宋体" w:cs="Times New Roman"/>
                <w:color w:val="000000"/>
                <w:sz w:val="21"/>
                <w:szCs w:val="21"/>
                <w:highlight w:val="none"/>
                <w:lang w:val="en-US" w:eastAsia="zh-CN"/>
              </w:rPr>
              <w:t>9</w:t>
            </w:r>
          </w:p>
        </w:tc>
        <w:tc>
          <w:tcPr>
            <w:tcW w:w="1370" w:type="pct"/>
            <w:noWrap w:val="0"/>
            <w:vAlign w:val="center"/>
          </w:tcPr>
          <w:p w14:paraId="3F528884">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信息保存</w:t>
            </w:r>
          </w:p>
        </w:tc>
        <w:tc>
          <w:tcPr>
            <w:tcW w:w="1598" w:type="pct"/>
            <w:noWrap w:val="0"/>
            <w:vAlign w:val="center"/>
          </w:tcPr>
          <w:p w14:paraId="61D375EE">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14:paraId="31B10D47">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GA 374—2019</w:t>
            </w:r>
          </w:p>
        </w:tc>
      </w:tr>
      <w:tr w14:paraId="2E760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14:paraId="2F343EE7">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10</w:t>
            </w:r>
          </w:p>
        </w:tc>
        <w:tc>
          <w:tcPr>
            <w:tcW w:w="1370" w:type="pct"/>
            <w:noWrap w:val="0"/>
            <w:vAlign w:val="center"/>
          </w:tcPr>
          <w:p w14:paraId="59711F89">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输入错误报警</w:t>
            </w:r>
          </w:p>
        </w:tc>
        <w:tc>
          <w:tcPr>
            <w:tcW w:w="1598" w:type="pct"/>
            <w:noWrap w:val="0"/>
            <w:vAlign w:val="center"/>
          </w:tcPr>
          <w:p w14:paraId="48458476">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14:paraId="54228E96">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GA 374—2019</w:t>
            </w:r>
          </w:p>
        </w:tc>
      </w:tr>
      <w:tr w14:paraId="13337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14:paraId="30B17159">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11</w:t>
            </w:r>
          </w:p>
        </w:tc>
        <w:tc>
          <w:tcPr>
            <w:tcW w:w="1370" w:type="pct"/>
            <w:noWrap w:val="0"/>
            <w:vAlign w:val="center"/>
          </w:tcPr>
          <w:p w14:paraId="7F2C4164">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防拆报警</w:t>
            </w:r>
          </w:p>
        </w:tc>
        <w:tc>
          <w:tcPr>
            <w:tcW w:w="1598" w:type="pct"/>
            <w:noWrap w:val="0"/>
            <w:vAlign w:val="center"/>
          </w:tcPr>
          <w:p w14:paraId="23F92D41">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14:paraId="07DC662B">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GA 374—2019</w:t>
            </w:r>
          </w:p>
        </w:tc>
      </w:tr>
      <w:tr w14:paraId="2A5E8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14:paraId="15DCEBC1">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12</w:t>
            </w:r>
          </w:p>
        </w:tc>
        <w:tc>
          <w:tcPr>
            <w:tcW w:w="1370" w:type="pct"/>
            <w:noWrap w:val="0"/>
            <w:vAlign w:val="center"/>
          </w:tcPr>
          <w:p w14:paraId="36F25F29">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高温</w:t>
            </w:r>
          </w:p>
        </w:tc>
        <w:tc>
          <w:tcPr>
            <w:tcW w:w="1598" w:type="pct"/>
            <w:noWrap w:val="0"/>
            <w:vAlign w:val="center"/>
          </w:tcPr>
          <w:p w14:paraId="4E37ED87">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14:paraId="4E93F455">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GB/T 2423.2-2008</w:t>
            </w:r>
          </w:p>
          <w:p w14:paraId="18134C21">
            <w:pPr>
              <w:pStyle w:val="2"/>
              <w:ind w:left="0" w:leftChars="0" w:right="420" w:rightChars="200" w:firstLine="0" w:firstLineChars="0"/>
              <w:jc w:val="center"/>
              <w:rPr>
                <w:rFonts w:hint="default" w:ascii="Times New Roman" w:hAnsi="Times New Roman" w:eastAsia="宋体" w:cs="Times New Roman"/>
                <w:snapToGrid w:val="0"/>
                <w:color w:val="000000"/>
                <w:kern w:val="0"/>
                <w:sz w:val="21"/>
                <w:szCs w:val="24"/>
                <w:lang w:val="en-US" w:eastAsia="en-US" w:bidi="ar-SA"/>
              </w:rPr>
            </w:pPr>
            <w:r>
              <w:rPr>
                <w:rFonts w:hint="default" w:ascii="Times New Roman" w:hAnsi="Times New Roman" w:eastAsia="宋体" w:cs="Times New Roman"/>
                <w:color w:val="000000"/>
                <w:sz w:val="21"/>
                <w:szCs w:val="21"/>
                <w:highlight w:val="none"/>
              </w:rPr>
              <w:t>GA 374</w:t>
            </w:r>
            <w:r>
              <w:rPr>
                <w:rFonts w:hint="default" w:ascii="Times New Roman" w:hAnsi="Times New Roman" w:cs="Times New Roman"/>
                <w:color w:val="000000"/>
                <w:sz w:val="21"/>
                <w:szCs w:val="21"/>
                <w:highlight w:val="none"/>
                <w:lang w:val="en-US" w:eastAsia="zh-CN"/>
              </w:rPr>
              <w:t>-</w:t>
            </w:r>
            <w:r>
              <w:rPr>
                <w:rFonts w:hint="default" w:ascii="Times New Roman" w:hAnsi="Times New Roman" w:eastAsia="宋体" w:cs="Times New Roman"/>
                <w:color w:val="000000"/>
                <w:sz w:val="21"/>
                <w:szCs w:val="21"/>
                <w:highlight w:val="none"/>
              </w:rPr>
              <w:t>2019</w:t>
            </w:r>
          </w:p>
        </w:tc>
      </w:tr>
      <w:tr w14:paraId="56F3A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14:paraId="19DB65B6">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13</w:t>
            </w:r>
          </w:p>
        </w:tc>
        <w:tc>
          <w:tcPr>
            <w:tcW w:w="1370" w:type="pct"/>
            <w:noWrap w:val="0"/>
            <w:vAlign w:val="center"/>
          </w:tcPr>
          <w:p w14:paraId="43418FA4">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低</w:t>
            </w:r>
            <w:r>
              <w:rPr>
                <w:rFonts w:hint="default" w:ascii="Times New Roman" w:hAnsi="Times New Roman" w:eastAsia="宋体" w:cs="Times New Roman"/>
                <w:color w:val="000000"/>
                <w:sz w:val="21"/>
                <w:szCs w:val="21"/>
                <w:highlight w:val="none"/>
                <w:lang w:val="en-US" w:eastAsia="zh-CN"/>
              </w:rPr>
              <w:t>温</w:t>
            </w:r>
          </w:p>
        </w:tc>
        <w:tc>
          <w:tcPr>
            <w:tcW w:w="1598" w:type="pct"/>
            <w:noWrap w:val="0"/>
            <w:vAlign w:val="center"/>
          </w:tcPr>
          <w:p w14:paraId="2E502FE6">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14:paraId="73CDFCC1">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GB/T 2423.1-2008</w:t>
            </w:r>
          </w:p>
          <w:p w14:paraId="71E8CD66">
            <w:pPr>
              <w:pStyle w:val="2"/>
              <w:tabs>
                <w:tab w:val="left" w:pos="1900"/>
              </w:tabs>
              <w:ind w:left="0" w:leftChars="0" w:right="218" w:rightChars="104" w:firstLine="0" w:firstLineChars="0"/>
              <w:jc w:val="center"/>
              <w:rPr>
                <w:rFonts w:hint="default" w:ascii="Times New Roman" w:hAnsi="Times New Roman" w:eastAsia="宋体" w:cs="Times New Roman"/>
                <w:snapToGrid w:val="0"/>
                <w:color w:val="000000"/>
                <w:kern w:val="0"/>
                <w:sz w:val="21"/>
                <w:szCs w:val="24"/>
                <w:lang w:val="en-US" w:eastAsia="zh-CN" w:bidi="ar-SA"/>
              </w:rPr>
            </w:pPr>
            <w:r>
              <w:rPr>
                <w:rFonts w:hint="default" w:ascii="Times New Roman" w:hAnsi="Times New Roman" w:eastAsia="宋体" w:cs="Times New Roman"/>
                <w:color w:val="000000"/>
                <w:sz w:val="21"/>
                <w:szCs w:val="21"/>
                <w:highlight w:val="none"/>
              </w:rPr>
              <w:t>GA 374</w:t>
            </w:r>
            <w:r>
              <w:rPr>
                <w:rFonts w:hint="default" w:ascii="Times New Roman" w:hAnsi="Times New Roman" w:cs="Times New Roman"/>
                <w:color w:val="000000"/>
                <w:sz w:val="21"/>
                <w:szCs w:val="21"/>
                <w:highlight w:val="none"/>
                <w:lang w:val="en-US" w:eastAsia="zh-CN"/>
              </w:rPr>
              <w:t>-</w:t>
            </w:r>
            <w:r>
              <w:rPr>
                <w:rFonts w:hint="default" w:ascii="Times New Roman" w:hAnsi="Times New Roman" w:eastAsia="宋体" w:cs="Times New Roman"/>
                <w:color w:val="000000"/>
                <w:sz w:val="21"/>
                <w:szCs w:val="21"/>
                <w:highlight w:val="none"/>
              </w:rPr>
              <w:t>2019</w:t>
            </w:r>
          </w:p>
        </w:tc>
      </w:tr>
      <w:tr w14:paraId="00699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14:paraId="302A97A6">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14</w:t>
            </w:r>
          </w:p>
        </w:tc>
        <w:tc>
          <w:tcPr>
            <w:tcW w:w="1370" w:type="pct"/>
            <w:noWrap w:val="0"/>
            <w:vAlign w:val="center"/>
          </w:tcPr>
          <w:p w14:paraId="731F0AE0">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恒定湿热</w:t>
            </w:r>
          </w:p>
        </w:tc>
        <w:tc>
          <w:tcPr>
            <w:tcW w:w="1598" w:type="pct"/>
            <w:noWrap w:val="0"/>
            <w:vAlign w:val="center"/>
          </w:tcPr>
          <w:p w14:paraId="25CCB38F">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14:paraId="132AE540">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GB/T 2423.3-2016</w:t>
            </w:r>
          </w:p>
          <w:p w14:paraId="425F80A0">
            <w:pPr>
              <w:pStyle w:val="2"/>
              <w:ind w:left="0" w:leftChars="0" w:right="439" w:rightChars="209" w:firstLine="0" w:firstLineChars="0"/>
              <w:jc w:val="center"/>
              <w:rPr>
                <w:rFonts w:hint="default" w:ascii="Times New Roman" w:hAnsi="Times New Roman" w:eastAsia="宋体" w:cs="Times New Roman"/>
                <w:snapToGrid w:val="0"/>
                <w:color w:val="000000"/>
                <w:kern w:val="0"/>
                <w:sz w:val="21"/>
                <w:szCs w:val="24"/>
                <w:lang w:val="en-US" w:eastAsia="en-US" w:bidi="ar-SA"/>
              </w:rPr>
            </w:pPr>
            <w:r>
              <w:rPr>
                <w:rFonts w:hint="default" w:ascii="Times New Roman" w:hAnsi="Times New Roman" w:eastAsia="宋体" w:cs="Times New Roman"/>
                <w:color w:val="000000"/>
                <w:sz w:val="21"/>
                <w:szCs w:val="21"/>
                <w:highlight w:val="none"/>
              </w:rPr>
              <w:t>GA 374</w:t>
            </w:r>
            <w:r>
              <w:rPr>
                <w:rFonts w:hint="default" w:ascii="Times New Roman" w:hAnsi="Times New Roman" w:cs="Times New Roman"/>
                <w:color w:val="000000"/>
                <w:sz w:val="21"/>
                <w:szCs w:val="21"/>
                <w:highlight w:val="none"/>
                <w:lang w:val="en-US" w:eastAsia="zh-CN"/>
              </w:rPr>
              <w:t>-</w:t>
            </w:r>
            <w:r>
              <w:rPr>
                <w:rFonts w:hint="default" w:ascii="Times New Roman" w:hAnsi="Times New Roman" w:eastAsia="宋体" w:cs="Times New Roman"/>
                <w:color w:val="000000"/>
                <w:sz w:val="21"/>
                <w:szCs w:val="21"/>
                <w:highlight w:val="none"/>
              </w:rPr>
              <w:t>2019</w:t>
            </w:r>
          </w:p>
        </w:tc>
      </w:tr>
    </w:tbl>
    <w:p w14:paraId="4FA0DE1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lang w:val="en-US" w:eastAsia="zh-CN"/>
        </w:rPr>
      </w:pPr>
      <w:r>
        <w:rPr>
          <w:rFonts w:hint="default" w:ascii="Times New Roman" w:hAnsi="Times New Roman" w:eastAsia="宋体" w:cs="Times New Roman"/>
          <w:spacing w:val="-2"/>
          <w:sz w:val="22"/>
          <w:szCs w:val="22"/>
          <w:highlight w:val="none"/>
          <w:lang w:val="en-US" w:eastAsia="zh-CN"/>
        </w:rPr>
        <w:t>注：要是产品执行标准为</w:t>
      </w:r>
      <w:r>
        <w:rPr>
          <w:rFonts w:hint="default" w:ascii="Times New Roman" w:hAnsi="Times New Roman" w:eastAsia="宋体" w:cs="Times New Roman"/>
          <w:spacing w:val="-2"/>
          <w:sz w:val="22"/>
          <w:szCs w:val="22"/>
          <w:highlight w:val="none"/>
        </w:rPr>
        <w:t>GA 374—2019</w:t>
      </w:r>
      <w:r>
        <w:rPr>
          <w:rFonts w:hint="default" w:ascii="Times New Roman" w:hAnsi="Times New Roman" w:eastAsia="宋体" w:cs="Times New Roman"/>
          <w:spacing w:val="-2"/>
          <w:sz w:val="22"/>
          <w:szCs w:val="22"/>
          <w:highlight w:val="none"/>
          <w:lang w:val="en-US" w:eastAsia="zh-CN"/>
        </w:rPr>
        <w:t>和</w:t>
      </w:r>
      <w:r>
        <w:rPr>
          <w:rFonts w:hint="default" w:ascii="Times New Roman" w:hAnsi="Times New Roman" w:eastAsia="宋体" w:cs="Times New Roman"/>
          <w:spacing w:val="-2"/>
          <w:sz w:val="22"/>
          <w:szCs w:val="22"/>
          <w:highlight w:val="none"/>
        </w:rPr>
        <w:t>GB 21556—2008</w:t>
      </w:r>
      <w:r>
        <w:rPr>
          <w:rFonts w:hint="default" w:ascii="Times New Roman" w:hAnsi="Times New Roman" w:eastAsia="宋体" w:cs="Times New Roman"/>
          <w:spacing w:val="-2"/>
          <w:sz w:val="22"/>
          <w:szCs w:val="22"/>
          <w:highlight w:val="none"/>
          <w:lang w:val="en-US" w:eastAsia="zh-CN"/>
        </w:rPr>
        <w:t>可随机选取其中一个标准进行试验即可。</w:t>
      </w:r>
    </w:p>
    <w:p w14:paraId="7ED5B2C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rPr>
      </w:pPr>
      <w:r>
        <w:rPr>
          <w:rFonts w:hint="default" w:ascii="Times New Roman" w:hAnsi="Times New Roman" w:eastAsia="宋体" w:cs="Times New Roman"/>
          <w:spacing w:val="-2"/>
          <w:sz w:val="22"/>
          <w:szCs w:val="22"/>
          <w:highlight w:val="none"/>
        </w:rPr>
        <w:t>执行企业标准、团体标准、地方标准的产品，检验项目参照上述内容执行。</w:t>
      </w:r>
    </w:p>
    <w:p w14:paraId="65EA97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rPr>
      </w:pPr>
      <w:r>
        <w:rPr>
          <w:rFonts w:hint="default" w:ascii="Times New Roman" w:hAnsi="Times New Roman" w:eastAsia="宋体" w:cs="Times New Roman"/>
          <w:spacing w:val="-2"/>
          <w:sz w:val="22"/>
          <w:szCs w:val="22"/>
          <w:highlight w:val="none"/>
        </w:rPr>
        <w:t>凡是注日期的文件，其随后所有的修改单（不包括勘误的内容）或修订版不适用于本细则。凡是不注日期的文件，其最新版本适用于本细则。</w:t>
      </w:r>
    </w:p>
    <w:p w14:paraId="0D7DCCFE">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default" w:ascii="Times New Roman" w:hAnsi="Times New Roman" w:eastAsia="宋体" w:cs="Times New Roman"/>
          <w:spacing w:val="-2"/>
          <w:sz w:val="22"/>
          <w:szCs w:val="22"/>
          <w:highlight w:val="none"/>
        </w:rPr>
      </w:pPr>
    </w:p>
    <w:p w14:paraId="4A751839">
      <w:pPr>
        <w:widowControl w:val="0"/>
        <w:kinsoku/>
        <w:autoSpaceDE/>
        <w:autoSpaceDN/>
        <w:adjustRightInd/>
        <w:snapToGrid/>
        <w:spacing w:before="156" w:beforeLines="50" w:line="360" w:lineRule="auto"/>
        <w:jc w:val="both"/>
        <w:textAlignment w:val="auto"/>
        <w:rPr>
          <w:rFonts w:hint="default" w:ascii="Times New Roman" w:hAnsi="Times New Roman" w:eastAsia="仿宋" w:cs="Times New Roman"/>
          <w:b/>
          <w:snapToGrid/>
          <w:kern w:val="2"/>
          <w:sz w:val="24"/>
          <w:szCs w:val="24"/>
          <w:lang w:eastAsia="zh-CN"/>
        </w:rPr>
      </w:pPr>
      <w:r>
        <w:rPr>
          <w:rFonts w:hint="default" w:ascii="Times New Roman" w:hAnsi="Times New Roman" w:eastAsia="仿宋" w:cs="Times New Roman"/>
          <w:b/>
          <w:snapToGrid/>
          <w:kern w:val="2"/>
          <w:sz w:val="24"/>
          <w:szCs w:val="24"/>
          <w:lang w:eastAsia="zh-CN"/>
        </w:rPr>
        <w:t>3 判定规则</w:t>
      </w:r>
    </w:p>
    <w:p w14:paraId="4522B79F">
      <w:pPr>
        <w:widowControl w:val="0"/>
        <w:kinsoku/>
        <w:autoSpaceDE/>
        <w:autoSpaceDN/>
        <w:adjustRightInd/>
        <w:snapToGrid w:val="0"/>
        <w:spacing w:line="440" w:lineRule="exact"/>
        <w:jc w:val="both"/>
        <w:textAlignment w:val="auto"/>
        <w:rPr>
          <w:rFonts w:hint="default" w:ascii="Times New Roman" w:hAnsi="Times New Roman" w:eastAsia="仿宋" w:cs="Times New Roman"/>
          <w:b/>
          <w:bCs/>
          <w:snapToGrid/>
          <w:color w:val="000000"/>
          <w:kern w:val="2"/>
          <w:szCs w:val="21"/>
          <w:lang w:eastAsia="zh-CN"/>
        </w:rPr>
      </w:pPr>
      <w:r>
        <w:rPr>
          <w:rFonts w:hint="default" w:ascii="Times New Roman" w:hAnsi="Times New Roman" w:eastAsia="仿宋" w:cs="Times New Roman"/>
          <w:b/>
          <w:bCs/>
          <w:snapToGrid/>
          <w:color w:val="000000"/>
          <w:kern w:val="2"/>
          <w:szCs w:val="21"/>
          <w:lang w:eastAsia="zh-CN"/>
        </w:rPr>
        <w:t>3.1 依据标准</w:t>
      </w:r>
    </w:p>
    <w:p w14:paraId="5260AB8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rPr>
      </w:pPr>
      <w:r>
        <w:rPr>
          <w:rFonts w:hint="default" w:ascii="Times New Roman" w:hAnsi="Times New Roman" w:eastAsia="宋体" w:cs="Times New Roman"/>
          <w:spacing w:val="-2"/>
          <w:sz w:val="22"/>
          <w:szCs w:val="22"/>
          <w:highlight w:val="none"/>
        </w:rPr>
        <w:t>GB 21556—2008 锁具安全通用技术条件</w:t>
      </w:r>
    </w:p>
    <w:p w14:paraId="21F6A50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rPr>
      </w:pPr>
      <w:r>
        <w:rPr>
          <w:rFonts w:hint="default" w:ascii="Times New Roman" w:hAnsi="Times New Roman" w:eastAsia="宋体" w:cs="Times New Roman"/>
          <w:spacing w:val="-2"/>
          <w:sz w:val="22"/>
          <w:szCs w:val="22"/>
          <w:highlight w:val="none"/>
        </w:rPr>
        <w:t>GA 374—2019 电子防盗锁</w:t>
      </w:r>
    </w:p>
    <w:p w14:paraId="298FF2A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rPr>
      </w:pPr>
      <w:r>
        <w:rPr>
          <w:rFonts w:hint="default" w:ascii="Times New Roman" w:hAnsi="Times New Roman" w:eastAsia="宋体" w:cs="Times New Roman"/>
          <w:spacing w:val="-2"/>
          <w:sz w:val="22"/>
          <w:szCs w:val="22"/>
          <w:highlight w:val="none"/>
        </w:rPr>
        <w:t>现行有效的企业标准、团体标准、地方标准及产品明示质量要求</w:t>
      </w:r>
    </w:p>
    <w:p w14:paraId="20CF6116">
      <w:pPr>
        <w:widowControl w:val="0"/>
        <w:kinsoku/>
        <w:autoSpaceDE/>
        <w:autoSpaceDN/>
        <w:adjustRightInd/>
        <w:snapToGrid w:val="0"/>
        <w:spacing w:line="440" w:lineRule="exact"/>
        <w:jc w:val="both"/>
        <w:textAlignment w:val="auto"/>
        <w:rPr>
          <w:rFonts w:hint="default" w:ascii="Times New Roman" w:hAnsi="Times New Roman" w:eastAsia="仿宋" w:cs="Times New Roman"/>
          <w:b/>
          <w:bCs/>
          <w:snapToGrid/>
          <w:color w:val="000000"/>
          <w:kern w:val="2"/>
          <w:szCs w:val="21"/>
          <w:lang w:eastAsia="zh-CN"/>
        </w:rPr>
      </w:pPr>
      <w:r>
        <w:rPr>
          <w:rFonts w:hint="default" w:ascii="Times New Roman" w:hAnsi="Times New Roman" w:eastAsia="仿宋" w:cs="Times New Roman"/>
          <w:b/>
          <w:bCs/>
          <w:snapToGrid/>
          <w:color w:val="000000"/>
          <w:kern w:val="2"/>
          <w:szCs w:val="21"/>
          <w:lang w:eastAsia="zh-CN"/>
        </w:rPr>
        <w:t>3.2 判定原则</w:t>
      </w:r>
    </w:p>
    <w:p w14:paraId="713E73D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rPr>
      </w:pPr>
      <w:r>
        <w:rPr>
          <w:rFonts w:hint="default" w:ascii="Times New Roman" w:hAnsi="Times New Roman" w:eastAsia="宋体" w:cs="Times New Roman"/>
          <w:spacing w:val="-2"/>
          <w:sz w:val="22"/>
          <w:szCs w:val="22"/>
          <w:highlight w:val="none"/>
        </w:rPr>
        <w:t>经检验，检验项目全部合格，判定为被抽查产品所检项目未发现不合格；检验项目中任一项或一项以上不合格，判定为被抽查产品不合格。</w:t>
      </w:r>
    </w:p>
    <w:p w14:paraId="1128B73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rPr>
      </w:pPr>
      <w:r>
        <w:rPr>
          <w:rFonts w:hint="default" w:ascii="Times New Roman" w:hAnsi="Times New Roman" w:eastAsia="宋体" w:cs="Times New Roman"/>
          <w:spacing w:val="-2"/>
          <w:sz w:val="22"/>
          <w:szCs w:val="22"/>
          <w:highlight w:val="none"/>
        </w:rPr>
        <w:t>若被检产品明示的质量要求高于本细则中检验项目依据的标准要求时，应按被检产品明示的质量要求判定。</w:t>
      </w:r>
    </w:p>
    <w:p w14:paraId="22DF74D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rPr>
      </w:pPr>
      <w:r>
        <w:rPr>
          <w:rFonts w:hint="default" w:ascii="Times New Roman" w:hAnsi="Times New Roman" w:eastAsia="宋体" w:cs="Times New Roman"/>
          <w:spacing w:val="-2"/>
          <w:sz w:val="22"/>
          <w:szCs w:val="22"/>
          <w:highlight w:val="none"/>
        </w:rPr>
        <w:t>若被检产品明示的质量要求低于本细则中检验项目依据的强制性标准要求时，应按照强制性标准要求判定。</w:t>
      </w:r>
    </w:p>
    <w:p w14:paraId="3E6C5D7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rPr>
      </w:pPr>
      <w:r>
        <w:rPr>
          <w:rFonts w:hint="default" w:ascii="Times New Roman" w:hAnsi="Times New Roman" w:eastAsia="宋体" w:cs="Times New Roman"/>
          <w:spacing w:val="-2"/>
          <w:sz w:val="22"/>
          <w:szCs w:val="22"/>
          <w:highlight w:val="none"/>
        </w:rPr>
        <w:t>若被检产品明示的质量要求低于或包含本细则中检验项目依据的推荐性标准要求时，应以被检产品明示的质量要求判定。</w:t>
      </w:r>
    </w:p>
    <w:p w14:paraId="5F2B602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rPr>
      </w:pPr>
      <w:r>
        <w:rPr>
          <w:rFonts w:hint="default" w:ascii="Times New Roman" w:hAnsi="Times New Roman" w:eastAsia="宋体" w:cs="Times New Roman"/>
          <w:spacing w:val="-2"/>
          <w:sz w:val="22"/>
          <w:szCs w:val="22"/>
          <w:highlight w:val="none"/>
        </w:rPr>
        <w:t>若被检产品明示的质量要求缺少本细则中检验项目依据的强制性标准要求时，应按照强制性标准要求判定。</w:t>
      </w:r>
    </w:p>
    <w:p w14:paraId="00624D6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rPr>
      </w:pPr>
      <w:r>
        <w:rPr>
          <w:rFonts w:hint="default" w:ascii="Times New Roman" w:hAnsi="Times New Roman" w:eastAsia="宋体" w:cs="Times New Roman"/>
          <w:spacing w:val="-2"/>
          <w:sz w:val="22"/>
          <w:szCs w:val="22"/>
          <w:highlight w:val="none"/>
        </w:rPr>
        <w:t>若被检产品明示的质量要求缺少本细则中检验项目依据的推荐性标准要求时，该项目不参与判定。</w:t>
      </w:r>
    </w:p>
    <w:sectPr>
      <w:footerReference r:id="rId5" w:type="default"/>
      <w:pgSz w:w="11906" w:h="16839"/>
      <w:pgMar w:top="1440" w:right="1800" w:bottom="1440" w:left="1800" w:header="0" w:footer="118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DE6F53">
    <w:pPr>
      <w:spacing w:line="209" w:lineRule="auto"/>
      <w:ind w:left="3997"/>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247989">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8247989">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WVhYTExOTI3ZGJhYmUxZWY5OTFjNzM4MDYyZGIyZDUifQ=="/>
  </w:docVars>
  <w:rsids>
    <w:rsidRoot w:val="00000000"/>
    <w:rsid w:val="00F03E98"/>
    <w:rsid w:val="0D662AF9"/>
    <w:rsid w:val="0D9D103F"/>
    <w:rsid w:val="183D36D0"/>
    <w:rsid w:val="184A1334"/>
    <w:rsid w:val="2CB745EA"/>
    <w:rsid w:val="2F4874AE"/>
    <w:rsid w:val="31F47267"/>
    <w:rsid w:val="338E62A6"/>
    <w:rsid w:val="382B67B9"/>
    <w:rsid w:val="3AC145EF"/>
    <w:rsid w:val="3FC01EDD"/>
    <w:rsid w:val="41E255CF"/>
    <w:rsid w:val="4D6A7173"/>
    <w:rsid w:val="4E8116E8"/>
    <w:rsid w:val="4F4D4A2B"/>
    <w:rsid w:val="5E023994"/>
    <w:rsid w:val="66A55805"/>
    <w:rsid w:val="736A6B84"/>
    <w:rsid w:val="74FF07D6"/>
    <w:rsid w:val="7D00132C"/>
    <w:rsid w:val="FF5F68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99"/>
    <w:pPr>
      <w:spacing w:after="120" w:line="240" w:lineRule="auto"/>
      <w:ind w:left="1440" w:leftChars="700" w:right="1440" w:rightChars="700" w:firstLine="0" w:firstLineChars="0"/>
      <w:jc w:val="both"/>
    </w:pPr>
    <w:rPr>
      <w:rFonts w:ascii="Calibri" w:hAnsi="Calibri" w:eastAsia="宋体"/>
      <w:sz w:val="21"/>
      <w:szCs w:val="24"/>
    </w:r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Pages>
  <Words>945</Words>
  <Characters>1436</Characters>
  <TotalTime>1</TotalTime>
  <ScaleCrop>false</ScaleCrop>
  <LinksUpToDate>false</LinksUpToDate>
  <CharactersWithSpaces>1505</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2025-02-25T01:22:00Z</dcterms:created>
  <dc:creator>Windows 用户</dc:creator>
  <cp:lastModifiedBy>箫韶.</cp:lastModifiedBy>
  <dcterms:modified xsi:type="dcterms:W3CDTF">2025-09-15T03:23:21Z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2025-07-02T16:57:48Z</vt:filetime>
  </property>
  <property fmtid="{D5CDD505-2E9C-101B-9397-08002B2CF9AE}" pid="4" name="KSOProductBuildVer">
    <vt:lpwstr>2052-12.1.0.22529</vt:lpwstr>
  </property>
  <property fmtid="{D5CDD505-2E9C-101B-9397-08002B2CF9AE}" pid="5" name="ICV">
    <vt:lpwstr>B84D5F5392C7469D876A6FCCDE2A835A_13</vt:lpwstr>
  </property>
  <property fmtid="{D5CDD505-2E9C-101B-9397-08002B2CF9AE}" pid="6" name="KSOTemplateDocerSaveRecord">
    <vt:lpwstr>eyJoZGlkIjoiYzAwNTk0ZDJkNDJhOWExYWFhMmQ4MDBjMDllM2JmYjYiLCJ1c2VySWQiOiIxMTMyMjQ2NTM2In0=</vt:lpwstr>
  </property>
</Properties>
</file>