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12566">
      <w:pPr>
        <w:spacing w:line="240" w:lineRule="auto"/>
        <w:jc w:val="center"/>
        <w:rPr>
          <w:rFonts w:hint="default" w:ascii="Times New Roman" w:hAnsi="Times New Roman" w:eastAsia="仿宋" w:cs="Times New Roman"/>
          <w:b/>
          <w:bCs/>
          <w:color w:val="000000"/>
          <w:sz w:val="44"/>
          <w:szCs w:val="44"/>
          <w:lang w:val="en-US" w:eastAsia="zh-CN"/>
        </w:rPr>
      </w:pPr>
      <w:r>
        <w:rPr>
          <w:rFonts w:hint="default" w:ascii="Times New Roman" w:hAnsi="Times New Roman" w:eastAsia="仿宋" w:cs="Times New Roman"/>
          <w:b/>
          <w:bCs/>
          <w:color w:val="000000"/>
          <w:sz w:val="44"/>
          <w:szCs w:val="44"/>
          <w:lang w:val="en-US" w:eastAsia="zh-CN"/>
        </w:rPr>
        <w:t>手提式干粉灭火器产品质量监督抽查实施细则（2025年版）</w:t>
      </w:r>
    </w:p>
    <w:p w14:paraId="2A911882">
      <w:pPr>
        <w:adjustRightInd w:val="0"/>
        <w:spacing w:line="300" w:lineRule="auto"/>
        <w:jc w:val="both"/>
        <w:rPr>
          <w:rFonts w:hAnsi="宋体"/>
          <w:b/>
          <w:bCs/>
          <w:sz w:val="32"/>
          <w:szCs w:val="32"/>
        </w:rPr>
      </w:pPr>
    </w:p>
    <w:p w14:paraId="208C3879">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14:paraId="5E8E5D40">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14:paraId="67085558">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14:paraId="1B1FC1BC">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每种产品的抽样数量见表1。</w:t>
      </w:r>
    </w:p>
    <w:p w14:paraId="322597E5">
      <w:pPr>
        <w:keepNext w:val="0"/>
        <w:keepLines w:val="0"/>
        <w:pageBreakBefore w:val="0"/>
        <w:widowControl w:val="0"/>
        <w:kinsoku/>
        <w:wordWrap/>
        <w:overflowPunct/>
        <w:topLinePunct w:val="0"/>
        <w:autoSpaceDE/>
        <w:autoSpaceDN/>
        <w:bidi w:val="0"/>
        <w:adjustRightInd w:val="0"/>
        <w:spacing w:line="440" w:lineRule="exact"/>
        <w:ind w:firstLine="422" w:firstLineChars="200"/>
        <w:jc w:val="center"/>
        <w:textAlignment w:val="auto"/>
        <w:rPr>
          <w:rFonts w:hint="default" w:ascii="Times New Roman" w:hAnsi="Times New Roman" w:cs="Times New Roman"/>
          <w:color w:val="000000"/>
          <w:szCs w:val="21"/>
        </w:rPr>
      </w:pPr>
      <w:r>
        <w:rPr>
          <w:rFonts w:hint="default" w:ascii="Times New Roman" w:hAnsi="Times New Roman" w:cs="Times New Roman"/>
          <w:b/>
          <w:szCs w:val="21"/>
        </w:rPr>
        <w:t>表1 抽样数量</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2412"/>
        <w:gridCol w:w="5499"/>
      </w:tblGrid>
      <w:tr w14:paraId="058AA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14:paraId="44C0C46D">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2412" w:type="dxa"/>
            <w:vAlign w:val="center"/>
          </w:tcPr>
          <w:p w14:paraId="1C1F638B">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产品名称</w:t>
            </w:r>
          </w:p>
        </w:tc>
        <w:tc>
          <w:tcPr>
            <w:tcW w:w="5499" w:type="dxa"/>
            <w:vAlign w:val="center"/>
          </w:tcPr>
          <w:p w14:paraId="0ACAFFDA">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抽样数量</w:t>
            </w:r>
          </w:p>
        </w:tc>
      </w:tr>
      <w:tr w14:paraId="578C4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14:paraId="73ABABD6">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412" w:type="dxa"/>
            <w:vAlign w:val="center"/>
          </w:tcPr>
          <w:p w14:paraId="2D85E135">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手提式干粉灭火器</w:t>
            </w:r>
          </w:p>
        </w:tc>
        <w:tc>
          <w:tcPr>
            <w:tcW w:w="5499" w:type="dxa"/>
            <w:vAlign w:val="center"/>
          </w:tcPr>
          <w:p w14:paraId="24ADCB5C">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每批次产品抽取样</w:t>
            </w:r>
            <w:r>
              <w:rPr>
                <w:rFonts w:hint="eastAsia" w:asciiTheme="minorEastAsia" w:hAnsiTheme="minorEastAsia" w:eastAsiaTheme="minorEastAsia" w:cstheme="minorEastAsia"/>
                <w:color w:val="000000"/>
                <w:szCs w:val="21"/>
                <w:lang w:val="en-US" w:eastAsia="zh-CN"/>
              </w:rPr>
              <w:t>8</w:t>
            </w:r>
            <w:r>
              <w:rPr>
                <w:rFonts w:hint="eastAsia" w:asciiTheme="minorEastAsia" w:hAnsiTheme="minorEastAsia" w:eastAsiaTheme="minorEastAsia" w:cstheme="minorEastAsia"/>
                <w:color w:val="000000"/>
                <w:szCs w:val="21"/>
              </w:rPr>
              <w:t>具，其中</w:t>
            </w:r>
            <w:r>
              <w:rPr>
                <w:rFonts w:hint="eastAsia" w:asciiTheme="minorEastAsia" w:hAnsiTheme="minorEastAsia" w:eastAsiaTheme="minorEastAsia" w:cstheme="minorEastAsia"/>
                <w:color w:val="000000"/>
                <w:szCs w:val="21"/>
                <w:lang w:val="en-US" w:eastAsia="zh-CN"/>
              </w:rPr>
              <w:t>4</w:t>
            </w:r>
            <w:r>
              <w:rPr>
                <w:rFonts w:hint="eastAsia" w:asciiTheme="minorEastAsia" w:hAnsiTheme="minorEastAsia" w:eastAsiaTheme="minorEastAsia" w:cstheme="minorEastAsia"/>
                <w:color w:val="000000"/>
                <w:szCs w:val="21"/>
              </w:rPr>
              <w:t>具作为检验样品，</w:t>
            </w:r>
            <w:r>
              <w:rPr>
                <w:rFonts w:hint="eastAsia" w:asciiTheme="minorEastAsia" w:hAnsiTheme="minorEastAsia" w:eastAsiaTheme="minorEastAsia" w:cstheme="minorEastAsia"/>
                <w:color w:val="000000"/>
                <w:szCs w:val="21"/>
                <w:lang w:val="en-US" w:eastAsia="zh-CN"/>
              </w:rPr>
              <w:t>4</w:t>
            </w:r>
            <w:r>
              <w:rPr>
                <w:rFonts w:hint="eastAsia" w:asciiTheme="minorEastAsia" w:hAnsiTheme="minorEastAsia" w:eastAsiaTheme="minorEastAsia" w:cstheme="minorEastAsia"/>
                <w:color w:val="000000"/>
                <w:szCs w:val="21"/>
              </w:rPr>
              <w:t>具作为备用样品。</w:t>
            </w:r>
          </w:p>
        </w:tc>
      </w:tr>
    </w:tbl>
    <w:p w14:paraId="5025687A">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14:paraId="3D7F923E">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表2 手提式灭火器检验项目、依据及方法</w:t>
      </w:r>
    </w:p>
    <w:tbl>
      <w:tblPr>
        <w:tblStyle w:val="10"/>
        <w:tblW w:w="81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43"/>
        <w:gridCol w:w="1990"/>
        <w:gridCol w:w="1690"/>
        <w:gridCol w:w="3296"/>
      </w:tblGrid>
      <w:tr w14:paraId="284089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1" w:hRule="atLeast"/>
          <w:jc w:val="center"/>
        </w:trPr>
        <w:tc>
          <w:tcPr>
            <w:tcW w:w="1143" w:type="dxa"/>
            <w:tcBorders>
              <w:top w:val="single" w:color="auto" w:sz="4" w:space="0"/>
              <w:right w:val="single" w:color="auto" w:sz="4" w:space="0"/>
            </w:tcBorders>
            <w:vAlign w:val="center"/>
          </w:tcPr>
          <w:p w14:paraId="408E2174">
            <w:pPr>
              <w:keepNext w:val="0"/>
              <w:keepLines w:val="0"/>
              <w:pageBreakBefore w:val="0"/>
              <w:widowControl w:val="0"/>
              <w:kinsoku/>
              <w:wordWrap/>
              <w:overflowPunct/>
              <w:topLinePunct w:val="0"/>
              <w:autoSpaceDE/>
              <w:autoSpaceDN/>
              <w:bidi w:val="0"/>
              <w:snapToGrid w:val="0"/>
              <w:spacing w:before="60" w:after="120"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3680" w:type="dxa"/>
            <w:gridSpan w:val="2"/>
            <w:tcBorders>
              <w:top w:val="single" w:color="auto" w:sz="4" w:space="0"/>
              <w:left w:val="single" w:color="auto" w:sz="4" w:space="0"/>
              <w:right w:val="single" w:color="auto" w:sz="4" w:space="0"/>
            </w:tcBorders>
            <w:vAlign w:val="center"/>
          </w:tcPr>
          <w:p w14:paraId="3B033119">
            <w:pPr>
              <w:keepNext w:val="0"/>
              <w:keepLines w:val="0"/>
              <w:pageBreakBefore w:val="0"/>
              <w:widowControl w:val="0"/>
              <w:kinsoku/>
              <w:wordWrap/>
              <w:overflowPunct/>
              <w:topLinePunct w:val="0"/>
              <w:autoSpaceDE/>
              <w:autoSpaceDN/>
              <w:bidi w:val="0"/>
              <w:snapToGrid w:val="0"/>
              <w:spacing w:before="60" w:after="120"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3296" w:type="dxa"/>
            <w:tcBorders>
              <w:top w:val="single" w:color="auto" w:sz="4" w:space="0"/>
              <w:left w:val="single" w:color="auto" w:sz="4" w:space="0"/>
              <w:right w:val="single" w:color="auto" w:sz="4" w:space="0"/>
            </w:tcBorders>
            <w:vAlign w:val="center"/>
          </w:tcPr>
          <w:p w14:paraId="358CBF02">
            <w:pPr>
              <w:keepNext w:val="0"/>
              <w:keepLines w:val="0"/>
              <w:pageBreakBefore w:val="0"/>
              <w:widowControl w:val="0"/>
              <w:kinsoku/>
              <w:wordWrap/>
              <w:overflowPunct/>
              <w:topLinePunct w:val="0"/>
              <w:autoSpaceDE/>
              <w:autoSpaceDN/>
              <w:bidi w:val="0"/>
              <w:snapToGrid w:val="0"/>
              <w:spacing w:before="60" w:after="120"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检验方法</w:t>
            </w:r>
          </w:p>
        </w:tc>
      </w:tr>
      <w:tr w14:paraId="28069C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143" w:type="dxa"/>
            <w:tcBorders>
              <w:top w:val="single" w:color="auto" w:sz="4" w:space="0"/>
              <w:bottom w:val="single" w:color="auto" w:sz="4" w:space="0"/>
              <w:right w:val="single" w:color="auto" w:sz="4" w:space="0"/>
            </w:tcBorders>
            <w:vAlign w:val="center"/>
          </w:tcPr>
          <w:p w14:paraId="65B798B8">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3680" w:type="dxa"/>
            <w:gridSpan w:val="2"/>
            <w:tcBorders>
              <w:top w:val="single" w:color="auto" w:sz="4" w:space="0"/>
              <w:left w:val="single" w:color="auto" w:sz="4" w:space="0"/>
              <w:bottom w:val="single" w:color="auto" w:sz="4" w:space="0"/>
              <w:right w:val="single" w:color="auto" w:sz="4" w:space="0"/>
            </w:tcBorders>
            <w:vAlign w:val="center"/>
          </w:tcPr>
          <w:p w14:paraId="346C2A8B">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充装误差</w:t>
            </w:r>
          </w:p>
        </w:tc>
        <w:tc>
          <w:tcPr>
            <w:tcW w:w="3296" w:type="dxa"/>
            <w:vMerge w:val="restart"/>
            <w:tcBorders>
              <w:top w:val="single" w:color="auto" w:sz="4" w:space="0"/>
              <w:left w:val="single" w:color="auto" w:sz="4" w:space="0"/>
              <w:right w:val="single" w:color="auto" w:sz="4" w:space="0"/>
            </w:tcBorders>
            <w:vAlign w:val="center"/>
          </w:tcPr>
          <w:p w14:paraId="3444C951">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p>
          <w:p w14:paraId="50C7C6B3">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r>
              <w:rPr>
                <w:rFonts w:hint="default" w:ascii="Times New Roman" w:hAnsi="Times New Roman" w:eastAsia="楷体" w:cs="Times New Roman"/>
                <w:kern w:val="0"/>
                <w:sz w:val="22"/>
                <w:szCs w:val="22"/>
                <w:lang w:val="en-US" w:eastAsia="zh-CN"/>
              </w:rPr>
              <w:t>GB4351-2023</w:t>
            </w:r>
          </w:p>
        </w:tc>
      </w:tr>
      <w:tr w14:paraId="7E430C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1143" w:type="dxa"/>
            <w:vMerge w:val="restart"/>
            <w:tcBorders>
              <w:top w:val="single" w:color="auto" w:sz="4" w:space="0"/>
              <w:right w:val="single" w:color="auto" w:sz="4" w:space="0"/>
            </w:tcBorders>
            <w:vAlign w:val="center"/>
          </w:tcPr>
          <w:p w14:paraId="1FA061B1">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990" w:type="dxa"/>
            <w:vMerge w:val="restart"/>
            <w:tcBorders>
              <w:top w:val="single" w:color="auto" w:sz="4" w:space="0"/>
              <w:left w:val="single" w:color="auto" w:sz="4" w:space="0"/>
              <w:right w:val="single" w:color="auto" w:sz="4" w:space="0"/>
            </w:tcBorders>
            <w:vAlign w:val="center"/>
          </w:tcPr>
          <w:p w14:paraId="61C96884">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20℃喷射性能</w:t>
            </w:r>
          </w:p>
        </w:tc>
        <w:tc>
          <w:tcPr>
            <w:tcW w:w="1690" w:type="dxa"/>
            <w:tcBorders>
              <w:top w:val="single" w:color="auto" w:sz="4" w:space="0"/>
              <w:left w:val="single" w:color="auto" w:sz="4" w:space="0"/>
              <w:bottom w:val="single" w:color="auto" w:sz="4" w:space="0"/>
              <w:right w:val="single" w:color="auto" w:sz="4" w:space="0"/>
            </w:tcBorders>
            <w:vAlign w:val="center"/>
          </w:tcPr>
          <w:p w14:paraId="64B83638">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有效喷射时间</w:t>
            </w:r>
          </w:p>
        </w:tc>
        <w:tc>
          <w:tcPr>
            <w:tcW w:w="3296" w:type="dxa"/>
            <w:vMerge w:val="continue"/>
            <w:tcBorders>
              <w:left w:val="single" w:color="auto" w:sz="4" w:space="0"/>
              <w:right w:val="single" w:color="auto" w:sz="4" w:space="0"/>
            </w:tcBorders>
            <w:vAlign w:val="center"/>
          </w:tcPr>
          <w:p w14:paraId="368EC168">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14:paraId="048066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1143" w:type="dxa"/>
            <w:vMerge w:val="continue"/>
            <w:tcBorders>
              <w:right w:val="single" w:color="auto" w:sz="4" w:space="0"/>
            </w:tcBorders>
            <w:vAlign w:val="center"/>
          </w:tcPr>
          <w:p w14:paraId="59DD47C8">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p>
        </w:tc>
        <w:tc>
          <w:tcPr>
            <w:tcW w:w="1990" w:type="dxa"/>
            <w:vMerge w:val="continue"/>
            <w:tcBorders>
              <w:left w:val="single" w:color="auto" w:sz="4" w:space="0"/>
              <w:right w:val="single" w:color="auto" w:sz="4" w:space="0"/>
            </w:tcBorders>
            <w:vAlign w:val="center"/>
          </w:tcPr>
          <w:p w14:paraId="49BE9592">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rPr>
            </w:pPr>
          </w:p>
        </w:tc>
        <w:tc>
          <w:tcPr>
            <w:tcW w:w="1690" w:type="dxa"/>
            <w:tcBorders>
              <w:top w:val="single" w:color="auto" w:sz="4" w:space="0"/>
              <w:left w:val="single" w:color="auto" w:sz="4" w:space="0"/>
              <w:bottom w:val="single" w:color="auto" w:sz="4" w:space="0"/>
              <w:right w:val="single" w:color="auto" w:sz="4" w:space="0"/>
            </w:tcBorders>
            <w:vAlign w:val="center"/>
          </w:tcPr>
          <w:p w14:paraId="543F6893">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喷射距离</w:t>
            </w:r>
          </w:p>
        </w:tc>
        <w:tc>
          <w:tcPr>
            <w:tcW w:w="3296" w:type="dxa"/>
            <w:vMerge w:val="continue"/>
            <w:tcBorders>
              <w:left w:val="single" w:color="auto" w:sz="4" w:space="0"/>
              <w:right w:val="single" w:color="auto" w:sz="4" w:space="0"/>
            </w:tcBorders>
            <w:vAlign w:val="center"/>
          </w:tcPr>
          <w:p w14:paraId="1A554230">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14:paraId="600028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1143" w:type="dxa"/>
            <w:vMerge w:val="continue"/>
            <w:tcBorders>
              <w:right w:val="single" w:color="auto" w:sz="4" w:space="0"/>
            </w:tcBorders>
            <w:vAlign w:val="center"/>
          </w:tcPr>
          <w:p w14:paraId="4CD6C228">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p>
        </w:tc>
        <w:tc>
          <w:tcPr>
            <w:tcW w:w="1990" w:type="dxa"/>
            <w:vMerge w:val="continue"/>
            <w:tcBorders>
              <w:left w:val="single" w:color="auto" w:sz="4" w:space="0"/>
              <w:right w:val="single" w:color="auto" w:sz="4" w:space="0"/>
            </w:tcBorders>
            <w:vAlign w:val="center"/>
          </w:tcPr>
          <w:p w14:paraId="368137DC">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rPr>
            </w:pPr>
          </w:p>
        </w:tc>
        <w:tc>
          <w:tcPr>
            <w:tcW w:w="1690" w:type="dxa"/>
            <w:tcBorders>
              <w:top w:val="single" w:color="auto" w:sz="4" w:space="0"/>
              <w:left w:val="single" w:color="auto" w:sz="4" w:space="0"/>
              <w:bottom w:val="single" w:color="auto" w:sz="4" w:space="0"/>
              <w:right w:val="single" w:color="auto" w:sz="4" w:space="0"/>
            </w:tcBorders>
            <w:vAlign w:val="center"/>
          </w:tcPr>
          <w:p w14:paraId="606266EA">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喷射滞后时间</w:t>
            </w:r>
          </w:p>
        </w:tc>
        <w:tc>
          <w:tcPr>
            <w:tcW w:w="3296" w:type="dxa"/>
            <w:vMerge w:val="continue"/>
            <w:tcBorders>
              <w:left w:val="single" w:color="auto" w:sz="4" w:space="0"/>
              <w:right w:val="single" w:color="auto" w:sz="4" w:space="0"/>
            </w:tcBorders>
            <w:vAlign w:val="center"/>
          </w:tcPr>
          <w:p w14:paraId="088F3503">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14:paraId="2621B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1143" w:type="dxa"/>
            <w:vMerge w:val="continue"/>
            <w:tcBorders>
              <w:bottom w:val="single" w:color="auto" w:sz="4" w:space="0"/>
              <w:right w:val="single" w:color="auto" w:sz="4" w:space="0"/>
            </w:tcBorders>
            <w:vAlign w:val="center"/>
          </w:tcPr>
          <w:p w14:paraId="566B7B7B">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p>
        </w:tc>
        <w:tc>
          <w:tcPr>
            <w:tcW w:w="1990" w:type="dxa"/>
            <w:vMerge w:val="continue"/>
            <w:tcBorders>
              <w:left w:val="single" w:color="auto" w:sz="4" w:space="0"/>
              <w:bottom w:val="single" w:color="auto" w:sz="4" w:space="0"/>
              <w:right w:val="single" w:color="auto" w:sz="4" w:space="0"/>
            </w:tcBorders>
            <w:vAlign w:val="center"/>
          </w:tcPr>
          <w:p w14:paraId="69E6AA1D">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rPr>
            </w:pPr>
          </w:p>
        </w:tc>
        <w:tc>
          <w:tcPr>
            <w:tcW w:w="1690" w:type="dxa"/>
            <w:tcBorders>
              <w:top w:val="single" w:color="auto" w:sz="4" w:space="0"/>
              <w:left w:val="single" w:color="auto" w:sz="4" w:space="0"/>
              <w:bottom w:val="single" w:color="auto" w:sz="4" w:space="0"/>
              <w:right w:val="single" w:color="auto" w:sz="4" w:space="0"/>
            </w:tcBorders>
            <w:vAlign w:val="center"/>
          </w:tcPr>
          <w:p w14:paraId="0EC6DC09">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喷射剩余率</w:t>
            </w:r>
          </w:p>
        </w:tc>
        <w:tc>
          <w:tcPr>
            <w:tcW w:w="3296" w:type="dxa"/>
            <w:vMerge w:val="continue"/>
            <w:tcBorders>
              <w:left w:val="single" w:color="auto" w:sz="4" w:space="0"/>
              <w:right w:val="single" w:color="auto" w:sz="4" w:space="0"/>
            </w:tcBorders>
            <w:vAlign w:val="center"/>
          </w:tcPr>
          <w:p w14:paraId="31F36397">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14:paraId="7C52E7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1143" w:type="dxa"/>
            <w:tcBorders>
              <w:top w:val="single" w:color="auto" w:sz="4" w:space="0"/>
              <w:bottom w:val="single" w:color="auto" w:sz="4" w:space="0"/>
              <w:right w:val="single" w:color="auto" w:sz="4" w:space="0"/>
            </w:tcBorders>
            <w:vAlign w:val="center"/>
          </w:tcPr>
          <w:p w14:paraId="185018A6">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3680" w:type="dxa"/>
            <w:gridSpan w:val="2"/>
            <w:tcBorders>
              <w:top w:val="single" w:color="auto" w:sz="4" w:space="0"/>
              <w:left w:val="single" w:color="auto" w:sz="4" w:space="0"/>
              <w:bottom w:val="single" w:color="auto" w:sz="4" w:space="0"/>
              <w:right w:val="single" w:color="auto" w:sz="4" w:space="0"/>
            </w:tcBorders>
            <w:vAlign w:val="center"/>
          </w:tcPr>
          <w:p w14:paraId="34E76FCD">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灭火剂</w:t>
            </w:r>
          </w:p>
          <w:p w14:paraId="7ADF516D">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（只做磷酸二氢铵含量）</w:t>
            </w:r>
          </w:p>
        </w:tc>
        <w:tc>
          <w:tcPr>
            <w:tcW w:w="3296" w:type="dxa"/>
            <w:vMerge w:val="continue"/>
            <w:tcBorders>
              <w:left w:val="single" w:color="auto" w:sz="4" w:space="0"/>
              <w:right w:val="single" w:color="auto" w:sz="4" w:space="0"/>
            </w:tcBorders>
            <w:vAlign w:val="center"/>
          </w:tcPr>
          <w:p w14:paraId="6A13115E">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p>
        </w:tc>
      </w:tr>
      <w:tr w14:paraId="7AFE6F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1143" w:type="dxa"/>
            <w:tcBorders>
              <w:top w:val="single" w:color="auto" w:sz="4" w:space="0"/>
              <w:bottom w:val="single" w:color="auto" w:sz="4" w:space="0"/>
              <w:right w:val="single" w:color="auto" w:sz="4" w:space="0"/>
            </w:tcBorders>
            <w:vAlign w:val="center"/>
          </w:tcPr>
          <w:p w14:paraId="4E4515CC">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3680" w:type="dxa"/>
            <w:gridSpan w:val="2"/>
            <w:tcBorders>
              <w:top w:val="single" w:color="auto" w:sz="4" w:space="0"/>
              <w:left w:val="single" w:color="auto" w:sz="4" w:space="0"/>
              <w:bottom w:val="single" w:color="auto" w:sz="4" w:space="0"/>
              <w:right w:val="single" w:color="auto" w:sz="4" w:space="0"/>
            </w:tcBorders>
            <w:vAlign w:val="center"/>
          </w:tcPr>
          <w:p w14:paraId="3398A35D">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筒体水压试验</w:t>
            </w:r>
          </w:p>
        </w:tc>
        <w:tc>
          <w:tcPr>
            <w:tcW w:w="3296" w:type="dxa"/>
            <w:vMerge w:val="continue"/>
            <w:tcBorders>
              <w:left w:val="single" w:color="auto" w:sz="4" w:space="0"/>
              <w:right w:val="single" w:color="auto" w:sz="4" w:space="0"/>
            </w:tcBorders>
            <w:vAlign w:val="center"/>
          </w:tcPr>
          <w:p w14:paraId="124E216B">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p>
        </w:tc>
      </w:tr>
      <w:tr w14:paraId="4B99FE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1143" w:type="dxa"/>
            <w:tcBorders>
              <w:top w:val="single" w:color="auto" w:sz="4" w:space="0"/>
              <w:bottom w:val="single" w:color="auto" w:sz="4" w:space="0"/>
              <w:right w:val="single" w:color="auto" w:sz="4" w:space="0"/>
            </w:tcBorders>
            <w:vAlign w:val="center"/>
          </w:tcPr>
          <w:p w14:paraId="26DEE948">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3680" w:type="dxa"/>
            <w:gridSpan w:val="2"/>
            <w:tcBorders>
              <w:top w:val="single" w:color="auto" w:sz="4" w:space="0"/>
              <w:left w:val="single" w:color="auto" w:sz="4" w:space="0"/>
              <w:bottom w:val="single" w:color="auto" w:sz="4" w:space="0"/>
              <w:right w:val="single" w:color="auto" w:sz="4" w:space="0"/>
            </w:tcBorders>
            <w:vAlign w:val="center"/>
          </w:tcPr>
          <w:p w14:paraId="14763100">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筒体爆破试验</w:t>
            </w:r>
          </w:p>
        </w:tc>
        <w:tc>
          <w:tcPr>
            <w:tcW w:w="3296" w:type="dxa"/>
            <w:vMerge w:val="continue"/>
            <w:tcBorders>
              <w:left w:val="single" w:color="auto" w:sz="4" w:space="0"/>
              <w:right w:val="single" w:color="auto" w:sz="4" w:space="0"/>
            </w:tcBorders>
            <w:vAlign w:val="center"/>
          </w:tcPr>
          <w:p w14:paraId="01F78D9A">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szCs w:val="21"/>
              </w:rPr>
            </w:pPr>
          </w:p>
        </w:tc>
      </w:tr>
      <w:tr w14:paraId="6B54C3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143" w:type="dxa"/>
            <w:tcBorders>
              <w:top w:val="single" w:color="auto" w:sz="4" w:space="0"/>
              <w:bottom w:val="single" w:color="auto" w:sz="4" w:space="0"/>
              <w:right w:val="single" w:color="auto" w:sz="4" w:space="0"/>
            </w:tcBorders>
            <w:vAlign w:val="center"/>
          </w:tcPr>
          <w:p w14:paraId="45609608">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w:t>
            </w:r>
          </w:p>
        </w:tc>
        <w:tc>
          <w:tcPr>
            <w:tcW w:w="3680" w:type="dxa"/>
            <w:gridSpan w:val="2"/>
            <w:tcBorders>
              <w:top w:val="single" w:color="auto" w:sz="4" w:space="0"/>
              <w:left w:val="single" w:color="auto" w:sz="4" w:space="0"/>
              <w:bottom w:val="single" w:color="auto" w:sz="4" w:space="0"/>
              <w:right w:val="single" w:color="auto" w:sz="4" w:space="0"/>
            </w:tcBorders>
            <w:vAlign w:val="center"/>
          </w:tcPr>
          <w:p w14:paraId="07F59CFE">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筒体壁厚</w:t>
            </w:r>
          </w:p>
        </w:tc>
        <w:tc>
          <w:tcPr>
            <w:tcW w:w="3296" w:type="dxa"/>
            <w:vMerge w:val="continue"/>
            <w:tcBorders>
              <w:left w:val="single" w:color="auto" w:sz="4" w:space="0"/>
              <w:bottom w:val="single" w:color="auto" w:sz="4" w:space="0"/>
              <w:right w:val="single" w:color="auto" w:sz="4" w:space="0"/>
            </w:tcBorders>
            <w:vAlign w:val="center"/>
          </w:tcPr>
          <w:p w14:paraId="7EE8C0AB">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szCs w:val="21"/>
              </w:rPr>
            </w:pPr>
          </w:p>
        </w:tc>
      </w:tr>
    </w:tbl>
    <w:p w14:paraId="6872CCB6">
      <w:pPr>
        <w:pStyle w:val="2"/>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rPr>
      </w:pPr>
    </w:p>
    <w:p w14:paraId="289C8DF8">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14:paraId="3E722809">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14:paraId="3FBF4CA1">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14:paraId="3C63B48B">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244440F0">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下列文件凡是注明日期的，其随后所有的修改单或修订版均不适用于本细则。凡是不注明日期的，其最新版本适用于本细则。</w:t>
      </w:r>
    </w:p>
    <w:p w14:paraId="42467119">
      <w:pPr>
        <w:keepNext w:val="0"/>
        <w:keepLines w:val="0"/>
        <w:pageBreakBefore w:val="0"/>
        <w:widowControl w:val="0"/>
        <w:kinsoku/>
        <w:wordWrap/>
        <w:overflowPunct/>
        <w:topLinePunct w:val="0"/>
        <w:autoSpaceDE/>
        <w:autoSpaceDN/>
        <w:bidi w:val="0"/>
        <w:adjustRightInd w:val="0"/>
        <w:spacing w:line="440" w:lineRule="exact"/>
        <w:ind w:firstLine="440" w:firstLineChars="200"/>
        <w:textAlignment w:val="auto"/>
        <w:rPr>
          <w:rFonts w:hint="default" w:ascii="Times New Roman" w:hAnsi="Times New Roman" w:cs="Times New Roman"/>
          <w:sz w:val="24"/>
        </w:rPr>
      </w:pPr>
      <w:r>
        <w:rPr>
          <w:rFonts w:hint="default" w:ascii="Times New Roman" w:hAnsi="Times New Roman" w:eastAsia="楷体" w:cs="Times New Roman"/>
          <w:kern w:val="0"/>
          <w:sz w:val="22"/>
          <w:szCs w:val="22"/>
          <w:lang w:val="en-US" w:eastAsia="zh-CN"/>
        </w:rPr>
        <w:t>GB4351-2023</w:t>
      </w:r>
      <w:r>
        <w:rPr>
          <w:rFonts w:hint="default" w:ascii="Times New Roman" w:hAnsi="Times New Roman" w:cs="Times New Roman"/>
          <w:bCs/>
          <w:szCs w:val="21"/>
        </w:rPr>
        <w:t xml:space="preserve"> 手提式灭火器 </w:t>
      </w:r>
    </w:p>
    <w:p w14:paraId="568B7EB9">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现行有效的企业标准、团体标准、地方标准及产品明示质量要求。</w:t>
      </w:r>
    </w:p>
    <w:p w14:paraId="68E9D64F">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30DD3E47">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bCs/>
          <w:szCs w:val="21"/>
        </w:rPr>
      </w:pPr>
      <w:r>
        <w:rPr>
          <w:rFonts w:hint="default" w:ascii="Times New Roman" w:hAnsi="Times New Roman" w:cs="Times New Roman"/>
          <w:color w:val="000000"/>
          <w:szCs w:val="21"/>
        </w:rPr>
        <w:t>经</w:t>
      </w:r>
      <w:bookmarkStart w:id="0" w:name="_GoBack"/>
      <w:bookmarkEnd w:id="0"/>
      <w:r>
        <w:rPr>
          <w:rFonts w:hint="default" w:ascii="Times New Roman" w:hAnsi="Times New Roman" w:cs="Times New Roman"/>
          <w:color w:val="000000"/>
          <w:szCs w:val="21"/>
        </w:rPr>
        <w:t>检验，检验项目全部合格，判定为被抽查产品所检项目未发现不合格；检验项目中任一项或一项以上不合格，判定为被抽查产品不合格。</w:t>
      </w:r>
    </w:p>
    <w:p w14:paraId="6D32A129">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若被检产品明示的质量要求高于本细则中检验项目依据的标准要求时，应按被检产品明示的质量要求判定。</w:t>
      </w:r>
    </w:p>
    <w:p w14:paraId="63F2A5D8">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若被检产品明示的质量要求低于本细则中检验项目依据的强制性标准要求时，应按照强制性标准要求判定。</w:t>
      </w:r>
    </w:p>
    <w:p w14:paraId="268AF2E4">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若被检产品明示的质量要求低于或包含本细则中检验项目依据的推荐性标准要求时，应以被检产品明示的质量要求判定，但应在检验报告备注中进行说明。</w:t>
      </w:r>
    </w:p>
    <w:p w14:paraId="726100CF">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若被检产品明示的质量要求缺少本细则中检验项目依据的强制性标准要求时，应按照强制性标准要求判定。</w:t>
      </w:r>
    </w:p>
    <w:p w14:paraId="0F849242">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若被检产品明示的质量要求缺少本细则中检验项目依据的推荐性标准要求时，该项目不参与判定，但应在检验报告备注中进行说明。</w:t>
      </w:r>
    </w:p>
    <w:p w14:paraId="5591E679">
      <w:pPr>
        <w:spacing w:line="500" w:lineRule="exact"/>
        <w:rPr>
          <w:rFonts w:ascii="宋体" w:hAnsi="宋体" w:cs="宋体"/>
          <w:bCs/>
          <w:szCs w:val="21"/>
        </w:rPr>
      </w:pPr>
    </w:p>
    <w:p w14:paraId="395A2E3C">
      <w:pPr>
        <w:adjustRightInd w:val="0"/>
        <w:spacing w:line="500" w:lineRule="exact"/>
        <w:ind w:firstLine="420" w:firstLineChars="200"/>
        <w:rPr>
          <w:rFonts w:ascii="宋体" w:hAnsi="宋体" w:cs="宋体"/>
          <w:szCs w:val="21"/>
        </w:rPr>
      </w:pPr>
    </w:p>
    <w:sectPr>
      <w:footerReference r:id="rId5" w:type="first"/>
      <w:footerReference r:id="rId3" w:type="default"/>
      <w:footerReference r:id="rId4" w:type="even"/>
      <w:pgSz w:w="11906" w:h="16838"/>
      <w:pgMar w:top="1418" w:right="1531" w:bottom="1077"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汉鼎简书宋二">
    <w:altName w:val="微软雅黑"/>
    <w:panose1 w:val="00000000000000000000"/>
    <w:charset w:val="86"/>
    <w:family w:val="modern"/>
    <w:pitch w:val="default"/>
    <w:sig w:usb0="00000000" w:usb1="00000000" w:usb2="0000001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2251E">
    <w:pPr>
      <w:pStyle w:val="8"/>
      <w:rPr>
        <w:rStyle w:val="15"/>
        <w:rFonts w:ascii="仿宋_GB2312" w:eastAsia="仿宋_GB2312"/>
        <w:b/>
        <w:szCs w:val="24"/>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DBF5A07">
                          <w:pPr>
                            <w:pStyle w:val="8"/>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1SNf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hkMvcD/ztMeI4ecrUYYSdGuPzZZ7TqqX9+NfPVY+/&#10;1/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BS1SNfTAQAApgMAAA4AAAAAAAAAAQAgAAAA&#10;IgEAAGRycy9lMm9Eb2MueG1sUEsFBgAAAAAGAAYAWQEAAGcFAAAAAA==&#10;">
              <v:fill on="f" focussize="0,0"/>
              <v:stroke on="f" weight="1.25pt"/>
              <v:imagedata o:title=""/>
              <o:lock v:ext="edit" aspectratio="f"/>
              <v:textbox inset="0mm,0mm,0mm,0mm" style="mso-fit-shape-to-text:t;">
                <w:txbxContent>
                  <w:p w14:paraId="3DBF5A07">
                    <w:pPr>
                      <w:pStyle w:val="8"/>
                    </w:pPr>
                    <w:r>
                      <w:fldChar w:fldCharType="begin"/>
                    </w:r>
                    <w:r>
                      <w:instrText xml:space="preserve"> PAGE  \* MERGEFORMAT </w:instrText>
                    </w:r>
                    <w:r>
                      <w:fldChar w:fldCharType="separate"/>
                    </w:r>
                    <w:r>
                      <w:t>2</w:t>
                    </w:r>
                    <w:r>
                      <w:fldChar w:fldCharType="end"/>
                    </w:r>
                  </w:p>
                </w:txbxContent>
              </v:textbox>
            </v:shape>
          </w:pict>
        </mc:Fallback>
      </mc:AlternateContent>
    </w:r>
  </w:p>
  <w:p w14:paraId="036FABE1">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E7B05">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63608C17">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4F6EC">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E10040E">
                          <w:pPr>
                            <w:pStyle w:val="8"/>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TTp/81AEAAKYDAAAOAAAAAAAAAAEAIAAA&#10;ACIBAABkcnMvZTJvRG9jLnhtbFBLBQYAAAAABgAGAFkBAABoBQAAAAA=&#10;">
              <v:fill on="f" focussize="0,0"/>
              <v:stroke on="f" weight="1.25pt"/>
              <v:imagedata o:title=""/>
              <o:lock v:ext="edit" aspectratio="f"/>
              <v:textbox inset="0mm,0mm,0mm,0mm" style="mso-fit-shape-to-text:t;">
                <w:txbxContent>
                  <w:p w14:paraId="1E10040E">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mNjYwNzkzYjE1ODk5ZWU1OTI4NTUwOWZiY2M5NWYifQ=="/>
  </w:docVars>
  <w:rsids>
    <w:rsidRoot w:val="00172A27"/>
    <w:rsid w:val="00022E9C"/>
    <w:rsid w:val="00027096"/>
    <w:rsid w:val="000416C9"/>
    <w:rsid w:val="000420DB"/>
    <w:rsid w:val="00081BF5"/>
    <w:rsid w:val="00092A97"/>
    <w:rsid w:val="00095BD0"/>
    <w:rsid w:val="000A1B06"/>
    <w:rsid w:val="000B6469"/>
    <w:rsid w:val="000C480A"/>
    <w:rsid w:val="000C5C00"/>
    <w:rsid w:val="000E1F48"/>
    <w:rsid w:val="000E436F"/>
    <w:rsid w:val="000E7357"/>
    <w:rsid w:val="000F022A"/>
    <w:rsid w:val="000F224B"/>
    <w:rsid w:val="000F4F4D"/>
    <w:rsid w:val="00104294"/>
    <w:rsid w:val="00120BEC"/>
    <w:rsid w:val="00122B23"/>
    <w:rsid w:val="00123C7E"/>
    <w:rsid w:val="001311A6"/>
    <w:rsid w:val="0013292E"/>
    <w:rsid w:val="001343CA"/>
    <w:rsid w:val="00141F12"/>
    <w:rsid w:val="00145260"/>
    <w:rsid w:val="00146C21"/>
    <w:rsid w:val="001638FE"/>
    <w:rsid w:val="00163CB3"/>
    <w:rsid w:val="00164F80"/>
    <w:rsid w:val="0016506F"/>
    <w:rsid w:val="00172A27"/>
    <w:rsid w:val="00177250"/>
    <w:rsid w:val="001932ED"/>
    <w:rsid w:val="001A12F4"/>
    <w:rsid w:val="001A2293"/>
    <w:rsid w:val="001B7265"/>
    <w:rsid w:val="001C25D4"/>
    <w:rsid w:val="001C6F3F"/>
    <w:rsid w:val="001D2EFE"/>
    <w:rsid w:val="001D5BFA"/>
    <w:rsid w:val="001E562E"/>
    <w:rsid w:val="001F71B9"/>
    <w:rsid w:val="00200EEA"/>
    <w:rsid w:val="00201894"/>
    <w:rsid w:val="00207611"/>
    <w:rsid w:val="00214643"/>
    <w:rsid w:val="00221A2A"/>
    <w:rsid w:val="00223E60"/>
    <w:rsid w:val="00237850"/>
    <w:rsid w:val="00256245"/>
    <w:rsid w:val="002616B1"/>
    <w:rsid w:val="00271EFD"/>
    <w:rsid w:val="00282991"/>
    <w:rsid w:val="00283576"/>
    <w:rsid w:val="002A2BB6"/>
    <w:rsid w:val="002B3A5F"/>
    <w:rsid w:val="002C5834"/>
    <w:rsid w:val="002D328D"/>
    <w:rsid w:val="002D6853"/>
    <w:rsid w:val="002E3139"/>
    <w:rsid w:val="002F3A0C"/>
    <w:rsid w:val="003007C7"/>
    <w:rsid w:val="00320F57"/>
    <w:rsid w:val="00326C73"/>
    <w:rsid w:val="00331BE9"/>
    <w:rsid w:val="00333BBD"/>
    <w:rsid w:val="00337C3F"/>
    <w:rsid w:val="00345D41"/>
    <w:rsid w:val="003731FE"/>
    <w:rsid w:val="00375BF8"/>
    <w:rsid w:val="00376E55"/>
    <w:rsid w:val="003828CB"/>
    <w:rsid w:val="00390561"/>
    <w:rsid w:val="003A78E0"/>
    <w:rsid w:val="003B3B13"/>
    <w:rsid w:val="003D0B52"/>
    <w:rsid w:val="003D456E"/>
    <w:rsid w:val="003D5E56"/>
    <w:rsid w:val="003E6783"/>
    <w:rsid w:val="003F7669"/>
    <w:rsid w:val="00415AB0"/>
    <w:rsid w:val="004224FA"/>
    <w:rsid w:val="0042698D"/>
    <w:rsid w:val="00466656"/>
    <w:rsid w:val="004756DB"/>
    <w:rsid w:val="004904F1"/>
    <w:rsid w:val="0049363E"/>
    <w:rsid w:val="004A68C2"/>
    <w:rsid w:val="004C1822"/>
    <w:rsid w:val="004D0341"/>
    <w:rsid w:val="004D0898"/>
    <w:rsid w:val="004D174F"/>
    <w:rsid w:val="004E0E63"/>
    <w:rsid w:val="004F55CF"/>
    <w:rsid w:val="004F60A3"/>
    <w:rsid w:val="00507FD3"/>
    <w:rsid w:val="00512DA5"/>
    <w:rsid w:val="005166C6"/>
    <w:rsid w:val="00530690"/>
    <w:rsid w:val="00534643"/>
    <w:rsid w:val="005424FF"/>
    <w:rsid w:val="00545048"/>
    <w:rsid w:val="005764D3"/>
    <w:rsid w:val="005A04BB"/>
    <w:rsid w:val="005A5130"/>
    <w:rsid w:val="005B0FD6"/>
    <w:rsid w:val="005B5F5B"/>
    <w:rsid w:val="005C18E1"/>
    <w:rsid w:val="005C5F7F"/>
    <w:rsid w:val="005D2264"/>
    <w:rsid w:val="005D3B18"/>
    <w:rsid w:val="005E01E6"/>
    <w:rsid w:val="005E0493"/>
    <w:rsid w:val="005E7114"/>
    <w:rsid w:val="006013E4"/>
    <w:rsid w:val="00620D0C"/>
    <w:rsid w:val="006456FD"/>
    <w:rsid w:val="006505F1"/>
    <w:rsid w:val="00660EDA"/>
    <w:rsid w:val="0067438B"/>
    <w:rsid w:val="00677279"/>
    <w:rsid w:val="00686EB3"/>
    <w:rsid w:val="00687546"/>
    <w:rsid w:val="006952BB"/>
    <w:rsid w:val="006A6375"/>
    <w:rsid w:val="006B0E96"/>
    <w:rsid w:val="006B201F"/>
    <w:rsid w:val="006D1134"/>
    <w:rsid w:val="006D62F8"/>
    <w:rsid w:val="006F04E9"/>
    <w:rsid w:val="00712514"/>
    <w:rsid w:val="00717013"/>
    <w:rsid w:val="007207F4"/>
    <w:rsid w:val="00722CC1"/>
    <w:rsid w:val="007406C3"/>
    <w:rsid w:val="00754F84"/>
    <w:rsid w:val="00765307"/>
    <w:rsid w:val="0077450B"/>
    <w:rsid w:val="00774F3A"/>
    <w:rsid w:val="007A0663"/>
    <w:rsid w:val="007A34DE"/>
    <w:rsid w:val="007A3CAF"/>
    <w:rsid w:val="007B23BB"/>
    <w:rsid w:val="007C0F3C"/>
    <w:rsid w:val="007C2595"/>
    <w:rsid w:val="007C60B5"/>
    <w:rsid w:val="007C6C0A"/>
    <w:rsid w:val="007E26B6"/>
    <w:rsid w:val="007E6F6E"/>
    <w:rsid w:val="007F0F52"/>
    <w:rsid w:val="008008FF"/>
    <w:rsid w:val="00833F39"/>
    <w:rsid w:val="00846511"/>
    <w:rsid w:val="00880BAA"/>
    <w:rsid w:val="00881F42"/>
    <w:rsid w:val="00884E2A"/>
    <w:rsid w:val="008B01D0"/>
    <w:rsid w:val="008B04EF"/>
    <w:rsid w:val="008C2522"/>
    <w:rsid w:val="008C2FEE"/>
    <w:rsid w:val="008D1EEA"/>
    <w:rsid w:val="008F14A8"/>
    <w:rsid w:val="00906501"/>
    <w:rsid w:val="00906D22"/>
    <w:rsid w:val="0091553D"/>
    <w:rsid w:val="0092024E"/>
    <w:rsid w:val="009347B6"/>
    <w:rsid w:val="00934CF8"/>
    <w:rsid w:val="00936AC9"/>
    <w:rsid w:val="00944F8F"/>
    <w:rsid w:val="00952AE5"/>
    <w:rsid w:val="00964842"/>
    <w:rsid w:val="00966691"/>
    <w:rsid w:val="0096669B"/>
    <w:rsid w:val="009705C8"/>
    <w:rsid w:val="00972896"/>
    <w:rsid w:val="00972A6A"/>
    <w:rsid w:val="0098460A"/>
    <w:rsid w:val="009908CB"/>
    <w:rsid w:val="00991957"/>
    <w:rsid w:val="00991AF9"/>
    <w:rsid w:val="009A22FD"/>
    <w:rsid w:val="009B4529"/>
    <w:rsid w:val="009C063F"/>
    <w:rsid w:val="009C1A0F"/>
    <w:rsid w:val="009C2F60"/>
    <w:rsid w:val="009C3DE8"/>
    <w:rsid w:val="009C5594"/>
    <w:rsid w:val="009E0522"/>
    <w:rsid w:val="009E082F"/>
    <w:rsid w:val="009E0AD7"/>
    <w:rsid w:val="009E40BF"/>
    <w:rsid w:val="009F6249"/>
    <w:rsid w:val="009F7204"/>
    <w:rsid w:val="009F749F"/>
    <w:rsid w:val="00A056B8"/>
    <w:rsid w:val="00A21D23"/>
    <w:rsid w:val="00A22E0E"/>
    <w:rsid w:val="00A321CB"/>
    <w:rsid w:val="00A5785C"/>
    <w:rsid w:val="00A647C4"/>
    <w:rsid w:val="00A81747"/>
    <w:rsid w:val="00AA34F5"/>
    <w:rsid w:val="00AA5E17"/>
    <w:rsid w:val="00AB3BCD"/>
    <w:rsid w:val="00AB6F8F"/>
    <w:rsid w:val="00AB797E"/>
    <w:rsid w:val="00AC4954"/>
    <w:rsid w:val="00AC4A8B"/>
    <w:rsid w:val="00AC6313"/>
    <w:rsid w:val="00AD3D3C"/>
    <w:rsid w:val="00AD57EA"/>
    <w:rsid w:val="00AE72A6"/>
    <w:rsid w:val="00B054B5"/>
    <w:rsid w:val="00B12B8B"/>
    <w:rsid w:val="00B12E71"/>
    <w:rsid w:val="00B229E8"/>
    <w:rsid w:val="00B37CA4"/>
    <w:rsid w:val="00B43EB4"/>
    <w:rsid w:val="00B47600"/>
    <w:rsid w:val="00B53CB7"/>
    <w:rsid w:val="00B706BF"/>
    <w:rsid w:val="00B70D43"/>
    <w:rsid w:val="00B71930"/>
    <w:rsid w:val="00B87F32"/>
    <w:rsid w:val="00B930DD"/>
    <w:rsid w:val="00BA30E3"/>
    <w:rsid w:val="00BA6EB2"/>
    <w:rsid w:val="00BB197B"/>
    <w:rsid w:val="00BC21FB"/>
    <w:rsid w:val="00BC265B"/>
    <w:rsid w:val="00BC57B5"/>
    <w:rsid w:val="00BD3BA4"/>
    <w:rsid w:val="00BD502F"/>
    <w:rsid w:val="00BD63D3"/>
    <w:rsid w:val="00BF1777"/>
    <w:rsid w:val="00C048DF"/>
    <w:rsid w:val="00C15E7A"/>
    <w:rsid w:val="00C21D74"/>
    <w:rsid w:val="00C226C2"/>
    <w:rsid w:val="00C31BA4"/>
    <w:rsid w:val="00C72EAA"/>
    <w:rsid w:val="00C92B77"/>
    <w:rsid w:val="00CA1690"/>
    <w:rsid w:val="00CB08DE"/>
    <w:rsid w:val="00CD1614"/>
    <w:rsid w:val="00CD6B29"/>
    <w:rsid w:val="00CE7E1E"/>
    <w:rsid w:val="00D004D7"/>
    <w:rsid w:val="00D05CC2"/>
    <w:rsid w:val="00D17602"/>
    <w:rsid w:val="00D30913"/>
    <w:rsid w:val="00D352A6"/>
    <w:rsid w:val="00D415F9"/>
    <w:rsid w:val="00D55A01"/>
    <w:rsid w:val="00D56C92"/>
    <w:rsid w:val="00D64908"/>
    <w:rsid w:val="00D658E0"/>
    <w:rsid w:val="00D855CB"/>
    <w:rsid w:val="00D8661D"/>
    <w:rsid w:val="00D939DE"/>
    <w:rsid w:val="00D950E1"/>
    <w:rsid w:val="00DA664A"/>
    <w:rsid w:val="00DB3904"/>
    <w:rsid w:val="00DC0FAC"/>
    <w:rsid w:val="00DC3C24"/>
    <w:rsid w:val="00DC4B50"/>
    <w:rsid w:val="00DD7B4E"/>
    <w:rsid w:val="00E05F50"/>
    <w:rsid w:val="00E22702"/>
    <w:rsid w:val="00E23AFC"/>
    <w:rsid w:val="00E2636B"/>
    <w:rsid w:val="00E40BEE"/>
    <w:rsid w:val="00E55648"/>
    <w:rsid w:val="00E56A52"/>
    <w:rsid w:val="00E722A4"/>
    <w:rsid w:val="00E850D3"/>
    <w:rsid w:val="00EC0B9D"/>
    <w:rsid w:val="00EC6496"/>
    <w:rsid w:val="00ED7524"/>
    <w:rsid w:val="00EE0930"/>
    <w:rsid w:val="00F255F6"/>
    <w:rsid w:val="00F50454"/>
    <w:rsid w:val="00F557E6"/>
    <w:rsid w:val="00F7320A"/>
    <w:rsid w:val="00F7711D"/>
    <w:rsid w:val="00F81B57"/>
    <w:rsid w:val="00F82B28"/>
    <w:rsid w:val="00F97F5D"/>
    <w:rsid w:val="00FB5E78"/>
    <w:rsid w:val="00FB7CCD"/>
    <w:rsid w:val="00FC2BF3"/>
    <w:rsid w:val="00FC3E28"/>
    <w:rsid w:val="00FD0B72"/>
    <w:rsid w:val="00FD309C"/>
    <w:rsid w:val="00FD751E"/>
    <w:rsid w:val="00FE40D3"/>
    <w:rsid w:val="00FE7BF8"/>
    <w:rsid w:val="00FF3B6D"/>
    <w:rsid w:val="024E562F"/>
    <w:rsid w:val="02E94E4E"/>
    <w:rsid w:val="02EE5CEB"/>
    <w:rsid w:val="037E6CA6"/>
    <w:rsid w:val="03C86237"/>
    <w:rsid w:val="040143DC"/>
    <w:rsid w:val="04C93771"/>
    <w:rsid w:val="04FC7F35"/>
    <w:rsid w:val="06F021F7"/>
    <w:rsid w:val="07637399"/>
    <w:rsid w:val="076D1F8C"/>
    <w:rsid w:val="0983212A"/>
    <w:rsid w:val="0A8171F6"/>
    <w:rsid w:val="0CA92774"/>
    <w:rsid w:val="0D2B21DB"/>
    <w:rsid w:val="0DF14789"/>
    <w:rsid w:val="106E009A"/>
    <w:rsid w:val="10AD6DCF"/>
    <w:rsid w:val="10EB2E93"/>
    <w:rsid w:val="116D1AEC"/>
    <w:rsid w:val="11737930"/>
    <w:rsid w:val="12204905"/>
    <w:rsid w:val="12882C06"/>
    <w:rsid w:val="12A102C7"/>
    <w:rsid w:val="15275978"/>
    <w:rsid w:val="153C4A55"/>
    <w:rsid w:val="1736497A"/>
    <w:rsid w:val="18B72819"/>
    <w:rsid w:val="19264AE9"/>
    <w:rsid w:val="19FE7046"/>
    <w:rsid w:val="1A6A4632"/>
    <w:rsid w:val="1A796F51"/>
    <w:rsid w:val="1AF97C96"/>
    <w:rsid w:val="1B207A60"/>
    <w:rsid w:val="1C4F08B3"/>
    <w:rsid w:val="1C9807C7"/>
    <w:rsid w:val="1C9C20FD"/>
    <w:rsid w:val="1D003AFC"/>
    <w:rsid w:val="1DA346E1"/>
    <w:rsid w:val="1E5155C8"/>
    <w:rsid w:val="1E7F63C4"/>
    <w:rsid w:val="1F162608"/>
    <w:rsid w:val="1F404A3E"/>
    <w:rsid w:val="1F601AF9"/>
    <w:rsid w:val="1F6E24DD"/>
    <w:rsid w:val="1F7D5493"/>
    <w:rsid w:val="1FC863C2"/>
    <w:rsid w:val="1FDA15FF"/>
    <w:rsid w:val="216E75E5"/>
    <w:rsid w:val="22612E96"/>
    <w:rsid w:val="22AB3943"/>
    <w:rsid w:val="22AF420F"/>
    <w:rsid w:val="22B70373"/>
    <w:rsid w:val="22E44DE0"/>
    <w:rsid w:val="251077FA"/>
    <w:rsid w:val="26073C23"/>
    <w:rsid w:val="260B1119"/>
    <w:rsid w:val="262B0CE4"/>
    <w:rsid w:val="26822A68"/>
    <w:rsid w:val="26B61C80"/>
    <w:rsid w:val="270E2379"/>
    <w:rsid w:val="28087599"/>
    <w:rsid w:val="2A83390F"/>
    <w:rsid w:val="2AA328C1"/>
    <w:rsid w:val="2AD85A80"/>
    <w:rsid w:val="2C6C4ED8"/>
    <w:rsid w:val="2D684388"/>
    <w:rsid w:val="2F0C57D2"/>
    <w:rsid w:val="2F3B0848"/>
    <w:rsid w:val="2F5F5A78"/>
    <w:rsid w:val="2F89048A"/>
    <w:rsid w:val="2FF7784A"/>
    <w:rsid w:val="30FA39D1"/>
    <w:rsid w:val="31395EE4"/>
    <w:rsid w:val="31B80AD5"/>
    <w:rsid w:val="32ED3A63"/>
    <w:rsid w:val="332309F2"/>
    <w:rsid w:val="332F8825"/>
    <w:rsid w:val="33CA421E"/>
    <w:rsid w:val="33FB7F98"/>
    <w:rsid w:val="3627364F"/>
    <w:rsid w:val="37633932"/>
    <w:rsid w:val="37843E84"/>
    <w:rsid w:val="39B3779E"/>
    <w:rsid w:val="39BA327F"/>
    <w:rsid w:val="3B070288"/>
    <w:rsid w:val="3B2B6BBE"/>
    <w:rsid w:val="3B3D30E5"/>
    <w:rsid w:val="3B4A2527"/>
    <w:rsid w:val="3B8D0582"/>
    <w:rsid w:val="3BCA5094"/>
    <w:rsid w:val="3BD50872"/>
    <w:rsid w:val="3C2E0626"/>
    <w:rsid w:val="3DFC4C19"/>
    <w:rsid w:val="3E0C2E85"/>
    <w:rsid w:val="3E141DCF"/>
    <w:rsid w:val="3EAF6B52"/>
    <w:rsid w:val="3F543094"/>
    <w:rsid w:val="3F611234"/>
    <w:rsid w:val="3FE34818"/>
    <w:rsid w:val="40976AC1"/>
    <w:rsid w:val="413B736C"/>
    <w:rsid w:val="41EE2A46"/>
    <w:rsid w:val="426E70E3"/>
    <w:rsid w:val="42D46284"/>
    <w:rsid w:val="430608FD"/>
    <w:rsid w:val="432F457A"/>
    <w:rsid w:val="43D42F2E"/>
    <w:rsid w:val="44066921"/>
    <w:rsid w:val="45A744D8"/>
    <w:rsid w:val="45DA3A04"/>
    <w:rsid w:val="49380D36"/>
    <w:rsid w:val="49F5736E"/>
    <w:rsid w:val="4A0D2E65"/>
    <w:rsid w:val="4BDD63A7"/>
    <w:rsid w:val="4C696EBC"/>
    <w:rsid w:val="4E3A5053"/>
    <w:rsid w:val="4E554334"/>
    <w:rsid w:val="505F6629"/>
    <w:rsid w:val="50A501CC"/>
    <w:rsid w:val="5104524A"/>
    <w:rsid w:val="52876752"/>
    <w:rsid w:val="52B70F1D"/>
    <w:rsid w:val="52C310A7"/>
    <w:rsid w:val="52DB76D5"/>
    <w:rsid w:val="5321333A"/>
    <w:rsid w:val="53776C16"/>
    <w:rsid w:val="55160F28"/>
    <w:rsid w:val="553A3929"/>
    <w:rsid w:val="55C960DA"/>
    <w:rsid w:val="57E572B3"/>
    <w:rsid w:val="5834185D"/>
    <w:rsid w:val="58721CFD"/>
    <w:rsid w:val="59406307"/>
    <w:rsid w:val="59B36413"/>
    <w:rsid w:val="5BB60621"/>
    <w:rsid w:val="5CCB61E4"/>
    <w:rsid w:val="5D06564D"/>
    <w:rsid w:val="5E0A0335"/>
    <w:rsid w:val="5E142898"/>
    <w:rsid w:val="5E155FC8"/>
    <w:rsid w:val="5E8B3316"/>
    <w:rsid w:val="5EF44781"/>
    <w:rsid w:val="5EFA0BAC"/>
    <w:rsid w:val="5F744613"/>
    <w:rsid w:val="606F39CC"/>
    <w:rsid w:val="607B48A6"/>
    <w:rsid w:val="60A4459B"/>
    <w:rsid w:val="616D0C2E"/>
    <w:rsid w:val="61B90FFE"/>
    <w:rsid w:val="627A4356"/>
    <w:rsid w:val="63353404"/>
    <w:rsid w:val="633923B4"/>
    <w:rsid w:val="63FA0035"/>
    <w:rsid w:val="6476616E"/>
    <w:rsid w:val="64E973DB"/>
    <w:rsid w:val="651A5A67"/>
    <w:rsid w:val="65416EA5"/>
    <w:rsid w:val="65650CB9"/>
    <w:rsid w:val="65D61BA2"/>
    <w:rsid w:val="65F6124F"/>
    <w:rsid w:val="65FB7077"/>
    <w:rsid w:val="6638282F"/>
    <w:rsid w:val="66925260"/>
    <w:rsid w:val="682F2F9E"/>
    <w:rsid w:val="68334DEA"/>
    <w:rsid w:val="68BB0625"/>
    <w:rsid w:val="69BA4291"/>
    <w:rsid w:val="6A3C3653"/>
    <w:rsid w:val="6A426547"/>
    <w:rsid w:val="6A7356D4"/>
    <w:rsid w:val="6A7F1A59"/>
    <w:rsid w:val="6AF92BA0"/>
    <w:rsid w:val="6B0705EE"/>
    <w:rsid w:val="6B3B5B0C"/>
    <w:rsid w:val="6C365631"/>
    <w:rsid w:val="6C5A069A"/>
    <w:rsid w:val="6D013069"/>
    <w:rsid w:val="6D8557D1"/>
    <w:rsid w:val="6DF2664A"/>
    <w:rsid w:val="6E70161E"/>
    <w:rsid w:val="6EF86419"/>
    <w:rsid w:val="6EF9670A"/>
    <w:rsid w:val="6F2C318A"/>
    <w:rsid w:val="6F940DFA"/>
    <w:rsid w:val="703344A1"/>
    <w:rsid w:val="70605F5D"/>
    <w:rsid w:val="714571A3"/>
    <w:rsid w:val="72622B31"/>
    <w:rsid w:val="72937DEB"/>
    <w:rsid w:val="73682B69"/>
    <w:rsid w:val="747165B2"/>
    <w:rsid w:val="74C96C80"/>
    <w:rsid w:val="754A4254"/>
    <w:rsid w:val="76B60464"/>
    <w:rsid w:val="76E06E8B"/>
    <w:rsid w:val="76EA28BE"/>
    <w:rsid w:val="77986FA4"/>
    <w:rsid w:val="7892490A"/>
    <w:rsid w:val="78EF3F72"/>
    <w:rsid w:val="7A0C4CDB"/>
    <w:rsid w:val="7AC31376"/>
    <w:rsid w:val="7B8D5337"/>
    <w:rsid w:val="7BAFCC81"/>
    <w:rsid w:val="7BCD2625"/>
    <w:rsid w:val="7BCE3498"/>
    <w:rsid w:val="7C2E77D2"/>
    <w:rsid w:val="7C81156A"/>
    <w:rsid w:val="7CA67E09"/>
    <w:rsid w:val="7CE1354D"/>
    <w:rsid w:val="7D5D2E5B"/>
    <w:rsid w:val="7D6A4474"/>
    <w:rsid w:val="7DB522DB"/>
    <w:rsid w:val="7E432D47"/>
    <w:rsid w:val="7F180333"/>
    <w:rsid w:val="7FE27AA5"/>
    <w:rsid w:val="7FF27CD0"/>
    <w:rsid w:val="7FFB60A9"/>
    <w:rsid w:val="A73F262C"/>
    <w:rsid w:val="B3AF62A3"/>
    <w:rsid w:val="CFFF08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qFormat="1" w:unhideWhenUsed="0" w:uiPriority="0" w:semiHidden="0"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360" w:lineRule="auto"/>
      <w:ind w:firstLine="420"/>
    </w:pPr>
    <w:rPr>
      <w:rFonts w:ascii="宋体" w:hAnsi="宋体"/>
      <w:sz w:val="24"/>
    </w:rPr>
  </w:style>
  <w:style w:type="paragraph" w:styleId="3">
    <w:name w:val="Body Text"/>
    <w:basedOn w:val="1"/>
    <w:qFormat/>
    <w:uiPriority w:val="0"/>
    <w:pPr>
      <w:spacing w:after="120"/>
    </w:pPr>
  </w:style>
  <w:style w:type="paragraph" w:styleId="4">
    <w:name w:val="Body Text Indent"/>
    <w:basedOn w:val="1"/>
    <w:link w:val="18"/>
    <w:qFormat/>
    <w:uiPriority w:val="0"/>
    <w:pPr>
      <w:spacing w:after="120"/>
      <w:ind w:left="420" w:leftChars="200"/>
    </w:pPr>
    <w:rPr>
      <w:rFonts w:ascii="Verdana" w:hAnsi="Verdana"/>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2">
    <w:name w:val="Table List 3"/>
    <w:basedOn w:val="10"/>
    <w:qFormat/>
    <w:uiPriority w:val="0"/>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character" w:styleId="14">
    <w:name w:val="Strong"/>
    <w:basedOn w:val="13"/>
    <w:qFormat/>
    <w:uiPriority w:val="0"/>
    <w:rPr>
      <w:b/>
      <w:bCs/>
    </w:rPr>
  </w:style>
  <w:style w:type="character" w:styleId="15">
    <w:name w:val="page number"/>
    <w:basedOn w:val="13"/>
    <w:qFormat/>
    <w:uiPriority w:val="0"/>
  </w:style>
  <w:style w:type="character" w:styleId="16">
    <w:name w:val="FollowedHyperlink"/>
    <w:qFormat/>
    <w:uiPriority w:val="0"/>
    <w:rPr>
      <w:rFonts w:ascii="Verdana" w:hAnsi="Verdana"/>
      <w:color w:val="0066CC"/>
      <w:kern w:val="0"/>
      <w:sz w:val="18"/>
      <w:szCs w:val="20"/>
      <w:u w:val="single"/>
      <w:lang w:eastAsia="en-US"/>
    </w:rPr>
  </w:style>
  <w:style w:type="character" w:styleId="17">
    <w:name w:val="Hyperlink"/>
    <w:qFormat/>
    <w:uiPriority w:val="0"/>
    <w:rPr>
      <w:rFonts w:ascii="Verdana" w:hAnsi="Verdana"/>
      <w:color w:val="0066CC"/>
      <w:kern w:val="0"/>
      <w:sz w:val="18"/>
      <w:szCs w:val="20"/>
      <w:u w:val="single"/>
      <w:lang w:eastAsia="en-US"/>
    </w:rPr>
  </w:style>
  <w:style w:type="character" w:customStyle="1" w:styleId="18">
    <w:name w:val="正文文本缩进 Char"/>
    <w:link w:val="4"/>
    <w:qFormat/>
    <w:uiPriority w:val="0"/>
    <w:rPr>
      <w:rFonts w:ascii="Verdana" w:hAnsi="Verdana" w:eastAsia="宋体"/>
      <w:kern w:val="2"/>
      <w:sz w:val="21"/>
      <w:szCs w:val="24"/>
      <w:lang w:val="en-US" w:eastAsia="zh-CN" w:bidi="ar-SA"/>
    </w:rPr>
  </w:style>
  <w:style w:type="character" w:customStyle="1" w:styleId="19">
    <w:name w:val="rec-status-desc"/>
    <w:basedOn w:val="13"/>
    <w:qFormat/>
    <w:uiPriority w:val="0"/>
  </w:style>
  <w:style w:type="character" w:customStyle="1" w:styleId="20">
    <w:name w:val="rec-time"/>
    <w:basedOn w:val="13"/>
    <w:qFormat/>
    <w:uiPriority w:val="0"/>
  </w:style>
  <w:style w:type="character" w:customStyle="1" w:styleId="21">
    <w:name w:val="一级条标题 Char"/>
    <w:link w:val="22"/>
    <w:qFormat/>
    <w:uiPriority w:val="0"/>
    <w:rPr>
      <w:rFonts w:ascii="黑体" w:eastAsia="黑体"/>
      <w:sz w:val="21"/>
      <w:lang w:bidi="ar-SA"/>
    </w:rPr>
  </w:style>
  <w:style w:type="paragraph" w:customStyle="1" w:styleId="22">
    <w:name w:val="一级条标题"/>
    <w:basedOn w:val="1"/>
    <w:next w:val="1"/>
    <w:link w:val="21"/>
    <w:qFormat/>
    <w:uiPriority w:val="0"/>
    <w:pPr>
      <w:widowControl/>
      <w:tabs>
        <w:tab w:val="left" w:pos="2160"/>
      </w:tabs>
      <w:ind w:left="2160" w:hanging="720"/>
      <w:outlineLvl w:val="2"/>
    </w:pPr>
    <w:rPr>
      <w:rFonts w:ascii="黑体" w:eastAsia="黑体"/>
      <w:kern w:val="0"/>
      <w:szCs w:val="20"/>
    </w:rPr>
  </w:style>
  <w:style w:type="character" w:customStyle="1" w:styleId="23">
    <w:name w:val="rec-volume"/>
    <w:basedOn w:val="13"/>
    <w:qFormat/>
    <w:uiPriority w:val="0"/>
  </w:style>
  <w:style w:type="paragraph" w:customStyle="1" w:styleId="24">
    <w:name w:val="Char Char 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5">
    <w:name w:val="Char"/>
    <w:basedOn w:val="1"/>
    <w:qFormat/>
    <w:uiPriority w:val="0"/>
    <w:pPr>
      <w:widowControl/>
      <w:spacing w:after="160" w:line="240" w:lineRule="exact"/>
      <w:jc w:val="left"/>
    </w:pPr>
    <w:rPr>
      <w:rFonts w:ascii="Verdana" w:hAnsi="Verdana"/>
      <w:kern w:val="0"/>
      <w:sz w:val="18"/>
      <w:szCs w:val="20"/>
      <w:lang w:eastAsia="en-US"/>
    </w:rPr>
  </w:style>
  <w:style w:type="paragraph" w:styleId="26">
    <w:name w:val="List Paragraph"/>
    <w:basedOn w:val="1"/>
    <w:qFormat/>
    <w:uiPriority w:val="0"/>
    <w:pPr>
      <w:ind w:firstLine="420" w:firstLineChars="200"/>
    </w:pPr>
    <w:rPr>
      <w:rFonts w:ascii="Calibri" w:hAnsi="Calibri"/>
      <w:szCs w:val="22"/>
    </w:rPr>
  </w:style>
  <w:style w:type="paragraph" w:customStyle="1" w:styleId="27">
    <w:name w:val="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8">
    <w:name w:val="Char1"/>
    <w:basedOn w:val="1"/>
    <w:qFormat/>
    <w:uiPriority w:val="0"/>
    <w:pPr>
      <w:widowControl/>
      <w:spacing w:after="160" w:line="240" w:lineRule="exact"/>
      <w:jc w:val="left"/>
    </w:pPr>
    <w:rPr>
      <w:rFonts w:ascii="Verdana" w:hAnsi="Verdana" w:eastAsia="Times New Roman"/>
      <w:kern w:val="0"/>
      <w:sz w:val="18"/>
      <w:szCs w:val="20"/>
      <w:lang w:eastAsia="en-US"/>
    </w:rPr>
  </w:style>
  <w:style w:type="paragraph" w:customStyle="1" w:styleId="29">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783</Words>
  <Characters>811</Characters>
  <Lines>6</Lines>
  <Paragraphs>1</Paragraphs>
  <TotalTime>159</TotalTime>
  <ScaleCrop>false</ScaleCrop>
  <LinksUpToDate>false</LinksUpToDate>
  <CharactersWithSpaces>825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2023-07-26T17:25:00Z</dcterms:created>
  <dc:creator>ywk</dc:creator>
  <cp:lastModifiedBy>箫韶.</cp:lastModifiedBy>
  <cp:lastPrinted>2020-11-25T10:31:00Z</cp:lastPrinted>
  <dcterms:modified xsi:type="dcterms:W3CDTF">2025-09-16T02:51:10Z</dcterms:modified>
  <dc:title>江西省化肥产品质量检验细则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CDBB1D4398FC407DAFFD3EB99B8A8A05_13</vt:lpwstr>
  </property>
  <property fmtid="{D5CDD505-2E9C-101B-9397-08002B2CF9AE}" pid="4" name="KSOTemplateDocerSaveRecord">
    <vt:lpwstr>eyJoZGlkIjoiYzAwNTk0ZDJkNDJhOWExYWFhMmQ4MDBjMDllM2JmYjYiLCJ1c2VySWQiOiIxMTMyMjQ2NTM2In0=</vt:lpwstr>
  </property>
</Properties>
</file>