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BC493">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val="en-US" w:eastAsia="zh-CN"/>
        </w:rPr>
        <w:t>冷水水</w:t>
      </w:r>
      <w:r>
        <w:rPr>
          <w:rFonts w:hint="default" w:ascii="Times New Roman" w:hAnsi="Times New Roman" w:eastAsia="仿宋" w:cs="Times New Roman"/>
          <w:b/>
          <w:bCs/>
          <w:color w:val="000000"/>
          <w:sz w:val="44"/>
          <w:szCs w:val="44"/>
          <w:lang w:eastAsia="zh-CN"/>
        </w:rPr>
        <w:t>表产品质量监督抽查实施细则</w:t>
      </w:r>
    </w:p>
    <w:p w14:paraId="755C6055">
      <w:pPr>
        <w:spacing w:line="240" w:lineRule="auto"/>
        <w:jc w:val="center"/>
        <w:rPr>
          <w:rFonts w:hint="default" w:ascii="Times New Roman" w:hAnsi="Times New Roman" w:eastAsia="仿宋" w:cs="Times New Roman"/>
          <w:b/>
          <w:bCs/>
          <w:color w:val="000000"/>
          <w:sz w:val="44"/>
          <w:szCs w:val="44"/>
          <w:lang w:eastAsia="zh-CN"/>
        </w:rPr>
      </w:pPr>
      <w:bookmarkStart w:id="0" w:name="_GoBack"/>
      <w:bookmarkEnd w:id="0"/>
      <w:r>
        <w:rPr>
          <w:rFonts w:hint="default" w:ascii="Times New Roman" w:hAnsi="Times New Roman" w:eastAsia="仿宋" w:cs="Times New Roman"/>
          <w:b/>
          <w:bCs/>
          <w:color w:val="000000"/>
          <w:sz w:val="44"/>
          <w:szCs w:val="44"/>
          <w:lang w:eastAsia="zh-CN"/>
        </w:rPr>
        <w:t>（2025年版）</w:t>
      </w:r>
    </w:p>
    <w:p w14:paraId="46AF1F4F">
      <w:pPr>
        <w:pStyle w:val="6"/>
        <w:spacing w:line="240" w:lineRule="auto"/>
        <w:ind w:firstLine="0" w:firstLineChars="0"/>
        <w:jc w:val="both"/>
        <w:rPr>
          <w:rFonts w:hint="eastAsia"/>
          <w:b/>
          <w:szCs w:val="24"/>
          <w:lang w:eastAsia="zh-CN"/>
        </w:rPr>
      </w:pPr>
    </w:p>
    <w:p w14:paraId="681965C0">
      <w:pPr>
        <w:spacing w:before="156" w:beforeLines="50" w:line="360" w:lineRule="auto"/>
        <w:rPr>
          <w:rFonts w:hint="default" w:ascii="Times New Roman" w:hAnsi="Times New Roman" w:eastAsia="仿宋" w:cs="Times New Roman"/>
          <w:b/>
          <w:sz w:val="24"/>
          <w:szCs w:val="24"/>
          <w:lang w:eastAsia="zh-CN"/>
        </w:rPr>
      </w:pPr>
      <w:r>
        <w:rPr>
          <w:rFonts w:hint="default" w:ascii="Times New Roman" w:hAnsi="Times New Roman" w:eastAsia="仿宋" w:cs="Times New Roman"/>
          <w:b/>
          <w:sz w:val="24"/>
          <w:szCs w:val="24"/>
          <w:lang w:eastAsia="zh-CN"/>
        </w:rPr>
        <w:t>1.行业现状理解</w:t>
      </w:r>
    </w:p>
    <w:p w14:paraId="44B4F3D8">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eastAsia="宋体" w:cs="Times New Roman"/>
          <w:b/>
          <w:sz w:val="24"/>
        </w:rPr>
      </w:pPr>
      <w:r>
        <w:rPr>
          <w:rFonts w:hint="default" w:ascii="Times New Roman" w:hAnsi="Times New Roman" w:eastAsia="宋体" w:cs="Times New Roman"/>
          <w:sz w:val="24"/>
          <w:shd w:val="clear" w:color="auto" w:fill="FFFFFF"/>
        </w:rPr>
        <w:t>水表，是测量水流量的仪表，大多是水的累计流量测量，一般分为</w:t>
      </w:r>
      <w:r>
        <w:rPr>
          <w:rFonts w:hint="default" w:ascii="Times New Roman" w:hAnsi="Times New Roman" w:cs="Times New Roman"/>
        </w:rPr>
        <w:fldChar w:fldCharType="begin"/>
      </w:r>
      <w:r>
        <w:rPr>
          <w:rFonts w:hint="default" w:ascii="Times New Roman" w:hAnsi="Times New Roman" w:cs="Times New Roman"/>
        </w:rPr>
        <w:instrText xml:space="preserve"> HYPERLINK "https://baike.baidu.com/item/%E5%AE%B9%E7%A7%AF%E5%BC%8F%E6%B0%B4%E8%A1%A8/1911917?fromModule=lemma_inlink" \t "https://baike.baidu.com/item/%E6%B0%B4%E8%A1%A8/_blank" </w:instrText>
      </w:r>
      <w:r>
        <w:rPr>
          <w:rFonts w:hint="default" w:ascii="Times New Roman" w:hAnsi="Times New Roman" w:cs="Times New Roman"/>
        </w:rPr>
        <w:fldChar w:fldCharType="separate"/>
      </w:r>
      <w:r>
        <w:rPr>
          <w:rStyle w:val="9"/>
          <w:rFonts w:hint="default" w:ascii="Times New Roman" w:hAnsi="Times New Roman" w:eastAsia="宋体" w:cs="Times New Roman"/>
          <w:color w:val="auto"/>
          <w:sz w:val="24"/>
          <w:u w:val="none"/>
          <w:shd w:val="clear" w:color="auto" w:fill="FFFFFF"/>
        </w:rPr>
        <w:t>容积式水表</w:t>
      </w:r>
      <w:r>
        <w:rPr>
          <w:rStyle w:val="9"/>
          <w:rFonts w:hint="default" w:ascii="Times New Roman" w:hAnsi="Times New Roman" w:eastAsia="宋体" w:cs="Times New Roman"/>
          <w:color w:val="auto"/>
          <w:sz w:val="24"/>
          <w:u w:val="none"/>
          <w:shd w:val="clear" w:color="auto" w:fill="FFFFFF"/>
        </w:rPr>
        <w:fldChar w:fldCharType="end"/>
      </w:r>
      <w:r>
        <w:rPr>
          <w:rFonts w:hint="default" w:ascii="Times New Roman" w:hAnsi="Times New Roman" w:eastAsia="宋体" w:cs="Times New Roman"/>
          <w:sz w:val="24"/>
          <w:shd w:val="clear" w:color="auto" w:fill="FFFFFF"/>
        </w:rPr>
        <w:t>和速度式水表两类，起源于英国，水表的发展已有近二百年的历史，选择水表规格时，应先估算通常情况下所使用流量的大小和流量范围，然后选择常用流量最接近该值的那种规格的水表作为首选。</w:t>
      </w:r>
    </w:p>
    <w:p w14:paraId="0458E358">
      <w:pPr>
        <w:spacing w:before="156" w:beforeLines="50" w:line="360" w:lineRule="auto"/>
        <w:rPr>
          <w:rFonts w:hint="default" w:ascii="Times New Roman" w:hAnsi="Times New Roman" w:eastAsia="仿宋" w:cs="Times New Roman"/>
          <w:b/>
          <w:sz w:val="24"/>
          <w:szCs w:val="24"/>
          <w:lang w:eastAsia="zh-CN"/>
        </w:rPr>
      </w:pPr>
      <w:r>
        <w:rPr>
          <w:rFonts w:hint="default" w:ascii="Times New Roman" w:hAnsi="Times New Roman" w:eastAsia="仿宋" w:cs="Times New Roman"/>
          <w:b/>
          <w:sz w:val="24"/>
          <w:szCs w:val="24"/>
          <w:lang w:eastAsia="zh-CN"/>
        </w:rPr>
        <w:t>2.抽样方法及要求</w:t>
      </w:r>
    </w:p>
    <w:p w14:paraId="7DABA672">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2.1抽样要求</w:t>
      </w:r>
    </w:p>
    <w:p w14:paraId="63FCB3ED">
      <w:pPr>
        <w:keepNext w:val="0"/>
        <w:keepLines w:val="0"/>
        <w:pageBreakBefore w:val="0"/>
        <w:numPr>
          <w:ilvl w:val="2"/>
          <w:numId w:val="0"/>
        </w:numPr>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w:t>
      </w:r>
      <w:r>
        <w:rPr>
          <w:rFonts w:hint="default" w:ascii="Times New Roman" w:hAnsi="Times New Roman" w:eastAsia="宋体" w:cs="Times New Roman"/>
          <w:sz w:val="24"/>
        </w:rPr>
        <w:t>.1</w:t>
      </w:r>
      <w:r>
        <w:rPr>
          <w:rFonts w:hint="default" w:ascii="Times New Roman" w:hAnsi="Times New Roman" w:cs="Times New Roman"/>
          <w:sz w:val="24"/>
        </w:rPr>
        <w:t>严格遵守法律、法规的规定和检验工作有关纪律要求，确保检验结果真实有效；检测活动中无重大差错，能够保证检验结果质量;具有资质认定范围涵盖承担的产品监督抽查任务中相应的产品品种和检验项目。</w:t>
      </w:r>
    </w:p>
    <w:p w14:paraId="3CE7AC90">
      <w:pPr>
        <w:keepNext w:val="0"/>
        <w:keepLines w:val="0"/>
        <w:pageBreakBefore w:val="0"/>
        <w:numPr>
          <w:ilvl w:val="2"/>
          <w:numId w:val="0"/>
        </w:numPr>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w:t>
      </w:r>
      <w:r>
        <w:rPr>
          <w:rFonts w:hint="default" w:ascii="Times New Roman" w:hAnsi="Times New Roman" w:eastAsia="宋体" w:cs="Times New Roman"/>
          <w:sz w:val="24"/>
        </w:rPr>
        <w:t>.2</w:t>
      </w:r>
      <w:r>
        <w:rPr>
          <w:rFonts w:hint="default" w:ascii="Times New Roman" w:hAnsi="Times New Roman" w:cs="Times New Roman"/>
          <w:sz w:val="24"/>
        </w:rPr>
        <w:t>根据客户要求对标志与铭牌、静压试验、确定（示值）误差试验、压力损失试验等检测项目进行水表检测。</w:t>
      </w:r>
    </w:p>
    <w:p w14:paraId="4A1F9C09">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2.1.3由业务发展部负责样品的抽样、检验、检验报告的寄送、由专业室负责结果分析、异议复检和检验过程中技术问题的处理工作。</w:t>
      </w:r>
    </w:p>
    <w:p w14:paraId="3F17F728">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2.1.4接受采购人对承担检验任务工作质量情况的监督检查和考核。</w:t>
      </w:r>
    </w:p>
    <w:p w14:paraId="49ABCF4E">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2.1.5能按时完成采购人安排的临时性和应急性任务。</w:t>
      </w:r>
    </w:p>
    <w:p w14:paraId="4EDC8043">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2.1.6按照《中华人民共和国产品质量法》、《产品质量监督抽查管理暂行办法》、相关产品省级监督抽查方案、抽查实施细则以及2025年江西省市场监督管理局监督抽查抽样、检验任务布置的要求开展抽样检验工作。</w:t>
      </w:r>
    </w:p>
    <w:p w14:paraId="30DA7D11">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2.1.7承担任务时保证抽检分离：由业务发展部负责抽样任务，由专业室负责抽样样品的检验工作。对抽取和检验的样品负责，抽取的样品要满足检验需求，按照采购人要求做好样品抽取、封存、交接、保管、运输、处置工作。</w:t>
      </w:r>
    </w:p>
    <w:p w14:paraId="4EA2B462">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2.1.8采购标的需满足的服务标准、期限、效率等要求：并按采购人印发的抽查通知要求完成。</w:t>
      </w:r>
    </w:p>
    <w:p w14:paraId="36CD3EC7">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2.1.9采购标的其他技术、服务要求:根据采购人需求：在应急检验处理情况下，及时向采购人反馈。</w:t>
      </w:r>
    </w:p>
    <w:p w14:paraId="701D6CB3">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2.2抽样型号或规格</w:t>
      </w:r>
    </w:p>
    <w:p w14:paraId="41AE9FAA">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 xml:space="preserve">根据产品的型号规格应优先抽取企业主型产品。 </w:t>
      </w:r>
    </w:p>
    <w:p w14:paraId="4483CB8E">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2.3抽样数量及方法</w:t>
      </w:r>
    </w:p>
    <w:p w14:paraId="4DCD0E7E">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在企业的成品库或市场上抽样时，按GB/T10111随机抽取近期（距抽样日期一年内）生产的同一批次，并经企业检验合格或以任何方式表明合格的产品。抽样人员对抽样过程、封样情况进行拍照取证。抽样数量见下表：</w:t>
      </w:r>
    </w:p>
    <w:tbl>
      <w:tblPr>
        <w:tblStyle w:val="7"/>
        <w:tblW w:w="81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2"/>
        <w:gridCol w:w="2462"/>
        <w:gridCol w:w="2463"/>
        <w:gridCol w:w="2463"/>
      </w:tblGrid>
      <w:tr w14:paraId="01D40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12" w:type="dxa"/>
            <w:tcBorders>
              <w:top w:val="single" w:color="auto" w:sz="4" w:space="0"/>
              <w:left w:val="single" w:color="auto" w:sz="4" w:space="0"/>
              <w:bottom w:val="single" w:color="auto" w:sz="4" w:space="0"/>
              <w:right w:val="single" w:color="auto" w:sz="4" w:space="0"/>
            </w:tcBorders>
            <w:vAlign w:val="center"/>
          </w:tcPr>
          <w:p w14:paraId="7A3E6760">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编号</w:t>
            </w:r>
          </w:p>
        </w:tc>
        <w:tc>
          <w:tcPr>
            <w:tcW w:w="2462" w:type="dxa"/>
            <w:tcBorders>
              <w:top w:val="single" w:color="auto" w:sz="4" w:space="0"/>
              <w:left w:val="single" w:color="auto" w:sz="4" w:space="0"/>
              <w:bottom w:val="single" w:color="auto" w:sz="4" w:space="0"/>
              <w:right w:val="single" w:color="auto" w:sz="4" w:space="0"/>
            </w:tcBorders>
            <w:vAlign w:val="center"/>
          </w:tcPr>
          <w:p w14:paraId="60DC1ADF">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产品名称</w:t>
            </w:r>
          </w:p>
        </w:tc>
        <w:tc>
          <w:tcPr>
            <w:tcW w:w="2463" w:type="dxa"/>
            <w:tcBorders>
              <w:top w:val="single" w:color="auto" w:sz="4" w:space="0"/>
              <w:left w:val="single" w:color="auto" w:sz="4" w:space="0"/>
              <w:bottom w:val="single" w:color="auto" w:sz="4" w:space="0"/>
              <w:right w:val="single" w:color="auto" w:sz="4" w:space="0"/>
            </w:tcBorders>
            <w:vAlign w:val="center"/>
          </w:tcPr>
          <w:p w14:paraId="12993F3C">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标准依据</w:t>
            </w:r>
          </w:p>
        </w:tc>
        <w:tc>
          <w:tcPr>
            <w:tcW w:w="2463" w:type="dxa"/>
            <w:tcBorders>
              <w:top w:val="single" w:color="auto" w:sz="4" w:space="0"/>
              <w:left w:val="single" w:color="auto" w:sz="4" w:space="0"/>
              <w:bottom w:val="single" w:color="auto" w:sz="4" w:space="0"/>
              <w:right w:val="single" w:color="auto" w:sz="4" w:space="0"/>
            </w:tcBorders>
            <w:vAlign w:val="center"/>
          </w:tcPr>
          <w:p w14:paraId="0AEFCD01">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样品数量</w:t>
            </w:r>
          </w:p>
        </w:tc>
      </w:tr>
      <w:tr w14:paraId="561B2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12" w:type="dxa"/>
            <w:tcBorders>
              <w:top w:val="single" w:color="auto" w:sz="4" w:space="0"/>
              <w:left w:val="single" w:color="auto" w:sz="4" w:space="0"/>
              <w:bottom w:val="single" w:color="auto" w:sz="4" w:space="0"/>
              <w:right w:val="single" w:color="auto" w:sz="4" w:space="0"/>
            </w:tcBorders>
            <w:vAlign w:val="center"/>
          </w:tcPr>
          <w:p w14:paraId="69E30B69">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1</w:t>
            </w:r>
          </w:p>
        </w:tc>
        <w:tc>
          <w:tcPr>
            <w:tcW w:w="2462" w:type="dxa"/>
            <w:tcBorders>
              <w:top w:val="single" w:color="auto" w:sz="4" w:space="0"/>
              <w:left w:val="single" w:color="auto" w:sz="4" w:space="0"/>
              <w:bottom w:val="single" w:color="auto" w:sz="4" w:space="0"/>
              <w:right w:val="single" w:color="auto" w:sz="4" w:space="0"/>
            </w:tcBorders>
            <w:vAlign w:val="center"/>
          </w:tcPr>
          <w:p w14:paraId="3B264418">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冷水水表</w:t>
            </w:r>
          </w:p>
        </w:tc>
        <w:tc>
          <w:tcPr>
            <w:tcW w:w="2463" w:type="dxa"/>
            <w:tcBorders>
              <w:top w:val="single" w:color="auto" w:sz="4" w:space="0"/>
              <w:left w:val="single" w:color="auto" w:sz="4" w:space="0"/>
              <w:bottom w:val="single" w:color="auto" w:sz="4" w:space="0"/>
              <w:right w:val="single" w:color="auto" w:sz="4" w:space="0"/>
            </w:tcBorders>
            <w:vAlign w:val="center"/>
          </w:tcPr>
          <w:p w14:paraId="74302E83">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Cs w:val="21"/>
              </w:rPr>
            </w:pPr>
            <w:r>
              <w:rPr>
                <w:rFonts w:hint="default" w:ascii="Times New Roman" w:hAnsi="Times New Roman" w:cs="Times New Roman"/>
                <w:sz w:val="24"/>
              </w:rPr>
              <w:t>GB/T 778.1-2018</w:t>
            </w:r>
          </w:p>
        </w:tc>
        <w:tc>
          <w:tcPr>
            <w:tcW w:w="2463" w:type="dxa"/>
            <w:tcBorders>
              <w:top w:val="single" w:color="auto" w:sz="4" w:space="0"/>
              <w:left w:val="single" w:color="auto" w:sz="4" w:space="0"/>
              <w:bottom w:val="single" w:color="auto" w:sz="4" w:space="0"/>
              <w:right w:val="single" w:color="auto" w:sz="4" w:space="0"/>
            </w:tcBorders>
            <w:vAlign w:val="center"/>
          </w:tcPr>
          <w:p w14:paraId="0D1DC1B8">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6台（其中3台为备份样）</w:t>
            </w:r>
          </w:p>
        </w:tc>
      </w:tr>
    </w:tbl>
    <w:p w14:paraId="30862667">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color w:val="000000"/>
          <w:sz w:val="24"/>
        </w:rPr>
      </w:pPr>
      <w:r>
        <w:rPr>
          <w:rFonts w:hint="default" w:ascii="Times New Roman" w:hAnsi="Times New Roman" w:cs="Times New Roman"/>
          <w:sz w:val="24"/>
        </w:rPr>
        <w:t>注：在本细则的规定中，检验机构在检验过程中对检验结果进行复验所采用的样品，应是抽取的检验样品，不能采用备用样品。备用样品仅是指被抽查企业或者经过确认了样品的生产企业对检验结果提出异议，需要对不合格项目进行复检时，采用的备用样品。</w:t>
      </w:r>
    </w:p>
    <w:p w14:paraId="5D1041E9">
      <w:pPr>
        <w:spacing w:before="156" w:beforeLines="50" w:line="360" w:lineRule="auto"/>
        <w:rPr>
          <w:rFonts w:hint="default" w:ascii="Times New Roman" w:hAnsi="Times New Roman" w:eastAsia="仿宋" w:cs="Times New Roman"/>
          <w:b/>
          <w:sz w:val="24"/>
          <w:szCs w:val="24"/>
          <w:lang w:eastAsia="zh-CN"/>
        </w:rPr>
      </w:pPr>
      <w:r>
        <w:rPr>
          <w:rFonts w:hint="default" w:ascii="Times New Roman" w:hAnsi="Times New Roman" w:eastAsia="仿宋" w:cs="Times New Roman"/>
          <w:b/>
          <w:sz w:val="24"/>
          <w:szCs w:val="24"/>
          <w:lang w:eastAsia="zh-CN"/>
        </w:rPr>
        <w:t>3.检验样品的处置</w:t>
      </w:r>
    </w:p>
    <w:p w14:paraId="5502590A">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抽取的检验样品和备用样品应由抽样人员分别逐卷签封，并在封条上进行相应的标注。检验样品由抽样人员带回，备用样品由被抽样单位放置成品库（仓库）妥善保管；抽样人员带回的备用样品放于待检室存放。</w:t>
      </w:r>
    </w:p>
    <w:p w14:paraId="107A6DEF">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样品在运输、存储过程中要相应做好封条和样品的防护措施，以免其遭到损坏。</w:t>
      </w:r>
    </w:p>
    <w:p w14:paraId="342E407C">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3.1抽样单</w:t>
      </w:r>
    </w:p>
    <w:p w14:paraId="130316C4">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 xml:space="preserve">应按有关规定填写抽样单，并记录被抽查产品及企业相关信息。同时记录被抽查企业上一年度生产的冷水水表销售总额，以万元计；若企业上一年度未生产，则记录本年度实际销售额，并加以注明。 </w:t>
      </w:r>
    </w:p>
    <w:p w14:paraId="03CB75F3">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3.2抽样注意事项</w:t>
      </w:r>
    </w:p>
    <w:tbl>
      <w:tblPr>
        <w:tblStyle w:val="7"/>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2551"/>
        <w:gridCol w:w="2693"/>
        <w:gridCol w:w="2835"/>
      </w:tblGrid>
      <w:tr w14:paraId="08110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14:paraId="326CA4FC">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编号</w:t>
            </w:r>
          </w:p>
        </w:tc>
        <w:tc>
          <w:tcPr>
            <w:tcW w:w="2551" w:type="dxa"/>
            <w:tcBorders>
              <w:top w:val="single" w:color="auto" w:sz="4" w:space="0"/>
              <w:left w:val="single" w:color="auto" w:sz="4" w:space="0"/>
              <w:bottom w:val="single" w:color="auto" w:sz="4" w:space="0"/>
              <w:right w:val="single" w:color="auto" w:sz="4" w:space="0"/>
            </w:tcBorders>
            <w:vAlign w:val="center"/>
          </w:tcPr>
          <w:p w14:paraId="20696C99">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产品名称</w:t>
            </w:r>
          </w:p>
        </w:tc>
        <w:tc>
          <w:tcPr>
            <w:tcW w:w="2693" w:type="dxa"/>
            <w:tcBorders>
              <w:top w:val="single" w:color="auto" w:sz="4" w:space="0"/>
              <w:left w:val="single" w:color="auto" w:sz="4" w:space="0"/>
              <w:bottom w:val="single" w:color="auto" w:sz="4" w:space="0"/>
              <w:right w:val="single" w:color="auto" w:sz="4" w:space="0"/>
            </w:tcBorders>
            <w:vAlign w:val="center"/>
          </w:tcPr>
          <w:p w14:paraId="25F0C457">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抽样单需注明内容</w:t>
            </w:r>
          </w:p>
        </w:tc>
        <w:tc>
          <w:tcPr>
            <w:tcW w:w="2835" w:type="dxa"/>
            <w:tcBorders>
              <w:top w:val="single" w:color="auto" w:sz="4" w:space="0"/>
              <w:left w:val="single" w:color="auto" w:sz="4" w:space="0"/>
              <w:bottom w:val="single" w:color="auto" w:sz="4" w:space="0"/>
              <w:right w:val="single" w:color="auto" w:sz="4" w:space="0"/>
            </w:tcBorders>
            <w:vAlign w:val="center"/>
          </w:tcPr>
          <w:p w14:paraId="6D431733">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抽样时应注意事项</w:t>
            </w:r>
          </w:p>
        </w:tc>
      </w:tr>
      <w:tr w14:paraId="3D82F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14:paraId="1E5AFA12">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1</w:t>
            </w:r>
          </w:p>
        </w:tc>
        <w:tc>
          <w:tcPr>
            <w:tcW w:w="2551" w:type="dxa"/>
            <w:tcBorders>
              <w:top w:val="single" w:color="auto" w:sz="4" w:space="0"/>
              <w:left w:val="single" w:color="auto" w:sz="4" w:space="0"/>
              <w:bottom w:val="single" w:color="auto" w:sz="4" w:space="0"/>
              <w:right w:val="single" w:color="auto" w:sz="4" w:space="0"/>
            </w:tcBorders>
            <w:vAlign w:val="center"/>
          </w:tcPr>
          <w:p w14:paraId="6F7CD81A">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冷水水表</w:t>
            </w:r>
          </w:p>
        </w:tc>
        <w:tc>
          <w:tcPr>
            <w:tcW w:w="2693" w:type="dxa"/>
            <w:tcBorders>
              <w:top w:val="single" w:color="auto" w:sz="4" w:space="0"/>
              <w:left w:val="single" w:color="auto" w:sz="4" w:space="0"/>
              <w:bottom w:val="single" w:color="auto" w:sz="4" w:space="0"/>
              <w:right w:val="single" w:color="auto" w:sz="4" w:space="0"/>
            </w:tcBorders>
            <w:vAlign w:val="center"/>
          </w:tcPr>
          <w:p w14:paraId="6119E9D9">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规格型号</w:t>
            </w:r>
          </w:p>
        </w:tc>
        <w:tc>
          <w:tcPr>
            <w:tcW w:w="2835" w:type="dxa"/>
            <w:tcBorders>
              <w:top w:val="single" w:color="auto" w:sz="4" w:space="0"/>
              <w:left w:val="single" w:color="auto" w:sz="4" w:space="0"/>
              <w:bottom w:val="single" w:color="auto" w:sz="4" w:space="0"/>
              <w:right w:val="single" w:color="auto" w:sz="4" w:space="0"/>
            </w:tcBorders>
            <w:vAlign w:val="center"/>
          </w:tcPr>
          <w:p w14:paraId="0DBE5276">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抽样单产品名称与</w:t>
            </w:r>
          </w:p>
          <w:p w14:paraId="7415AD09">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样品要一致</w:t>
            </w:r>
          </w:p>
        </w:tc>
      </w:tr>
    </w:tbl>
    <w:p w14:paraId="6181D76E">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4.检验项目的判定原则</w:t>
      </w:r>
    </w:p>
    <w:p w14:paraId="07DD5E16">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4.1冷水水表检验项目和重要程度分类</w:t>
      </w:r>
    </w:p>
    <w:p w14:paraId="20CA5D4E">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 w:val="24"/>
        </w:rPr>
      </w:pPr>
      <w:r>
        <w:rPr>
          <w:rFonts w:hint="default" w:ascii="Times New Roman" w:hAnsi="Times New Roman" w:cs="Times New Roman"/>
          <w:sz w:val="24"/>
        </w:rPr>
        <w:t>冷水水表</w:t>
      </w:r>
    </w:p>
    <w:tbl>
      <w:tblPr>
        <w:tblStyle w:val="7"/>
        <w:tblW w:w="878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1368"/>
        <w:gridCol w:w="1620"/>
        <w:gridCol w:w="1080"/>
        <w:gridCol w:w="1836"/>
        <w:gridCol w:w="720"/>
        <w:gridCol w:w="720"/>
        <w:gridCol w:w="720"/>
      </w:tblGrid>
      <w:tr w14:paraId="0DA63D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5" w:hRule="atLeast"/>
          <w:tblHeader/>
          <w:jc w:val="center"/>
        </w:trPr>
        <w:tc>
          <w:tcPr>
            <w:tcW w:w="720" w:type="dxa"/>
            <w:vMerge w:val="restart"/>
            <w:tcBorders>
              <w:top w:val="single" w:color="auto" w:sz="4" w:space="0"/>
              <w:left w:val="single" w:color="auto" w:sz="4" w:space="0"/>
              <w:bottom w:val="single" w:color="auto" w:sz="4" w:space="0"/>
              <w:right w:val="single" w:color="auto" w:sz="4" w:space="0"/>
            </w:tcBorders>
            <w:vAlign w:val="center"/>
          </w:tcPr>
          <w:p w14:paraId="3D4E9726">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序号</w:t>
            </w:r>
          </w:p>
        </w:tc>
        <w:tc>
          <w:tcPr>
            <w:tcW w:w="1368" w:type="dxa"/>
            <w:vMerge w:val="restart"/>
            <w:tcBorders>
              <w:top w:val="single" w:color="auto" w:sz="4" w:space="0"/>
              <w:left w:val="single" w:color="auto" w:sz="4" w:space="0"/>
              <w:bottom w:val="single" w:color="auto" w:sz="4" w:space="0"/>
              <w:right w:val="single" w:color="auto" w:sz="4" w:space="0"/>
            </w:tcBorders>
            <w:vAlign w:val="center"/>
          </w:tcPr>
          <w:p w14:paraId="5F89D771">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检验项目</w:t>
            </w:r>
          </w:p>
        </w:tc>
        <w:tc>
          <w:tcPr>
            <w:tcW w:w="1620" w:type="dxa"/>
            <w:vMerge w:val="restart"/>
            <w:tcBorders>
              <w:top w:val="single" w:color="auto" w:sz="4" w:space="0"/>
              <w:left w:val="single" w:color="auto" w:sz="4" w:space="0"/>
              <w:bottom w:val="single" w:color="auto" w:sz="4" w:space="0"/>
              <w:right w:val="single" w:color="auto" w:sz="4" w:space="0"/>
            </w:tcBorders>
            <w:vAlign w:val="center"/>
          </w:tcPr>
          <w:p w14:paraId="08D894DF">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依据法律法规或标准条款</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14:paraId="1E2A9AA8">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强制性/推荐性</w:t>
            </w:r>
          </w:p>
        </w:tc>
        <w:tc>
          <w:tcPr>
            <w:tcW w:w="1836" w:type="dxa"/>
            <w:vMerge w:val="restart"/>
            <w:tcBorders>
              <w:top w:val="single" w:color="auto" w:sz="4" w:space="0"/>
              <w:left w:val="single" w:color="auto" w:sz="4" w:space="0"/>
              <w:bottom w:val="single" w:color="auto" w:sz="4" w:space="0"/>
              <w:right w:val="single" w:color="auto" w:sz="4" w:space="0"/>
            </w:tcBorders>
            <w:vAlign w:val="center"/>
          </w:tcPr>
          <w:p w14:paraId="2F04FD55">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检验方法</w:t>
            </w:r>
          </w:p>
        </w:tc>
        <w:tc>
          <w:tcPr>
            <w:tcW w:w="2160" w:type="dxa"/>
            <w:gridSpan w:val="3"/>
            <w:tcBorders>
              <w:top w:val="single" w:color="auto" w:sz="4" w:space="0"/>
              <w:left w:val="single" w:color="auto" w:sz="4" w:space="0"/>
              <w:bottom w:val="single" w:color="auto" w:sz="4" w:space="0"/>
              <w:right w:val="single" w:color="auto" w:sz="4" w:space="0"/>
            </w:tcBorders>
            <w:vAlign w:val="center"/>
          </w:tcPr>
          <w:p w14:paraId="6C75800A">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重要程度</w:t>
            </w:r>
          </w:p>
        </w:tc>
      </w:tr>
      <w:tr w14:paraId="5BDAB8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5" w:hRule="atLeast"/>
          <w:tblHeader/>
          <w:jc w:val="center"/>
        </w:trPr>
        <w:tc>
          <w:tcPr>
            <w:tcW w:w="720" w:type="dxa"/>
            <w:vMerge w:val="continue"/>
            <w:tcBorders>
              <w:top w:val="single" w:color="auto" w:sz="4" w:space="0"/>
              <w:left w:val="single" w:color="auto" w:sz="4" w:space="0"/>
              <w:bottom w:val="single" w:color="auto" w:sz="4" w:space="0"/>
              <w:right w:val="single" w:color="auto" w:sz="4" w:space="0"/>
            </w:tcBorders>
            <w:vAlign w:val="center"/>
          </w:tcPr>
          <w:p w14:paraId="6EDF87F5">
            <w:pPr>
              <w:keepNext w:val="0"/>
              <w:keepLines w:val="0"/>
              <w:pageBreakBefore w:val="0"/>
              <w:widowControl/>
              <w:kinsoku/>
              <w:wordWrap/>
              <w:overflowPunct/>
              <w:topLinePunct w:val="0"/>
              <w:autoSpaceDE/>
              <w:autoSpaceDN/>
              <w:bidi w:val="0"/>
              <w:adjustRightInd/>
              <w:spacing w:line="440" w:lineRule="exact"/>
              <w:jc w:val="left"/>
              <w:textAlignment w:val="auto"/>
              <w:rPr>
                <w:rFonts w:hint="default" w:ascii="Times New Roman" w:hAnsi="Times New Roman" w:cs="Times New Roman"/>
                <w:szCs w:val="21"/>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14:paraId="0EACC41D">
            <w:pPr>
              <w:keepNext w:val="0"/>
              <w:keepLines w:val="0"/>
              <w:pageBreakBefore w:val="0"/>
              <w:widowControl/>
              <w:kinsoku/>
              <w:wordWrap/>
              <w:overflowPunct/>
              <w:topLinePunct w:val="0"/>
              <w:autoSpaceDE/>
              <w:autoSpaceDN/>
              <w:bidi w:val="0"/>
              <w:adjustRightInd/>
              <w:spacing w:line="440" w:lineRule="exact"/>
              <w:jc w:val="left"/>
              <w:textAlignment w:val="auto"/>
              <w:rPr>
                <w:rFonts w:hint="default" w:ascii="Times New Roman" w:hAnsi="Times New Roman" w:cs="Times New Roman"/>
                <w:szCs w:val="21"/>
              </w:rPr>
            </w:pPr>
          </w:p>
        </w:tc>
        <w:tc>
          <w:tcPr>
            <w:tcW w:w="1620" w:type="dxa"/>
            <w:vMerge w:val="continue"/>
            <w:tcBorders>
              <w:top w:val="single" w:color="auto" w:sz="4" w:space="0"/>
              <w:left w:val="single" w:color="auto" w:sz="4" w:space="0"/>
              <w:bottom w:val="single" w:color="auto" w:sz="4" w:space="0"/>
              <w:right w:val="single" w:color="auto" w:sz="4" w:space="0"/>
            </w:tcBorders>
            <w:vAlign w:val="center"/>
          </w:tcPr>
          <w:p w14:paraId="4FB18031">
            <w:pPr>
              <w:keepNext w:val="0"/>
              <w:keepLines w:val="0"/>
              <w:pageBreakBefore w:val="0"/>
              <w:widowControl/>
              <w:kinsoku/>
              <w:wordWrap/>
              <w:overflowPunct/>
              <w:topLinePunct w:val="0"/>
              <w:autoSpaceDE/>
              <w:autoSpaceDN/>
              <w:bidi w:val="0"/>
              <w:adjustRightInd/>
              <w:spacing w:line="440" w:lineRule="exact"/>
              <w:jc w:val="left"/>
              <w:textAlignment w:val="auto"/>
              <w:rPr>
                <w:rFonts w:hint="default" w:ascii="Times New Roman" w:hAnsi="Times New Roman" w:cs="Times New Roman"/>
                <w:szCs w:val="21"/>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14:paraId="0732CABD">
            <w:pPr>
              <w:keepNext w:val="0"/>
              <w:keepLines w:val="0"/>
              <w:pageBreakBefore w:val="0"/>
              <w:widowControl/>
              <w:kinsoku/>
              <w:wordWrap/>
              <w:overflowPunct/>
              <w:topLinePunct w:val="0"/>
              <w:autoSpaceDE/>
              <w:autoSpaceDN/>
              <w:bidi w:val="0"/>
              <w:adjustRightInd/>
              <w:spacing w:line="440" w:lineRule="exact"/>
              <w:jc w:val="left"/>
              <w:textAlignment w:val="auto"/>
              <w:rPr>
                <w:rFonts w:hint="default" w:ascii="Times New Roman" w:hAnsi="Times New Roman" w:cs="Times New Roman"/>
                <w:szCs w:val="21"/>
              </w:rPr>
            </w:pPr>
          </w:p>
        </w:tc>
        <w:tc>
          <w:tcPr>
            <w:tcW w:w="1836" w:type="dxa"/>
            <w:vMerge w:val="continue"/>
            <w:tcBorders>
              <w:top w:val="single" w:color="auto" w:sz="4" w:space="0"/>
              <w:left w:val="single" w:color="auto" w:sz="4" w:space="0"/>
              <w:bottom w:val="single" w:color="auto" w:sz="4" w:space="0"/>
              <w:right w:val="single" w:color="auto" w:sz="4" w:space="0"/>
            </w:tcBorders>
            <w:vAlign w:val="center"/>
          </w:tcPr>
          <w:p w14:paraId="224B02C1">
            <w:pPr>
              <w:keepNext w:val="0"/>
              <w:keepLines w:val="0"/>
              <w:pageBreakBefore w:val="0"/>
              <w:widowControl/>
              <w:kinsoku/>
              <w:wordWrap/>
              <w:overflowPunct/>
              <w:topLinePunct w:val="0"/>
              <w:autoSpaceDE/>
              <w:autoSpaceDN/>
              <w:bidi w:val="0"/>
              <w:adjustRightInd/>
              <w:spacing w:line="440" w:lineRule="exact"/>
              <w:jc w:val="left"/>
              <w:textAlignment w:val="auto"/>
              <w:rPr>
                <w:rFonts w:hint="default" w:ascii="Times New Roman" w:hAnsi="Times New Roman" w:cs="Times New Roman"/>
                <w:szCs w:val="21"/>
              </w:rPr>
            </w:pPr>
          </w:p>
        </w:tc>
        <w:tc>
          <w:tcPr>
            <w:tcW w:w="720" w:type="dxa"/>
            <w:tcBorders>
              <w:top w:val="single" w:color="auto" w:sz="4" w:space="0"/>
              <w:left w:val="single" w:color="auto" w:sz="4" w:space="0"/>
              <w:bottom w:val="single" w:color="auto" w:sz="4" w:space="0"/>
              <w:right w:val="single" w:color="auto" w:sz="4" w:space="0"/>
            </w:tcBorders>
            <w:vAlign w:val="center"/>
          </w:tcPr>
          <w:p w14:paraId="47156A1E">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A类</w:t>
            </w:r>
          </w:p>
        </w:tc>
        <w:tc>
          <w:tcPr>
            <w:tcW w:w="720" w:type="dxa"/>
            <w:tcBorders>
              <w:top w:val="single" w:color="auto" w:sz="4" w:space="0"/>
              <w:left w:val="single" w:color="auto" w:sz="4" w:space="0"/>
              <w:bottom w:val="single" w:color="auto" w:sz="4" w:space="0"/>
              <w:right w:val="single" w:color="auto" w:sz="4" w:space="0"/>
            </w:tcBorders>
            <w:vAlign w:val="center"/>
          </w:tcPr>
          <w:p w14:paraId="2C30B4EE">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B类</w:t>
            </w:r>
          </w:p>
        </w:tc>
        <w:tc>
          <w:tcPr>
            <w:tcW w:w="720" w:type="dxa"/>
            <w:tcBorders>
              <w:top w:val="single" w:color="auto" w:sz="4" w:space="0"/>
              <w:left w:val="single" w:color="auto" w:sz="4" w:space="0"/>
              <w:bottom w:val="single" w:color="auto" w:sz="4" w:space="0"/>
              <w:right w:val="single" w:color="auto" w:sz="4" w:space="0"/>
            </w:tcBorders>
            <w:vAlign w:val="center"/>
          </w:tcPr>
          <w:p w14:paraId="0341363B">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C类</w:t>
            </w:r>
          </w:p>
        </w:tc>
      </w:tr>
      <w:tr w14:paraId="7DF304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7A73D84D">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1</w:t>
            </w:r>
          </w:p>
        </w:tc>
        <w:tc>
          <w:tcPr>
            <w:tcW w:w="1368" w:type="dxa"/>
            <w:tcBorders>
              <w:top w:val="single" w:color="auto" w:sz="4" w:space="0"/>
              <w:left w:val="single" w:color="auto" w:sz="4" w:space="0"/>
              <w:bottom w:val="single" w:color="auto" w:sz="4" w:space="0"/>
              <w:right w:val="single" w:color="auto" w:sz="4" w:space="0"/>
            </w:tcBorders>
            <w:vAlign w:val="center"/>
          </w:tcPr>
          <w:p w14:paraId="4B4B6711">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Cs w:val="21"/>
              </w:rPr>
            </w:pPr>
            <w:r>
              <w:rPr>
                <w:rFonts w:hint="default" w:ascii="Times New Roman" w:hAnsi="Times New Roman" w:cs="Times New Roman"/>
                <w:szCs w:val="21"/>
              </w:rPr>
              <w:t>静压</w:t>
            </w:r>
          </w:p>
        </w:tc>
        <w:tc>
          <w:tcPr>
            <w:tcW w:w="1620" w:type="dxa"/>
            <w:tcBorders>
              <w:top w:val="single" w:color="auto" w:sz="4" w:space="0"/>
              <w:left w:val="single" w:color="auto" w:sz="4" w:space="0"/>
              <w:bottom w:val="single" w:color="auto" w:sz="4" w:space="0"/>
              <w:right w:val="single" w:color="auto" w:sz="4" w:space="0"/>
            </w:tcBorders>
            <w:vAlign w:val="center"/>
          </w:tcPr>
          <w:p w14:paraId="13DE6084">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Cs w:val="21"/>
              </w:rPr>
            </w:pPr>
            <w:r>
              <w:rPr>
                <w:rFonts w:hint="default" w:ascii="Times New Roman" w:hAnsi="Times New Roman" w:cs="Times New Roman"/>
                <w:szCs w:val="21"/>
              </w:rPr>
              <w:t>GB778.1-2018/4.2.10</w:t>
            </w:r>
          </w:p>
        </w:tc>
        <w:tc>
          <w:tcPr>
            <w:tcW w:w="1080" w:type="dxa"/>
            <w:tcBorders>
              <w:top w:val="single" w:color="auto" w:sz="4" w:space="0"/>
              <w:left w:val="single" w:color="auto" w:sz="4" w:space="0"/>
              <w:bottom w:val="single" w:color="auto" w:sz="4" w:space="0"/>
              <w:right w:val="single" w:color="auto" w:sz="4" w:space="0"/>
            </w:tcBorders>
            <w:vAlign w:val="center"/>
          </w:tcPr>
          <w:p w14:paraId="703A525B">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推荐性</w:t>
            </w:r>
          </w:p>
        </w:tc>
        <w:tc>
          <w:tcPr>
            <w:tcW w:w="1836" w:type="dxa"/>
            <w:tcBorders>
              <w:top w:val="single" w:color="auto" w:sz="4" w:space="0"/>
              <w:left w:val="single" w:color="auto" w:sz="4" w:space="0"/>
              <w:bottom w:val="single" w:color="auto" w:sz="4" w:space="0"/>
              <w:right w:val="single" w:color="auto" w:sz="4" w:space="0"/>
            </w:tcBorders>
            <w:vAlign w:val="center"/>
          </w:tcPr>
          <w:p w14:paraId="1F66F1D4">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GB778.2-2018</w:t>
            </w:r>
          </w:p>
        </w:tc>
        <w:tc>
          <w:tcPr>
            <w:tcW w:w="720" w:type="dxa"/>
            <w:tcBorders>
              <w:top w:val="single" w:color="auto" w:sz="4" w:space="0"/>
              <w:left w:val="single" w:color="auto" w:sz="4" w:space="0"/>
              <w:bottom w:val="single" w:color="auto" w:sz="4" w:space="0"/>
              <w:right w:val="single" w:color="auto" w:sz="4" w:space="0"/>
            </w:tcBorders>
            <w:vAlign w:val="center"/>
          </w:tcPr>
          <w:p w14:paraId="36FD63DE">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p>
        </w:tc>
        <w:tc>
          <w:tcPr>
            <w:tcW w:w="720" w:type="dxa"/>
            <w:tcBorders>
              <w:top w:val="single" w:color="auto" w:sz="4" w:space="0"/>
              <w:left w:val="single" w:color="auto" w:sz="4" w:space="0"/>
              <w:bottom w:val="single" w:color="auto" w:sz="4" w:space="0"/>
              <w:right w:val="single" w:color="auto" w:sz="4" w:space="0"/>
            </w:tcBorders>
            <w:vAlign w:val="center"/>
          </w:tcPr>
          <w:p w14:paraId="020EAEEA">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p>
        </w:tc>
        <w:tc>
          <w:tcPr>
            <w:tcW w:w="720" w:type="dxa"/>
            <w:tcBorders>
              <w:top w:val="single" w:color="auto" w:sz="4" w:space="0"/>
              <w:left w:val="single" w:color="auto" w:sz="4" w:space="0"/>
              <w:bottom w:val="single" w:color="auto" w:sz="4" w:space="0"/>
              <w:right w:val="single" w:color="auto" w:sz="4" w:space="0"/>
            </w:tcBorders>
            <w:vAlign w:val="center"/>
          </w:tcPr>
          <w:p w14:paraId="673FDED6">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w:t>
            </w:r>
          </w:p>
        </w:tc>
      </w:tr>
      <w:tr w14:paraId="35351C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4470312F">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Cs w:val="21"/>
              </w:rPr>
            </w:pPr>
            <w:r>
              <w:rPr>
                <w:rFonts w:hint="default" w:ascii="Times New Roman" w:hAnsi="Times New Roman" w:cs="Times New Roman"/>
                <w:szCs w:val="21"/>
              </w:rPr>
              <w:t>2</w:t>
            </w:r>
          </w:p>
        </w:tc>
        <w:tc>
          <w:tcPr>
            <w:tcW w:w="1368" w:type="dxa"/>
            <w:tcBorders>
              <w:top w:val="single" w:color="auto" w:sz="4" w:space="0"/>
              <w:left w:val="single" w:color="auto" w:sz="4" w:space="0"/>
              <w:bottom w:val="single" w:color="auto" w:sz="4" w:space="0"/>
              <w:right w:val="single" w:color="auto" w:sz="4" w:space="0"/>
            </w:tcBorders>
            <w:vAlign w:val="center"/>
          </w:tcPr>
          <w:p w14:paraId="02ACC50E">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Cs w:val="21"/>
              </w:rPr>
            </w:pPr>
            <w:r>
              <w:rPr>
                <w:rFonts w:hint="default" w:ascii="Times New Roman" w:hAnsi="Times New Roman" w:cs="Times New Roman"/>
                <w:szCs w:val="21"/>
              </w:rPr>
              <w:t>压力损失试验</w:t>
            </w:r>
          </w:p>
        </w:tc>
        <w:tc>
          <w:tcPr>
            <w:tcW w:w="1620" w:type="dxa"/>
            <w:tcBorders>
              <w:top w:val="single" w:color="auto" w:sz="4" w:space="0"/>
              <w:left w:val="single" w:color="auto" w:sz="4" w:space="0"/>
              <w:bottom w:val="single" w:color="auto" w:sz="4" w:space="0"/>
              <w:right w:val="single" w:color="auto" w:sz="4" w:space="0"/>
            </w:tcBorders>
            <w:vAlign w:val="center"/>
          </w:tcPr>
          <w:p w14:paraId="381F2B98">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GB778.1-2018/6.5</w:t>
            </w:r>
          </w:p>
        </w:tc>
        <w:tc>
          <w:tcPr>
            <w:tcW w:w="1080" w:type="dxa"/>
            <w:tcBorders>
              <w:top w:val="single" w:color="auto" w:sz="4" w:space="0"/>
              <w:left w:val="single" w:color="auto" w:sz="4" w:space="0"/>
              <w:bottom w:val="single" w:color="auto" w:sz="4" w:space="0"/>
              <w:right w:val="single" w:color="auto" w:sz="4" w:space="0"/>
            </w:tcBorders>
            <w:vAlign w:val="center"/>
          </w:tcPr>
          <w:p w14:paraId="0DEDDBED">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推荐性</w:t>
            </w:r>
          </w:p>
        </w:tc>
        <w:tc>
          <w:tcPr>
            <w:tcW w:w="1836" w:type="dxa"/>
            <w:tcBorders>
              <w:top w:val="single" w:color="auto" w:sz="4" w:space="0"/>
              <w:left w:val="single" w:color="auto" w:sz="4" w:space="0"/>
              <w:bottom w:val="single" w:color="auto" w:sz="4" w:space="0"/>
              <w:right w:val="single" w:color="auto" w:sz="4" w:space="0"/>
            </w:tcBorders>
            <w:vAlign w:val="center"/>
          </w:tcPr>
          <w:p w14:paraId="2F87E34D">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GB778.2-2018</w:t>
            </w:r>
          </w:p>
        </w:tc>
        <w:tc>
          <w:tcPr>
            <w:tcW w:w="720" w:type="dxa"/>
            <w:tcBorders>
              <w:top w:val="single" w:color="auto" w:sz="4" w:space="0"/>
              <w:left w:val="single" w:color="auto" w:sz="4" w:space="0"/>
              <w:bottom w:val="single" w:color="auto" w:sz="4" w:space="0"/>
              <w:right w:val="single" w:color="auto" w:sz="4" w:space="0"/>
            </w:tcBorders>
            <w:vAlign w:val="center"/>
          </w:tcPr>
          <w:p w14:paraId="2F010865">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14:paraId="4965D5E2">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p>
        </w:tc>
        <w:tc>
          <w:tcPr>
            <w:tcW w:w="720" w:type="dxa"/>
            <w:tcBorders>
              <w:top w:val="single" w:color="auto" w:sz="4" w:space="0"/>
              <w:left w:val="single" w:color="auto" w:sz="4" w:space="0"/>
              <w:bottom w:val="single" w:color="auto" w:sz="4" w:space="0"/>
              <w:right w:val="single" w:color="auto" w:sz="4" w:space="0"/>
            </w:tcBorders>
            <w:vAlign w:val="center"/>
          </w:tcPr>
          <w:p w14:paraId="4B78D627">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p>
        </w:tc>
      </w:tr>
      <w:tr w14:paraId="128FF8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666C947E">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3</w:t>
            </w:r>
          </w:p>
        </w:tc>
        <w:tc>
          <w:tcPr>
            <w:tcW w:w="1368" w:type="dxa"/>
            <w:tcBorders>
              <w:top w:val="single" w:color="auto" w:sz="4" w:space="0"/>
              <w:left w:val="single" w:color="auto" w:sz="4" w:space="0"/>
              <w:bottom w:val="single" w:color="auto" w:sz="4" w:space="0"/>
              <w:right w:val="single" w:color="auto" w:sz="4" w:space="0"/>
            </w:tcBorders>
            <w:vAlign w:val="center"/>
          </w:tcPr>
          <w:p w14:paraId="5B6E7C2F">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标记与铭牌</w:t>
            </w:r>
          </w:p>
        </w:tc>
        <w:tc>
          <w:tcPr>
            <w:tcW w:w="1620" w:type="dxa"/>
            <w:tcBorders>
              <w:top w:val="single" w:color="auto" w:sz="4" w:space="0"/>
              <w:left w:val="single" w:color="auto" w:sz="4" w:space="0"/>
              <w:bottom w:val="single" w:color="auto" w:sz="4" w:space="0"/>
              <w:right w:val="single" w:color="auto" w:sz="4" w:space="0"/>
            </w:tcBorders>
            <w:vAlign w:val="center"/>
          </w:tcPr>
          <w:p w14:paraId="7EFF3E62">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GB778.1-2018/6.6</w:t>
            </w:r>
          </w:p>
        </w:tc>
        <w:tc>
          <w:tcPr>
            <w:tcW w:w="1080" w:type="dxa"/>
            <w:tcBorders>
              <w:top w:val="single" w:color="auto" w:sz="4" w:space="0"/>
              <w:left w:val="single" w:color="auto" w:sz="4" w:space="0"/>
              <w:bottom w:val="single" w:color="auto" w:sz="4" w:space="0"/>
              <w:right w:val="single" w:color="auto" w:sz="4" w:space="0"/>
            </w:tcBorders>
            <w:vAlign w:val="center"/>
          </w:tcPr>
          <w:p w14:paraId="7777266D">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推荐性</w:t>
            </w:r>
          </w:p>
        </w:tc>
        <w:tc>
          <w:tcPr>
            <w:tcW w:w="1836" w:type="dxa"/>
            <w:tcBorders>
              <w:top w:val="single" w:color="auto" w:sz="4" w:space="0"/>
              <w:left w:val="single" w:color="auto" w:sz="4" w:space="0"/>
              <w:bottom w:val="single" w:color="auto" w:sz="4" w:space="0"/>
              <w:right w:val="single" w:color="auto" w:sz="4" w:space="0"/>
            </w:tcBorders>
            <w:vAlign w:val="center"/>
          </w:tcPr>
          <w:p w14:paraId="0922ED65">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GB778.2-2018</w:t>
            </w:r>
          </w:p>
        </w:tc>
        <w:tc>
          <w:tcPr>
            <w:tcW w:w="720" w:type="dxa"/>
            <w:tcBorders>
              <w:top w:val="single" w:color="auto" w:sz="4" w:space="0"/>
              <w:left w:val="single" w:color="auto" w:sz="4" w:space="0"/>
              <w:bottom w:val="single" w:color="auto" w:sz="4" w:space="0"/>
              <w:right w:val="single" w:color="auto" w:sz="4" w:space="0"/>
            </w:tcBorders>
            <w:vAlign w:val="center"/>
          </w:tcPr>
          <w:p w14:paraId="53003074">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p>
        </w:tc>
        <w:tc>
          <w:tcPr>
            <w:tcW w:w="720" w:type="dxa"/>
            <w:tcBorders>
              <w:top w:val="single" w:color="auto" w:sz="4" w:space="0"/>
              <w:left w:val="single" w:color="auto" w:sz="4" w:space="0"/>
              <w:bottom w:val="single" w:color="auto" w:sz="4" w:space="0"/>
              <w:right w:val="single" w:color="auto" w:sz="4" w:space="0"/>
            </w:tcBorders>
            <w:vAlign w:val="center"/>
          </w:tcPr>
          <w:p w14:paraId="5154C3B8">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p>
        </w:tc>
        <w:tc>
          <w:tcPr>
            <w:tcW w:w="720" w:type="dxa"/>
            <w:tcBorders>
              <w:top w:val="single" w:color="auto" w:sz="4" w:space="0"/>
              <w:left w:val="single" w:color="auto" w:sz="4" w:space="0"/>
              <w:bottom w:val="single" w:color="auto" w:sz="4" w:space="0"/>
              <w:right w:val="single" w:color="auto" w:sz="4" w:space="0"/>
            </w:tcBorders>
            <w:vAlign w:val="center"/>
          </w:tcPr>
          <w:p w14:paraId="392270CB">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w:t>
            </w:r>
          </w:p>
        </w:tc>
      </w:tr>
      <w:tr w14:paraId="1706A1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7BECCA4C">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4</w:t>
            </w:r>
          </w:p>
        </w:tc>
        <w:tc>
          <w:tcPr>
            <w:tcW w:w="1368" w:type="dxa"/>
            <w:tcBorders>
              <w:top w:val="single" w:color="auto" w:sz="4" w:space="0"/>
              <w:left w:val="single" w:color="auto" w:sz="4" w:space="0"/>
              <w:bottom w:val="single" w:color="auto" w:sz="4" w:space="0"/>
              <w:right w:val="single" w:color="auto" w:sz="4" w:space="0"/>
            </w:tcBorders>
            <w:vAlign w:val="center"/>
          </w:tcPr>
          <w:p w14:paraId="1350A291">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示值误差</w:t>
            </w:r>
          </w:p>
        </w:tc>
        <w:tc>
          <w:tcPr>
            <w:tcW w:w="1620" w:type="dxa"/>
            <w:tcBorders>
              <w:top w:val="single" w:color="auto" w:sz="4" w:space="0"/>
              <w:left w:val="single" w:color="auto" w:sz="4" w:space="0"/>
              <w:bottom w:val="single" w:color="auto" w:sz="4" w:space="0"/>
              <w:right w:val="single" w:color="auto" w:sz="4" w:space="0"/>
            </w:tcBorders>
            <w:vAlign w:val="center"/>
          </w:tcPr>
          <w:p w14:paraId="261D27F5">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GB778.1-2018/7.2.3</w:t>
            </w:r>
          </w:p>
        </w:tc>
        <w:tc>
          <w:tcPr>
            <w:tcW w:w="1080" w:type="dxa"/>
            <w:tcBorders>
              <w:top w:val="single" w:color="auto" w:sz="4" w:space="0"/>
              <w:left w:val="single" w:color="auto" w:sz="4" w:space="0"/>
              <w:bottom w:val="single" w:color="auto" w:sz="4" w:space="0"/>
              <w:right w:val="single" w:color="auto" w:sz="4" w:space="0"/>
            </w:tcBorders>
            <w:vAlign w:val="center"/>
          </w:tcPr>
          <w:p w14:paraId="3A357454">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推荐性</w:t>
            </w:r>
          </w:p>
        </w:tc>
        <w:tc>
          <w:tcPr>
            <w:tcW w:w="1836" w:type="dxa"/>
            <w:tcBorders>
              <w:top w:val="single" w:color="auto" w:sz="4" w:space="0"/>
              <w:left w:val="single" w:color="auto" w:sz="4" w:space="0"/>
              <w:bottom w:val="single" w:color="auto" w:sz="4" w:space="0"/>
              <w:right w:val="single" w:color="auto" w:sz="4" w:space="0"/>
            </w:tcBorders>
            <w:vAlign w:val="center"/>
          </w:tcPr>
          <w:p w14:paraId="4830BA1B">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GB778.2-2018</w:t>
            </w:r>
          </w:p>
        </w:tc>
        <w:tc>
          <w:tcPr>
            <w:tcW w:w="720" w:type="dxa"/>
            <w:tcBorders>
              <w:top w:val="single" w:color="auto" w:sz="4" w:space="0"/>
              <w:left w:val="single" w:color="auto" w:sz="4" w:space="0"/>
              <w:bottom w:val="single" w:color="auto" w:sz="4" w:space="0"/>
              <w:right w:val="single" w:color="auto" w:sz="4" w:space="0"/>
            </w:tcBorders>
            <w:vAlign w:val="center"/>
          </w:tcPr>
          <w:p w14:paraId="6D5B0568">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14:paraId="2A3AF0C0">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p>
        </w:tc>
        <w:tc>
          <w:tcPr>
            <w:tcW w:w="720" w:type="dxa"/>
            <w:tcBorders>
              <w:top w:val="single" w:color="auto" w:sz="4" w:space="0"/>
              <w:left w:val="single" w:color="auto" w:sz="4" w:space="0"/>
              <w:bottom w:val="single" w:color="auto" w:sz="4" w:space="0"/>
              <w:right w:val="single" w:color="auto" w:sz="4" w:space="0"/>
            </w:tcBorders>
            <w:vAlign w:val="center"/>
          </w:tcPr>
          <w:p w14:paraId="54D10C3A">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p>
        </w:tc>
      </w:tr>
    </w:tbl>
    <w:p w14:paraId="02A2FB57">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cs="Times New Roman"/>
          <w:sz w:val="24"/>
        </w:rPr>
      </w:pPr>
      <w:r>
        <w:rPr>
          <w:rFonts w:hint="default" w:ascii="Times New Roman" w:hAnsi="Times New Roman" w:cs="Times New Roman"/>
          <w:sz w:val="24"/>
        </w:rPr>
        <w:t>注：A类――极重要质量项目  B类――重要质量项目  C类――次要质量项目</w:t>
      </w:r>
    </w:p>
    <w:p w14:paraId="034B3F23">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4.2判定原则</w:t>
      </w:r>
    </w:p>
    <w:p w14:paraId="30B4AB91">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4.2.1</w:t>
      </w:r>
      <w:r>
        <w:rPr>
          <w:rFonts w:hint="default" w:ascii="Times New Roman" w:hAnsi="Times New Roman" w:cs="Times New Roman"/>
          <w:color w:val="000000"/>
          <w:sz w:val="24"/>
        </w:rPr>
        <w:t>样品检验结论</w:t>
      </w:r>
      <w:r>
        <w:rPr>
          <w:rFonts w:hint="default" w:ascii="Times New Roman" w:hAnsi="Times New Roman" w:cs="Times New Roman"/>
          <w:sz w:val="24"/>
        </w:rPr>
        <w:t>判定原则</w:t>
      </w:r>
    </w:p>
    <w:p w14:paraId="459947B4">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color w:val="000000"/>
          <w:sz w:val="24"/>
        </w:rPr>
      </w:pPr>
      <w:r>
        <w:rPr>
          <w:rFonts w:hint="default" w:ascii="Times New Roman" w:hAnsi="Times New Roman" w:cs="Times New Roman"/>
          <w:color w:val="000000"/>
          <w:sz w:val="24"/>
        </w:rPr>
        <w:t xml:space="preserve">各检验项目全部合格的，判定该样品产品质量合格;否则为不合格。 </w:t>
      </w:r>
    </w:p>
    <w:p w14:paraId="67FE4A73">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color w:val="000000"/>
          <w:sz w:val="24"/>
        </w:rPr>
      </w:pPr>
      <w:r>
        <w:rPr>
          <w:rFonts w:hint="default" w:ascii="Times New Roman" w:hAnsi="Times New Roman" w:cs="Times New Roman"/>
          <w:color w:val="000000"/>
          <w:sz w:val="24"/>
        </w:rPr>
        <w:t>不合格分为不合格和严重不合格，当样品检验结果出现A类、B类不合格项时,判定产品质量严重不合格。</w:t>
      </w:r>
    </w:p>
    <w:p w14:paraId="7E439549">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color w:val="FF0000"/>
          <w:sz w:val="24"/>
        </w:rPr>
      </w:pPr>
      <w:r>
        <w:rPr>
          <w:rFonts w:hint="default" w:ascii="Times New Roman" w:hAnsi="Times New Roman" w:cs="Times New Roman"/>
          <w:sz w:val="24"/>
        </w:rPr>
        <w:t>4.2.2检验应注意的问题</w:t>
      </w:r>
    </w:p>
    <w:p w14:paraId="29B90BC5">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检验机构接收样品应当有专人负责检查、记录样品的外观、状态、封条有无破损及其他可能对检测结果或者综合判定产生影响的情况，并确认样品与抽样单的记录是否相符，对检测和备用样品分别加贴相应标识后入库。</w:t>
      </w:r>
    </w:p>
    <w:p w14:paraId="4C549BF2">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5.检验异议的处理预案</w:t>
      </w:r>
    </w:p>
    <w:p w14:paraId="73577281">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对判定不合格产品进行复检时，按以下方式进行：</w:t>
      </w:r>
    </w:p>
    <w:p w14:paraId="69746C08">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核查不合格项目相关证据，能够以记录（纸质记录或电子记录或影像记录）、或与不合格项目相关联的其他质量数据等检验证据证明，并得到被检方认可的，作出维持原检验结论的复查结论。</w:t>
      </w:r>
    </w:p>
    <w:p w14:paraId="35AB9C50">
      <w:pPr>
        <w:keepNext w:val="0"/>
        <w:keepLines w:val="0"/>
        <w:pageBreakBefore w:val="0"/>
        <w:kinsoku/>
        <w:wordWrap/>
        <w:overflowPunct/>
        <w:topLinePunct w:val="0"/>
        <w:autoSpaceDE/>
        <w:autoSpaceDN/>
        <w:bidi w:val="0"/>
        <w:adjustRightInd/>
        <w:spacing w:line="440" w:lineRule="exact"/>
        <w:ind w:firstLine="480" w:firstLineChars="200"/>
        <w:jc w:val="left"/>
        <w:textAlignment w:val="auto"/>
        <w:rPr>
          <w:rFonts w:hint="default" w:ascii="Times New Roman" w:hAnsi="Times New Roman" w:cs="Times New Roman"/>
          <w:sz w:val="24"/>
        </w:rPr>
      </w:pPr>
      <w:r>
        <w:rPr>
          <w:rFonts w:hint="default" w:ascii="Times New Roman" w:hAnsi="Times New Roman" w:cs="Times New Roman"/>
          <w:sz w:val="24"/>
        </w:rPr>
        <w:t>需要对不合格项目复检时，采用备用样检验。当复检结果仍不合格，维持原检验结果不变。当复检结果合格，以复检结果为准。</w:t>
      </w:r>
    </w:p>
    <w:p w14:paraId="215CCB65">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1900C5"/>
    <w:rsid w:val="00025F99"/>
    <w:rsid w:val="0027674B"/>
    <w:rsid w:val="003774E4"/>
    <w:rsid w:val="00630E16"/>
    <w:rsid w:val="0076212B"/>
    <w:rsid w:val="00AE6784"/>
    <w:rsid w:val="00B1717B"/>
    <w:rsid w:val="00BE075D"/>
    <w:rsid w:val="00E7167F"/>
    <w:rsid w:val="00F65D3F"/>
    <w:rsid w:val="13FD1B60"/>
    <w:rsid w:val="37FED0AD"/>
    <w:rsid w:val="59662F90"/>
    <w:rsid w:val="661900C5"/>
    <w:rsid w:val="FF7B3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5"/>
      <w:szCs w:val="35"/>
      <w:lang w:eastAsia="en-US"/>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tabs>
        <w:tab w:val="center" w:pos="4153"/>
        <w:tab w:val="right" w:pos="8306"/>
      </w:tabs>
      <w:snapToGrid w:val="0"/>
      <w:jc w:val="center"/>
    </w:pPr>
    <w:rPr>
      <w:sz w:val="18"/>
      <w:szCs w:val="18"/>
    </w:rPr>
  </w:style>
  <w:style w:type="paragraph" w:styleId="6">
    <w:name w:val="Body Text First Indent"/>
    <w:basedOn w:val="3"/>
    <w:qFormat/>
    <w:uiPriority w:val="0"/>
    <w:pPr>
      <w:spacing w:line="360" w:lineRule="auto"/>
      <w:ind w:firstLine="640" w:firstLineChars="200"/>
    </w:pPr>
    <w:rPr>
      <w:rFonts w:ascii="宋体" w:hAnsi="宋体" w:eastAsia="宋体"/>
      <w:sz w:val="24"/>
    </w:rPr>
  </w:style>
  <w:style w:type="character" w:styleId="9">
    <w:name w:val="Hyperlink"/>
    <w:unhideWhenUsed/>
    <w:qFormat/>
    <w:uiPriority w:val="99"/>
    <w:rPr>
      <w:color w:val="0000FF"/>
      <w:u w:val="single"/>
    </w:rPr>
  </w:style>
  <w:style w:type="character" w:customStyle="1" w:styleId="10">
    <w:name w:val="页眉 字符"/>
    <w:basedOn w:val="8"/>
    <w:link w:val="5"/>
    <w:qFormat/>
    <w:uiPriority w:val="0"/>
    <w:rPr>
      <w:kern w:val="2"/>
      <w:sz w:val="18"/>
      <w:szCs w:val="18"/>
    </w:rPr>
  </w:style>
  <w:style w:type="character" w:customStyle="1" w:styleId="11">
    <w:name w:val="页脚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1756</Words>
  <Characters>1957</Characters>
  <Lines>89</Lines>
  <Paragraphs>102</Paragraphs>
  <TotalTime>3</TotalTime>
  <ScaleCrop>false</ScaleCrop>
  <LinksUpToDate>false</LinksUpToDate>
  <CharactersWithSpaces>1965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2025-06-25T17:50:00Z</dcterms:created>
  <dc:creator>玉立</dc:creator>
  <cp:lastModifiedBy>箫韶.</cp:lastModifiedBy>
  <dcterms:modified xsi:type="dcterms:W3CDTF">2025-09-19T03:38:07Z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6D0C087A876343F89E9282F18BE0BFF5_11</vt:lpwstr>
  </property>
  <property fmtid="{D5CDD505-2E9C-101B-9397-08002B2CF9AE}" pid="4" name="KSOTemplateDocerSaveRecord">
    <vt:lpwstr>eyJoZGlkIjoiYzAwNTk0ZDJkNDJhOWExYWFhMmQ4MDBjMDllM2JmYjYiLCJ1c2VySWQiOiIxMTMyMjQ2NTM2In0=</vt:lpwstr>
  </property>
</Properties>
</file>