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3"/>
        </w:tabs>
        <w:rPr>
          <w:rFonts w:hint="eastAsia"/>
          <w:lang w:val="en-US" w:eastAsia="zh-CN"/>
        </w:rPr>
      </w:pPr>
    </w:p>
    <w:p>
      <w:pPr>
        <w:pStyle w:val="4"/>
        <w:jc w:val="center"/>
        <w:rPr>
          <w:sz w:val="48"/>
          <w:szCs w:val="48"/>
        </w:rPr>
      </w:pPr>
      <w:bookmarkStart w:id="0" w:name="_Toc61423249"/>
      <w:bookmarkStart w:id="1" w:name="_Toc54537246"/>
      <w:bookmarkStart w:id="2" w:name="_Toc54539689"/>
      <w:r>
        <w:t>集体土地所有权</w:t>
      </w:r>
      <w:r>
        <w:rPr>
          <w:rFonts w:hint="eastAsia"/>
        </w:rPr>
        <w:t>注销</w:t>
      </w:r>
      <w:r>
        <w:t>登记</w:t>
      </w:r>
      <w:r>
        <w:rPr>
          <w:rFonts w:hint="eastAsia"/>
          <w:sz w:val="48"/>
          <w:szCs w:val="48"/>
        </w:rPr>
        <w:t>（</w:t>
      </w:r>
      <w:r>
        <w:rPr>
          <w:rFonts w:hint="eastAsia"/>
          <w:sz w:val="48"/>
          <w:szCs w:val="48"/>
          <w:lang w:eastAsia="zh-CN"/>
        </w:rPr>
        <w:t>三</w:t>
      </w:r>
      <w:r>
        <w:rPr>
          <w:rFonts w:hint="eastAsia"/>
          <w:sz w:val="48"/>
          <w:szCs w:val="48"/>
        </w:rPr>
        <w:t>）</w:t>
      </w:r>
      <w:bookmarkEnd w:id="0"/>
      <w:bookmarkEnd w:id="1"/>
      <w:bookmarkEnd w:id="2"/>
    </w:p>
    <w:p>
      <w:pPr>
        <w:spacing w:line="480" w:lineRule="exact"/>
        <w:ind w:firstLine="560" w:firstLineChars="200"/>
        <w:jc w:val="center"/>
        <w:rPr>
          <w:rFonts w:hint="eastAsia" w:ascii="仿宋" w:hAnsi="仿宋" w:eastAsia="仿宋" w:cs="Times New Roman"/>
          <w:sz w:val="28"/>
          <w:szCs w:val="28"/>
          <w:lang w:val="en-US" w:eastAsia="zh-CN"/>
        </w:rPr>
      </w:pPr>
    </w:p>
    <w:p>
      <w:pPr>
        <w:tabs>
          <w:tab w:val="left" w:pos="1393"/>
        </w:tabs>
        <w:bidi w:val="0"/>
        <w:jc w:val="center"/>
        <w:rPr>
          <w:rFonts w:hint="eastAsia"/>
          <w:sz w:val="24"/>
          <w:szCs w:val="24"/>
          <w:lang w:val="en-US" w:eastAsia="zh-CN"/>
        </w:rPr>
      </w:pPr>
      <w:r>
        <w:rPr>
          <w:rFonts w:hint="eastAsia"/>
          <w:sz w:val="24"/>
          <w:szCs w:val="24"/>
          <w:lang w:val="en-US" w:eastAsia="zh-CN"/>
        </w:rPr>
        <w:t>承办单位：九江市不动产登记中心柴桑区分中心窗口</w:t>
      </w: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宋体"/>
          <w:color w:val="000000"/>
          <w:spacing w:val="-8"/>
          <w:kern w:val="0"/>
          <w:sz w:val="30"/>
          <w:szCs w:val="30"/>
          <w:lang w:val="en-US" w:eastAsia="zh-CN" w:bidi="ar-SA"/>
        </w:rPr>
      </w:pPr>
      <w:r>
        <w:rPr>
          <w:rFonts w:hint="eastAsia" w:ascii="仿宋" w:hAnsi="仿宋" w:eastAsia="仿宋" w:cs="宋体"/>
          <w:color w:val="000000"/>
          <w:spacing w:val="-8"/>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bookmarkStart w:id="31" w:name="_GoBack"/>
      <w:bookmarkEnd w:id="31"/>
    </w:p>
    <w:p>
      <w:pPr>
        <w:tabs>
          <w:tab w:val="left" w:pos="1243"/>
        </w:tabs>
        <w:bidi w:val="0"/>
        <w:jc w:val="left"/>
        <w:rPr>
          <w:rFonts w:hint="eastAsia"/>
          <w:lang w:val="en-US" w:eastAsia="zh-CN"/>
        </w:rPr>
      </w:pPr>
    </w:p>
    <w:p>
      <w:pPr>
        <w:tabs>
          <w:tab w:val="left" w:pos="1243"/>
        </w:tabs>
        <w:bidi w:val="0"/>
        <w:jc w:val="left"/>
        <w:rPr>
          <w:rFonts w:hint="eastAsia"/>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hint="eastAsia" w:asciiTheme="majorHAnsi" w:hAnsiTheme="majorHAnsi" w:eastAsiaTheme="majorEastAsia" w:cstheme="majorBidi"/>
          <w:b/>
          <w:bCs/>
          <w:kern w:val="2"/>
          <w:sz w:val="48"/>
          <w:szCs w:val="48"/>
          <w:lang w:val="en-US" w:eastAsia="zh-CN" w:bidi="ar-SA"/>
        </w:rPr>
        <w:t>集体土地所有权注销登记办事指南</w:t>
      </w:r>
    </w:p>
    <w:p>
      <w:pPr>
        <w:tabs>
          <w:tab w:val="left" w:pos="1243"/>
        </w:tabs>
        <w:bidi w:val="0"/>
        <w:jc w:val="center"/>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keepNext w:val="0"/>
        <w:keepLines w:val="0"/>
        <w:pageBreakBefore w:val="0"/>
        <w:tabs>
          <w:tab w:val="left" w:pos="124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cs="宋体"/>
          <w:color w:val="000000"/>
          <w:spacing w:val="-8"/>
          <w:sz w:val="30"/>
          <w:szCs w:val="30"/>
        </w:rPr>
      </w:pPr>
      <w:r>
        <w:rPr>
          <w:rFonts w:hint="eastAsia" w:ascii="黑体" w:hAnsi="黑体" w:eastAsia="黑体" w:cs="黑体"/>
          <w:sz w:val="30"/>
          <w:szCs w:val="30"/>
          <w:lang w:val="en-US" w:eastAsia="zh-CN"/>
        </w:rPr>
        <w:tab/>
      </w:r>
      <w:bookmarkStart w:id="3" w:name="_Toc54537247"/>
      <w:bookmarkStart w:id="4" w:name="_Toc54537564"/>
      <w:bookmarkStart w:id="5" w:name="_Toc54536904"/>
      <w:bookmarkStart w:id="6" w:name="_Toc54539692"/>
      <w:r>
        <w:rPr>
          <w:rFonts w:hint="eastAsia" w:ascii="仿宋" w:hAnsi="仿宋" w:eastAsia="仿宋" w:cs="宋体"/>
          <w:color w:val="000000"/>
          <w:spacing w:val="-8"/>
          <w:sz w:val="30"/>
          <w:szCs w:val="30"/>
        </w:rPr>
        <w:t>已经登记的集体土地所有权，有下列情形之一的，当事人可以申请办理注销登记。</w:t>
      </w:r>
      <w:bookmarkEnd w:id="3"/>
      <w:bookmarkEnd w:id="4"/>
      <w:bookmarkEnd w:id="5"/>
      <w:bookmarkEnd w:id="6"/>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ascii="仿宋" w:hAnsi="仿宋" w:eastAsia="仿宋" w:cs="宋体"/>
          <w:color w:val="000000"/>
          <w:spacing w:val="-8"/>
          <w:sz w:val="30"/>
          <w:szCs w:val="30"/>
        </w:rPr>
      </w:pPr>
      <w:bookmarkStart w:id="7" w:name="_Toc54537248"/>
      <w:bookmarkStart w:id="8" w:name="_Toc54537565"/>
      <w:bookmarkStart w:id="9" w:name="_Toc54536905"/>
      <w:bookmarkStart w:id="10" w:name="_Toc54539693"/>
      <w:r>
        <w:rPr>
          <w:rFonts w:hint="eastAsia" w:ascii="仿宋" w:hAnsi="仿宋" w:eastAsia="仿宋" w:cs="宋体"/>
          <w:color w:val="000000"/>
          <w:spacing w:val="-8"/>
          <w:sz w:val="30"/>
          <w:szCs w:val="30"/>
        </w:rPr>
        <w:t>1.集体土地灭失的；</w:t>
      </w:r>
      <w:bookmarkEnd w:id="7"/>
      <w:bookmarkEnd w:id="8"/>
      <w:bookmarkEnd w:id="9"/>
      <w:bookmarkEnd w:id="10"/>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ascii="仿宋" w:hAnsi="仿宋" w:eastAsia="仿宋" w:cs="宋体"/>
          <w:color w:val="000000"/>
          <w:spacing w:val="-8"/>
          <w:sz w:val="30"/>
          <w:szCs w:val="30"/>
        </w:rPr>
      </w:pPr>
      <w:bookmarkStart w:id="11" w:name="_Toc54537249"/>
      <w:bookmarkStart w:id="12" w:name="_Toc54537566"/>
      <w:bookmarkStart w:id="13" w:name="_Toc54536906"/>
      <w:bookmarkStart w:id="14" w:name="_Toc54539694"/>
      <w:r>
        <w:rPr>
          <w:rFonts w:hint="eastAsia" w:ascii="仿宋" w:hAnsi="仿宋" w:eastAsia="仿宋" w:cs="宋体"/>
          <w:color w:val="000000"/>
          <w:spacing w:val="-8"/>
          <w:sz w:val="30"/>
          <w:szCs w:val="30"/>
        </w:rPr>
        <w:t>2.集体土地被依法征收的；</w:t>
      </w:r>
      <w:bookmarkEnd w:id="11"/>
      <w:bookmarkEnd w:id="12"/>
      <w:bookmarkEnd w:id="13"/>
      <w:bookmarkEnd w:id="14"/>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ascii="仿宋" w:hAnsi="仿宋" w:eastAsia="仿宋" w:cs="宋体"/>
          <w:color w:val="000000"/>
          <w:spacing w:val="-8"/>
          <w:sz w:val="30"/>
          <w:szCs w:val="30"/>
        </w:rPr>
      </w:pPr>
      <w:bookmarkStart w:id="15" w:name="_Toc54536907"/>
      <w:bookmarkStart w:id="16" w:name="_Toc54539695"/>
      <w:bookmarkStart w:id="17" w:name="_Toc54537567"/>
      <w:bookmarkStart w:id="18" w:name="_Toc54537250"/>
      <w:r>
        <w:rPr>
          <w:rFonts w:hint="eastAsia" w:ascii="仿宋" w:hAnsi="仿宋" w:eastAsia="仿宋" w:cs="宋体"/>
          <w:color w:val="000000"/>
          <w:spacing w:val="-8"/>
          <w:sz w:val="30"/>
          <w:szCs w:val="30"/>
        </w:rPr>
        <w:t>3.因人民法院、仲裁委员会的生效法律文书致使集体土地所有消灭的；</w:t>
      </w:r>
      <w:bookmarkEnd w:id="15"/>
      <w:bookmarkEnd w:id="16"/>
      <w:bookmarkEnd w:id="17"/>
      <w:bookmarkEnd w:id="18"/>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ascii="仿宋" w:hAnsi="仿宋" w:eastAsia="仿宋" w:cs="宋体"/>
          <w:color w:val="000000"/>
          <w:spacing w:val="-8"/>
          <w:sz w:val="30"/>
          <w:szCs w:val="30"/>
        </w:rPr>
      </w:pPr>
      <w:bookmarkStart w:id="19" w:name="_Toc54537251"/>
      <w:bookmarkStart w:id="20" w:name="_Toc54539696"/>
      <w:bookmarkStart w:id="21" w:name="_Toc54537568"/>
      <w:bookmarkStart w:id="22" w:name="_Toc54536908"/>
      <w:r>
        <w:rPr>
          <w:rFonts w:hint="eastAsia" w:ascii="仿宋" w:hAnsi="仿宋" w:eastAsia="仿宋" w:cs="宋体"/>
          <w:color w:val="000000"/>
          <w:spacing w:val="-8"/>
          <w:sz w:val="30"/>
          <w:szCs w:val="30"/>
        </w:rPr>
        <w:t>4.权利人放弃集体土地所有权的；</w:t>
      </w:r>
      <w:bookmarkEnd w:id="19"/>
      <w:bookmarkEnd w:id="20"/>
      <w:bookmarkEnd w:id="21"/>
      <w:bookmarkEnd w:id="22"/>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ascii="仿宋" w:hAnsi="仿宋" w:eastAsia="仿宋" w:cs="宋体"/>
          <w:color w:val="000000"/>
          <w:spacing w:val="-8"/>
          <w:sz w:val="30"/>
          <w:szCs w:val="30"/>
        </w:rPr>
      </w:pPr>
      <w:bookmarkStart w:id="23" w:name="_Toc54537569"/>
      <w:bookmarkStart w:id="24" w:name="_Toc54537252"/>
      <w:bookmarkStart w:id="25" w:name="_Toc54539697"/>
      <w:bookmarkStart w:id="26" w:name="_Toc54536909"/>
      <w:r>
        <w:rPr>
          <w:rFonts w:hint="eastAsia" w:ascii="仿宋" w:hAnsi="仿宋" w:eastAsia="仿宋" w:cs="宋体"/>
          <w:color w:val="000000"/>
          <w:spacing w:val="-8"/>
          <w:sz w:val="30"/>
          <w:szCs w:val="30"/>
        </w:rPr>
        <w:t>5.法律、行政法规规定的其他情形。</w:t>
      </w:r>
      <w:bookmarkEnd w:id="23"/>
      <w:bookmarkEnd w:id="24"/>
      <w:bookmarkEnd w:id="25"/>
      <w:bookmarkEnd w:id="26"/>
    </w:p>
    <w:p>
      <w:pPr>
        <w:pStyle w:val="8"/>
        <w:keepNext w:val="0"/>
        <w:keepLines w:val="0"/>
        <w:pageBreakBefore w:val="0"/>
        <w:kinsoku/>
        <w:wordWrap/>
        <w:overflowPunct/>
        <w:topLinePunct w:val="0"/>
        <w:bidi w:val="0"/>
        <w:adjustRightInd/>
        <w:snapToGrid/>
        <w:spacing w:line="520" w:lineRule="exact"/>
        <w:ind w:firstLine="568" w:firstLineChars="200"/>
        <w:textAlignment w:val="auto"/>
        <w:rPr>
          <w:rFonts w:hint="eastAsia" w:ascii="仿宋" w:hAnsi="仿宋" w:eastAsia="仿宋" w:cs="宋体"/>
          <w:color w:val="000000"/>
          <w:spacing w:val="-8"/>
          <w:sz w:val="30"/>
          <w:szCs w:val="30"/>
        </w:rPr>
      </w:pPr>
      <w:bookmarkStart w:id="27" w:name="_Toc54537570"/>
      <w:bookmarkStart w:id="28" w:name="_Toc54537253"/>
      <w:bookmarkStart w:id="29" w:name="_Toc54539698"/>
      <w:bookmarkStart w:id="30" w:name="_Toc54536910"/>
      <w:r>
        <w:rPr>
          <w:rFonts w:hint="eastAsia" w:ascii="仿宋" w:hAnsi="仿宋" w:eastAsia="仿宋" w:cs="宋体"/>
          <w:color w:val="000000"/>
          <w:spacing w:val="-8"/>
          <w:sz w:val="30"/>
          <w:szCs w:val="30"/>
        </w:rPr>
        <w:t>属前款第3、4项，嘱托机关要求登记机构办理注销登记的，登记机构可依据其嘱托文件及其生效文书直接办理。登记机构认为登记事项存在异议的，应当依法向有关机关提出审查建议。</w:t>
      </w:r>
      <w:bookmarkEnd w:id="27"/>
      <w:bookmarkEnd w:id="28"/>
      <w:bookmarkEnd w:id="29"/>
      <w:bookmarkEnd w:id="30"/>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二、办理依据</w:t>
      </w:r>
    </w:p>
    <w:p>
      <w:pPr>
        <w:keepNext w:val="0"/>
        <w:keepLines w:val="0"/>
        <w:pageBreakBefore w:val="0"/>
        <w:numPr>
          <w:ilvl w:val="0"/>
          <w:numId w:val="0"/>
        </w:numPr>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bidi="ar-SA"/>
        </w:rPr>
      </w:pPr>
      <w:r>
        <w:rPr>
          <w:rFonts w:hint="eastAsia" w:ascii="仿宋" w:hAnsi="仿宋" w:eastAsia="仿宋" w:cs="宋体"/>
          <w:color w:val="000000"/>
          <w:spacing w:val="-8"/>
          <w:kern w:val="0"/>
          <w:sz w:val="30"/>
          <w:szCs w:val="30"/>
          <w:lang w:val="en-US" w:eastAsia="zh-CN" w:bidi="ar-SA"/>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（1）有农村集体经济组织的提交农村集体经济组织材料及法定代表人身份材料；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（2）无农村集体经济组织的，按以下提供：</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①属村小组农民集体所有的提交经村委会盖章确认的村小组负责人身份材料（核对原件）；</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②属村农民集体所有的提交村民委员会法定代表人身份材料（核对原件）；</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③属乡镇农民集体所有的提交乡镇政府法定代表人材料（核对原件）。</w:t>
      </w:r>
    </w:p>
    <w:p>
      <w:pPr>
        <w:pStyle w:val="8"/>
        <w:keepNext w:val="0"/>
        <w:keepLines w:val="0"/>
        <w:pageBreakBefore w:val="0"/>
        <w:kinsoku/>
        <w:wordWrap/>
        <w:overflowPunct/>
        <w:topLinePunct w:val="0"/>
        <w:bidi w:val="0"/>
        <w:adjustRightInd/>
        <w:snapToGrid/>
        <w:spacing w:line="520" w:lineRule="exact"/>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集体土地所有权消灭的材料</w:t>
      </w:r>
      <w:r>
        <w:rPr>
          <w:rFonts w:hint="eastAsia" w:ascii="仿宋" w:hAnsi="仿宋" w:eastAsia="仿宋"/>
          <w:sz w:val="30"/>
          <w:szCs w:val="30"/>
        </w:rPr>
        <w:t>：</w:t>
      </w:r>
      <w:r>
        <w:rPr>
          <w:rFonts w:ascii="仿宋" w:hAnsi="仿宋" w:eastAsia="仿宋"/>
          <w:sz w:val="30"/>
          <w:szCs w:val="30"/>
        </w:rPr>
        <w:t xml:space="preserve"> </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（1）集体土地灭失的，提交土地灭失的证明材料；</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（2）依法征收集体土地的，提交有批准权的人民政府征收决定书；</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sz w:val="30"/>
          <w:szCs w:val="30"/>
        </w:rPr>
        <w:t>（3）因人民法院或者仲裁委员会生效法律文书导致集体土地所有权消灭的，提交人民法院或者仲裁委员会生效法律文书；</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default" w:cstheme="minorBidi"/>
          <w:kern w:val="2"/>
          <w:sz w:val="30"/>
          <w:szCs w:val="30"/>
          <w:lang w:val="en-US" w:eastAsia="zh-CN" w:bidi="ar-SA"/>
        </w:rPr>
      </w:pPr>
      <w:r>
        <w:rPr>
          <w:rFonts w:hint="eastAsia" w:ascii="仿宋" w:hAnsi="仿宋" w:eastAsia="仿宋"/>
          <w:sz w:val="30"/>
          <w:szCs w:val="30"/>
        </w:rPr>
        <w:t>（4）权利人放弃集体土地所有权的，提交权利人放弃权利的书面文 件。被放弃的集体土地上存在宅基地使用权、土地承包经营权、地役利或被查封的，还需提交相关权利人或查封机关同意注销的书面证明。</w:t>
      </w:r>
    </w:p>
    <w:p>
      <w:pPr>
        <w:pStyle w:val="8"/>
        <w:keepNext w:val="0"/>
        <w:keepLines w:val="0"/>
        <w:pageBreakBefore w:val="0"/>
        <w:kinsoku/>
        <w:wordWrap/>
        <w:overflowPunct/>
        <w:topLinePunct w:val="0"/>
        <w:bidi w:val="0"/>
        <w:adjustRightInd/>
        <w:snapToGrid/>
        <w:spacing w:line="520" w:lineRule="exact"/>
        <w:ind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申请受理—审核登簿</w:t>
      </w:r>
    </w:p>
    <w:p>
      <w:pPr>
        <w:keepNext w:val="0"/>
        <w:keepLines w:val="0"/>
        <w:pageBreakBefore w:val="0"/>
        <w:numPr>
          <w:ilvl w:val="0"/>
          <w:numId w:val="0"/>
        </w:numPr>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仿宋" w:hAnsi="仿宋" w:eastAsia="仿宋" w:cs="宋体"/>
          <w:color w:val="000000"/>
          <w:kern w:val="0"/>
          <w:sz w:val="30"/>
          <w:szCs w:val="30"/>
          <w:lang w:eastAsia="zh-CN"/>
        </w:rPr>
        <w:t>免收登记费</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lang w:eastAsia="zh-CN"/>
        </w:rPr>
        <w:t>立办立结</w:t>
      </w:r>
      <w:r>
        <w:rPr>
          <w:rFonts w:hint="eastAsia" w:ascii="仿宋" w:hAnsi="仿宋" w:eastAsia="仿宋"/>
          <w:kern w:val="0"/>
          <w:sz w:val="30"/>
          <w:szCs w:val="30"/>
        </w:rPr>
        <w:t>，如有特殊情况，承诺时限为法定时限（如需公告，公告时间不计入承诺时限）。</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theme="minorBidi"/>
          <w:kern w:val="0"/>
          <w:sz w:val="30"/>
          <w:szCs w:val="30"/>
          <w:lang w:val="en-US" w:eastAsia="zh-CN" w:bidi="ar-SA"/>
        </w:rPr>
      </w:pPr>
      <w:r>
        <w:rPr>
          <w:rFonts w:hint="eastAsia" w:ascii="仿宋" w:hAnsi="仿宋" w:eastAsia="仿宋" w:cstheme="minorBidi"/>
          <w:kern w:val="0"/>
          <w:sz w:val="30"/>
          <w:szCs w:val="30"/>
          <w:lang w:val="en-US" w:eastAsia="zh-CN" w:bidi="ar-SA"/>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宋体"/>
          <w:bCs/>
          <w:color w:val="000000"/>
          <w:spacing w:val="-8"/>
          <w:kern w:val="0"/>
          <w:sz w:val="30"/>
          <w:szCs w:val="30"/>
          <w:lang w:eastAsia="zh-CN"/>
        </w:rPr>
      </w:pPr>
      <w:r>
        <w:rPr>
          <w:rFonts w:hint="eastAsia" w:ascii="仿宋" w:hAnsi="仿宋" w:eastAsia="仿宋" w:cstheme="minorBidi"/>
          <w:color w:val="auto"/>
          <w:kern w:val="0"/>
          <w:sz w:val="30"/>
          <w:szCs w:val="30"/>
          <w:u w:val="none"/>
          <w:lang w:val="en-US" w:eastAsia="zh-CN" w:bidi="ar-SA"/>
        </w:rPr>
        <w:t>http://bdcdj.jiujiang.gov.cn/（申</w:t>
      </w:r>
      <w:r>
        <w:rPr>
          <w:rFonts w:hint="eastAsia" w:ascii="仿宋" w:hAnsi="仿宋" w:eastAsia="仿宋" w:cs="宋体"/>
          <w:bCs/>
          <w:color w:val="000000"/>
          <w:spacing w:val="-8"/>
          <w:kern w:val="0"/>
          <w:sz w:val="30"/>
          <w:szCs w:val="30"/>
          <w:u w:val="none"/>
        </w:rPr>
        <w:t>请人网上申请，不动产登记机构线上审核并办结，实现一次不跑）</w:t>
      </w:r>
      <w:r>
        <w:rPr>
          <w:rFonts w:hint="eastAsia" w:ascii="仿宋" w:hAnsi="仿宋" w:eastAsia="仿宋" w:cs="宋体"/>
          <w:bCs/>
          <w:color w:val="000000"/>
          <w:spacing w:val="-8"/>
          <w:kern w:val="0"/>
          <w:sz w:val="30"/>
          <w:szCs w:val="30"/>
          <w:u w:val="none"/>
          <w:lang w:eastAsia="zh-CN"/>
        </w:rPr>
        <w:t>。</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eastAsia" w:ascii="仿宋" w:hAnsi="仿宋" w:eastAsia="仿宋" w:cs="宋体"/>
          <w:bCs/>
          <w:color w:val="000000"/>
          <w:spacing w:val="-8"/>
          <w:kern w:val="0"/>
          <w:sz w:val="28"/>
          <w:szCs w:val="28"/>
          <w:lang w:val="en-US" w:eastAsia="zh-CN"/>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67803E8"/>
    <w:rsid w:val="097A4477"/>
    <w:rsid w:val="0B7B62C4"/>
    <w:rsid w:val="17495593"/>
    <w:rsid w:val="1E220B6F"/>
    <w:rsid w:val="1E53699B"/>
    <w:rsid w:val="2CFC3DC3"/>
    <w:rsid w:val="3E402FFD"/>
    <w:rsid w:val="4212780E"/>
    <w:rsid w:val="46771E69"/>
    <w:rsid w:val="47207E10"/>
    <w:rsid w:val="47C7610E"/>
    <w:rsid w:val="48E1651B"/>
    <w:rsid w:val="4A427937"/>
    <w:rsid w:val="4BFD4C09"/>
    <w:rsid w:val="4CA85EBF"/>
    <w:rsid w:val="568C5ADD"/>
    <w:rsid w:val="581F1A3E"/>
    <w:rsid w:val="59012C0E"/>
    <w:rsid w:val="5C8F6A0E"/>
    <w:rsid w:val="5D414205"/>
    <w:rsid w:val="5D88799D"/>
    <w:rsid w:val="60975719"/>
    <w:rsid w:val="6A966CD5"/>
    <w:rsid w:val="745E5732"/>
    <w:rsid w:val="79DE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930</Words>
  <Characters>1004</Characters>
  <Lines>0</Lines>
  <Paragraphs>0</Paragraphs>
  <TotalTime>0</TotalTime>
  <ScaleCrop>false</ScaleCrop>
  <LinksUpToDate>false</LinksUpToDate>
  <CharactersWithSpaces>1009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F9BBF94A858A4D75B4E59F2EE0D44586</vt:lpwstr>
  </property>
</Properties>
</file>