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4"/>
        <w:rPr>
          <w:sz w:val="48"/>
          <w:szCs w:val="48"/>
        </w:rPr>
      </w:pPr>
      <w:r>
        <w:rPr>
          <w:rFonts w:hint="eastAsia" w:cs="黑体"/>
          <w:kern w:val="2"/>
          <w:sz w:val="48"/>
          <w:szCs w:val="48"/>
          <w:lang w:val="en-US" w:eastAsia="zh-CN" w:bidi="ar-SA"/>
        </w:rPr>
        <w:tab/>
      </w:r>
      <w:bookmarkStart w:id="0" w:name="_Toc54539689"/>
      <w:bookmarkStart w:id="1" w:name="_Toc61423249"/>
      <w:bookmarkStart w:id="2" w:name="_Toc54537246"/>
      <w:r>
        <w:rPr>
          <w:rFonts w:hint="eastAsia" w:cs="黑体"/>
          <w:kern w:val="2"/>
          <w:sz w:val="48"/>
          <w:szCs w:val="48"/>
          <w:lang w:val="en-US" w:eastAsia="zh-CN" w:bidi="ar-SA"/>
        </w:rPr>
        <w:t xml:space="preserve"> </w:t>
      </w:r>
      <w:bookmarkEnd w:id="0"/>
      <w:bookmarkEnd w:id="1"/>
      <w:bookmarkEnd w:id="2"/>
      <w:bookmarkStart w:id="3" w:name="_Toc61423251"/>
      <w:r>
        <w:t>国有建设用地使用权</w:t>
      </w:r>
      <w:bookmarkStart w:id="4" w:name="_Toc451780688"/>
      <w:bookmarkStart w:id="5" w:name="_Toc448911498"/>
      <w:r>
        <w:t>首次登记</w:t>
      </w:r>
      <w:bookmarkEnd w:id="4"/>
      <w:bookmarkEnd w:id="5"/>
      <w:r>
        <w:rPr>
          <w:rFonts w:hint="eastAsia"/>
        </w:rPr>
        <w:t>（四）</w:t>
      </w:r>
      <w:bookmarkEnd w:id="3"/>
    </w:p>
    <w:p>
      <w:pPr>
        <w:spacing w:line="480" w:lineRule="exact"/>
        <w:ind w:firstLine="560" w:firstLineChars="200"/>
        <w:jc w:val="center"/>
        <w:rPr>
          <w:rFonts w:hint="eastAsia" w:ascii="仿宋" w:hAnsi="仿宋" w:eastAsia="仿宋" w:cs="Times New Roman"/>
          <w:sz w:val="28"/>
          <w:szCs w:val="28"/>
          <w:lang w:val="en-US" w:eastAsia="zh-CN"/>
        </w:rPr>
      </w:pPr>
    </w:p>
    <w:p>
      <w:pPr>
        <w:jc w:val="center"/>
        <w:rPr>
          <w:rFonts w:hint="eastAsia" w:cs="黑体"/>
          <w:kern w:val="2"/>
          <w:sz w:val="21"/>
          <w:szCs w:val="24"/>
          <w:lang w:val="en-US" w:eastAsia="zh-CN" w:bidi="ar-SA"/>
        </w:rPr>
      </w:pPr>
      <w:r>
        <w:rPr>
          <w:rFonts w:hint="eastAsia" w:cs="黑体"/>
          <w:kern w:val="2"/>
          <w:sz w:val="21"/>
          <w:szCs w:val="24"/>
          <w:lang w:val="en-US" w:eastAsia="zh-CN" w:bidi="ar-SA"/>
        </w:rPr>
        <w:t xml:space="preserve">承办单位：九江市不动产登记中心柴桑区分中心窗口 </w:t>
      </w: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default" w:cs="黑体"/>
          <w:kern w:val="2"/>
          <w:sz w:val="21"/>
          <w:szCs w:val="24"/>
          <w:lang w:val="en-US" w:eastAsia="zh-CN" w:bidi="ar-SA"/>
        </w:rPr>
      </w:pP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rPr>
          <w:rFonts w:hint="default"/>
          <w:sz w:val="24"/>
          <w:szCs w:val="24"/>
          <w:lang w:val="en-US" w:eastAsia="zh-CN"/>
        </w:rPr>
      </w:pPr>
    </w:p>
    <w:p>
      <w:pPr>
        <w:tabs>
          <w:tab w:val="left" w:pos="1393"/>
        </w:tabs>
        <w:jc w:val="left"/>
        <w:rPr>
          <w:rFonts w:hint="eastAsia"/>
          <w:sz w:val="24"/>
          <w:szCs w:val="24"/>
          <w:lang w:val="en-US" w:eastAsia="zh-CN"/>
        </w:rPr>
      </w:pPr>
      <w:r>
        <w:rPr>
          <w:rFonts w:hint="eastAsia"/>
          <w:sz w:val="24"/>
          <w:szCs w:val="24"/>
          <w:lang w:val="en-US" w:eastAsia="zh-CN"/>
        </w:rPr>
        <w:tab/>
      </w: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center"/>
        <w:rPr>
          <w:rFonts w:hint="eastAsia" w:ascii="Calibri" w:hAnsi="Calibri" w:eastAsia="宋体" w:cs="黑体"/>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jc w:val="center"/>
        <w:rPr>
          <w:rFonts w:hint="default" w:ascii="Calibri" w:hAnsi="Calibri" w:eastAsia="宋体" w:cs="黑体"/>
          <w:kern w:val="2"/>
          <w:sz w:val="24"/>
          <w:szCs w:val="24"/>
          <w:lang w:val="en-US" w:eastAsia="zh-CN" w:bidi="ar-SA"/>
        </w:rPr>
      </w:pPr>
      <w:bookmarkStart w:id="6" w:name="_GoBack"/>
      <w:bookmarkEnd w:id="6"/>
    </w:p>
    <w:p>
      <w:pPr>
        <w:jc w:val="center"/>
        <w:rPr>
          <w:rFonts w:hint="default" w:ascii="Calibri" w:hAnsi="Calibri" w:eastAsia="宋体" w:cs="黑体"/>
          <w:kern w:val="2"/>
          <w:sz w:val="24"/>
          <w:szCs w:val="24"/>
          <w:lang w:val="en-US" w:eastAsia="zh-CN" w:bidi="ar-SA"/>
        </w:rPr>
      </w:pPr>
    </w:p>
    <w:p>
      <w:pPr>
        <w:tabs>
          <w:tab w:val="left" w:pos="2113"/>
        </w:tabs>
        <w:rPr>
          <w:rFonts w:hint="default" w:ascii="Calibri" w:hAnsi="Calibri" w:eastAsia="宋体" w:cs="黑体"/>
          <w:kern w:val="2"/>
          <w:sz w:val="21"/>
          <w:szCs w:val="24"/>
          <w:lang w:val="en-US" w:eastAsia="zh-CN" w:bidi="ar-SA"/>
        </w:rPr>
      </w:pPr>
    </w:p>
    <w:p>
      <w:pPr>
        <w:rPr>
          <w:rFonts w:hint="default"/>
          <w:lang w:val="en-US" w:eastAsia="zh-CN"/>
        </w:rPr>
      </w:pPr>
    </w:p>
    <w:p>
      <w:pPr>
        <w:tabs>
          <w:tab w:val="left" w:pos="1243"/>
        </w:tabs>
        <w:jc w:val="left"/>
        <w:rPr>
          <w:rFonts w:hint="eastAsia"/>
          <w:lang w:val="en-US" w:eastAsia="zh-CN"/>
        </w:rPr>
      </w:pPr>
    </w:p>
    <w:p>
      <w:pPr>
        <w:tabs>
          <w:tab w:val="left" w:pos="1243"/>
        </w:tabs>
        <w:jc w:val="left"/>
        <w:rPr>
          <w:rFonts w:hint="eastAsia"/>
          <w:lang w:val="en-US" w:eastAsia="zh-CN"/>
        </w:rPr>
      </w:pPr>
    </w:p>
    <w:p>
      <w:pPr>
        <w:tabs>
          <w:tab w:val="left" w:pos="1243"/>
        </w:tabs>
        <w:jc w:val="center"/>
        <w:rPr>
          <w:rFonts w:hint="eastAsia" w:ascii="Calibri Light" w:hAnsi="Calibri Light" w:eastAsia="宋体" w:cs="黑体"/>
          <w:b/>
          <w:bCs/>
          <w:kern w:val="2"/>
          <w:sz w:val="48"/>
          <w:szCs w:val="48"/>
          <w:lang w:val="en-US" w:eastAsia="zh-CN" w:bidi="ar-SA"/>
        </w:rPr>
      </w:pPr>
      <w:r>
        <w:rPr>
          <w:rFonts w:ascii="Calibri Light" w:hAnsi="Calibri Light" w:eastAsia="宋体" w:cs="黑体"/>
          <w:b/>
          <w:bCs/>
          <w:kern w:val="2"/>
          <w:sz w:val="48"/>
          <w:szCs w:val="48"/>
          <w:lang w:val="en-US" w:eastAsia="zh-CN" w:bidi="ar-SA"/>
        </w:rPr>
        <w:t>国有建设用地使用权首次登记</w:t>
      </w:r>
      <w:r>
        <w:rPr>
          <w:rFonts w:hint="eastAsia" w:ascii="Calibri Light" w:hAnsi="Calibri Light" w:cs="黑体"/>
          <w:b/>
          <w:bCs/>
          <w:kern w:val="2"/>
          <w:sz w:val="48"/>
          <w:szCs w:val="48"/>
          <w:lang w:val="en-US" w:eastAsia="zh-CN" w:bidi="ar-SA"/>
        </w:rPr>
        <w:t>办事</w:t>
      </w:r>
      <w:r>
        <w:rPr>
          <w:rFonts w:hint="eastAsia" w:ascii="Calibri Light" w:hAnsi="Calibri Light" w:eastAsia="宋体" w:cs="黑体"/>
          <w:b/>
          <w:bCs/>
          <w:kern w:val="2"/>
          <w:sz w:val="48"/>
          <w:szCs w:val="48"/>
          <w:lang w:val="en-US" w:eastAsia="zh-CN" w:bidi="ar-SA"/>
        </w:rPr>
        <w:t>指南</w:t>
      </w:r>
    </w:p>
    <w:p>
      <w:pPr>
        <w:tabs>
          <w:tab w:val="left" w:pos="1243"/>
        </w:tabs>
        <w:jc w:val="left"/>
        <w:rPr>
          <w:rFonts w:hint="eastAsia"/>
          <w:lang w:val="en-US" w:eastAsia="zh-CN"/>
        </w:rPr>
      </w:pPr>
    </w:p>
    <w:p>
      <w:pPr>
        <w:keepNext w:val="0"/>
        <w:keepLines w:val="0"/>
        <w:pageBreakBefore w:val="0"/>
        <w:tabs>
          <w:tab w:val="left" w:pos="1243"/>
        </w:tabs>
        <w:kinsoku/>
        <w:wordWrap/>
        <w:overflowPunct/>
        <w:topLinePunct w:val="0"/>
        <w:bidi w:val="0"/>
        <w:adjustRightInd/>
        <w:snapToGrid/>
        <w:spacing w:line="520" w:lineRule="exact"/>
        <w:jc w:val="left"/>
        <w:textAlignment w:val="auto"/>
        <w:rPr>
          <w:rFonts w:hint="eastAsia"/>
          <w:sz w:val="30"/>
          <w:szCs w:val="30"/>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一、办理事项</w:t>
      </w:r>
    </w:p>
    <w:p>
      <w:pPr>
        <w:pStyle w:val="8"/>
        <w:keepNext w:val="0"/>
        <w:keepLines w:val="0"/>
        <w:pageBreakBefore w:val="0"/>
        <w:widowControl/>
        <w:kinsoku/>
        <w:wordWrap/>
        <w:overflowPunct/>
        <w:topLinePunct w:val="0"/>
        <w:autoSpaceDE w:val="0"/>
        <w:autoSpaceDN w:val="0"/>
        <w:bidi w:val="0"/>
        <w:adjustRightInd/>
        <w:snapToGrid/>
        <w:spacing w:line="520" w:lineRule="exact"/>
        <w:textAlignment w:val="auto"/>
        <w:rPr>
          <w:rFonts w:hint="eastAsia" w:ascii="仿宋" w:hAnsi="仿宋" w:eastAsia="仿宋"/>
          <w:sz w:val="30"/>
          <w:szCs w:val="30"/>
          <w:lang w:val="en-US" w:eastAsia="zh-CN"/>
        </w:rPr>
      </w:pPr>
      <w:r>
        <w:rPr>
          <w:rFonts w:ascii="仿宋" w:hAnsi="仿宋" w:eastAsia="仿宋"/>
          <w:sz w:val="30"/>
          <w:szCs w:val="30"/>
        </w:rPr>
        <w:t>依法取得国有建设用地使用权，可以单独申请国有建设用地使用权首次登记。</w:t>
      </w:r>
    </w:p>
    <w:p>
      <w:pPr>
        <w:pStyle w:val="8"/>
        <w:keepNext w:val="0"/>
        <w:keepLines w:val="0"/>
        <w:pageBreakBefore w:val="0"/>
        <w:widowControl/>
        <w:kinsoku/>
        <w:wordWrap/>
        <w:overflowPunct/>
        <w:topLinePunct w:val="0"/>
        <w:autoSpaceDE w:val="0"/>
        <w:autoSpaceDN w:val="0"/>
        <w:bidi w:val="0"/>
        <w:adjustRightInd/>
        <w:snapToGrid/>
        <w:spacing w:line="52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二、办理依据</w:t>
      </w:r>
    </w:p>
    <w:p>
      <w:pPr>
        <w:pStyle w:val="8"/>
        <w:keepNext w:val="0"/>
        <w:keepLines w:val="0"/>
        <w:pageBreakBefore w:val="0"/>
        <w:widowControl/>
        <w:kinsoku/>
        <w:wordWrap/>
        <w:overflowPunct/>
        <w:topLinePunct w:val="0"/>
        <w:autoSpaceDE w:val="0"/>
        <w:autoSpaceDN w:val="0"/>
        <w:bidi w:val="0"/>
        <w:adjustRightInd/>
        <w:snapToGrid/>
        <w:spacing w:line="520" w:lineRule="exac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pStyle w:val="8"/>
        <w:keepNext w:val="0"/>
        <w:keepLines w:val="0"/>
        <w:pageBreakBefore w:val="0"/>
        <w:widowControl/>
        <w:kinsoku/>
        <w:wordWrap/>
        <w:overflowPunct/>
        <w:topLinePunct w:val="0"/>
        <w:autoSpaceDE w:val="0"/>
        <w:autoSpaceDN w:val="0"/>
        <w:bidi w:val="0"/>
        <w:adjustRightInd/>
        <w:snapToGrid/>
        <w:spacing w:line="520" w:lineRule="exac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1.不动产登记申请书(原件);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2.申请人身份证明(核对原件);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(1)单位:①企业须提供《营业执照》(核对原件);②机关事业单位、社会团体等法人代表及非法人代表组织提交登记证照(核对原件);③其他组织按照《国家发展改革委办公 厅关于在办理相关业务中使用统一社会信用代码的通知》(发改办财金〔2018〕277号) 提供身份材料，法人代表身份证明;如委托办理的，提供书面委托书原件1份、受托人身份证明(核对原件);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(2)个人:申请人身份证明(核对原件);如委托办理的，提供书面委托书原件1份(涉及个人出售、互换、份额约定等权利处分的委托书需经公证或到登记现场签订委托书)、受托人身份证明(核对原件);限制民事行为能力人和无民事行为能力人必须由其监护人代理申请，提供的证明文件包括相关户口本、身份证、出生证明(核对原件)及承诺书(原件)。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3.土地权属来源材料(原件):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(1)以出让方式取得的，应当提交出让合同和缴清土地出让价款凭证等相关材料;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(2)以划拨方式取得的，应当提交县级以上人民政府的批准用地文件和国有建设用地使用权划拨决定书等相关材料;</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(3)以租赁方式取得的，应当提交土地租赁合同和土地租金缴纳凭证等相关材料;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(4)以作价出资或者入股方式取得的，应当提交作价出资或者入股批准文件和其他相关材料;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(5)以授权经营方式取得的，应当提交土地资产授权经营批准文件和其他相关材料。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 xml:space="preserve">4.不动产权籍调查表、宗地图、宗地界址点坐标(原件); </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仿宋" w:hAnsi="仿宋" w:eastAsia="仿宋" w:cs="Times New Roman"/>
          <w:kern w:val="0"/>
          <w:sz w:val="30"/>
          <w:szCs w:val="30"/>
          <w:lang w:val="en-US" w:eastAsia="zh-CN" w:bidi="ar-SA"/>
        </w:rPr>
        <w:t>5.依法应当纳税的，应提交完税凭证(原件或经确认的复印件)。</w:t>
      </w:r>
    </w:p>
    <w:p>
      <w:pPr>
        <w:keepNext w:val="0"/>
        <w:keepLines w:val="0"/>
        <w:pageBreakBefore w:val="0"/>
        <w:tabs>
          <w:tab w:val="left" w:pos="127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default" w:ascii="Calibri" w:hAnsi="Calibri" w:eastAsia="宋体" w:cs="黑体"/>
          <w:kern w:val="2"/>
          <w:sz w:val="30"/>
          <w:szCs w:val="30"/>
          <w:lang w:val="en-US" w:eastAsia="zh-CN" w:bidi="ar-SA"/>
        </w:rPr>
      </w:pPr>
      <w:r>
        <w:rPr>
          <w:rFonts w:hint="eastAsia" w:ascii="仿宋" w:hAnsi="仿宋" w:eastAsia="仿宋" w:cs="Times New Roman"/>
          <w:kern w:val="0"/>
          <w:sz w:val="30"/>
          <w:szCs w:val="30"/>
          <w:lang w:val="en-US" w:eastAsia="zh-CN" w:bidi="ar-SA"/>
        </w:rPr>
        <w:t>申请受理—审核登簿缮证。</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550元/件</w:t>
      </w:r>
      <w:r>
        <w:rPr>
          <w:rFonts w:hint="eastAsia" w:ascii="仿宋" w:hAnsi="仿宋" w:eastAsia="仿宋" w:cs="仿宋"/>
          <w:sz w:val="30"/>
          <w:szCs w:val="30"/>
          <w:lang w:eastAsia="zh-CN"/>
        </w:rPr>
        <w:t>，</w:t>
      </w:r>
      <w:r>
        <w:rPr>
          <w:rFonts w:hint="eastAsia" w:ascii="仿宋" w:hAnsi="仿宋" w:eastAsia="仿宋" w:cs="仿宋"/>
          <w:sz w:val="30"/>
          <w:szCs w:val="30"/>
        </w:rPr>
        <w:t>对</w:t>
      </w:r>
      <w:r>
        <w:rPr>
          <w:rFonts w:hint="eastAsia" w:ascii="仿宋" w:hAnsi="仿宋" w:eastAsia="仿宋" w:cs="仿宋"/>
          <w:sz w:val="30"/>
          <w:szCs w:val="30"/>
          <w:lang w:eastAsia="zh-CN"/>
        </w:rPr>
        <w:t>涉企</w:t>
      </w:r>
      <w:r>
        <w:rPr>
          <w:rFonts w:hint="eastAsia" w:ascii="仿宋" w:hAnsi="仿宋" w:eastAsia="仿宋" w:cs="仿宋"/>
          <w:sz w:val="30"/>
          <w:szCs w:val="30"/>
        </w:rPr>
        <w:t>不动产登记</w:t>
      </w:r>
      <w:r>
        <w:rPr>
          <w:rFonts w:hint="eastAsia" w:ascii="仿宋" w:hAnsi="仿宋" w:eastAsia="仿宋" w:cs="仿宋"/>
          <w:sz w:val="30"/>
          <w:szCs w:val="30"/>
          <w:lang w:eastAsia="zh-CN"/>
        </w:rPr>
        <w:t>业务</w:t>
      </w:r>
      <w:r>
        <w:rPr>
          <w:rFonts w:hint="eastAsia" w:ascii="仿宋" w:hAnsi="仿宋" w:eastAsia="仿宋" w:cs="仿宋"/>
          <w:sz w:val="30"/>
          <w:szCs w:val="30"/>
        </w:rPr>
        <w:t>实行“零收费”（不含房地产开发及金融机构）</w:t>
      </w:r>
      <w:r>
        <w:rPr>
          <w:rFonts w:hint="eastAsia" w:ascii="仿宋" w:hAnsi="仿宋" w:eastAsia="仿宋" w:cs="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val="0"/>
        <w:kinsoku/>
        <w:wordWrap/>
        <w:overflowPunct/>
        <w:topLinePunct w:val="0"/>
        <w:autoSpaceDE/>
        <w:autoSpaceDN/>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1小时内办结。</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default" w:ascii="仿宋" w:hAnsi="仿宋" w:eastAsia="仿宋"/>
          <w:color w:val="auto"/>
          <w:sz w:val="30"/>
          <w:szCs w:val="30"/>
          <w:u w:val="none"/>
          <w:lang w:val="en-US" w:eastAsia="zh-CN"/>
        </w:rPr>
        <w:t>http://bdcdj.jiujiang.gov.cn/（申请人网上申请，不动产登记机构线上审核并办结，实现一次不跑）。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0000000"/>
    <w:rsid w:val="003347C8"/>
    <w:rsid w:val="034C72DC"/>
    <w:rsid w:val="04C52712"/>
    <w:rsid w:val="07236DC0"/>
    <w:rsid w:val="13F56BD4"/>
    <w:rsid w:val="19DF2499"/>
    <w:rsid w:val="19EF0A17"/>
    <w:rsid w:val="1F3E77A1"/>
    <w:rsid w:val="1F780B9D"/>
    <w:rsid w:val="240A1406"/>
    <w:rsid w:val="308B23F7"/>
    <w:rsid w:val="3C106FB9"/>
    <w:rsid w:val="3DF940F1"/>
    <w:rsid w:val="41594489"/>
    <w:rsid w:val="43164F0C"/>
    <w:rsid w:val="432408DC"/>
    <w:rsid w:val="5094202C"/>
    <w:rsid w:val="51F15079"/>
    <w:rsid w:val="558A2919"/>
    <w:rsid w:val="561E3EC4"/>
    <w:rsid w:val="56ED7603"/>
    <w:rsid w:val="5A6D04F6"/>
    <w:rsid w:val="6191435B"/>
    <w:rsid w:val="63B97222"/>
    <w:rsid w:val="69CC12FA"/>
    <w:rsid w:val="6C9E6F7E"/>
    <w:rsid w:val="6EF04374"/>
    <w:rsid w:val="79295E21"/>
    <w:rsid w:val="7CDE49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libri Light" w:hAnsi="Calibri Light" w:eastAsia="宋体" w:cs="黑体"/>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969</Words>
  <Characters>1069</Characters>
  <Lines>0</Lines>
  <Paragraphs>0</Paragraphs>
  <TotalTime>0</TotalTime>
  <ScaleCrop>false</ScaleCrop>
  <LinksUpToDate>false</LinksUpToDate>
  <CharactersWithSpaces>1085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2023-02-09T06:29:36Z</dcterms:modified>
  <dc:title>	 国有建设用地使用权首次登记（四）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889B060A70924EBEBD5DBB859DFCEB37</vt:lpwstr>
  </property>
</Properties>
</file>