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93"/>
        </w:tabs>
        <w:rPr>
          <w:rFonts w:hint="eastAsia"/>
          <w:lang w:val="en-US" w:eastAsia="zh-CN"/>
        </w:rPr>
      </w:pPr>
    </w:p>
    <w:p>
      <w:pPr>
        <w:pStyle w:val="4"/>
        <w:rPr>
          <w:rFonts w:ascii="仿宋" w:hAnsi="仿宋" w:eastAsia="仿宋"/>
          <w:sz w:val="36"/>
          <w:szCs w:val="36"/>
        </w:rPr>
      </w:pPr>
      <w:r>
        <w:rPr>
          <w:rFonts w:hint="eastAsia" w:cstheme="minorBidi"/>
          <w:kern w:val="2"/>
          <w:sz w:val="48"/>
          <w:szCs w:val="48"/>
          <w:lang w:val="en-US" w:eastAsia="zh-CN" w:bidi="ar-SA"/>
        </w:rPr>
        <w:tab/>
      </w:r>
      <w:bookmarkStart w:id="0" w:name="_Toc54539689"/>
      <w:bookmarkStart w:id="1" w:name="_Toc54537246"/>
      <w:bookmarkStart w:id="2" w:name="_Toc61423249"/>
      <w:r>
        <w:rPr>
          <w:rFonts w:hint="eastAsia" w:cstheme="minorBidi"/>
          <w:kern w:val="2"/>
          <w:sz w:val="48"/>
          <w:szCs w:val="48"/>
          <w:lang w:val="en-US" w:eastAsia="zh-CN" w:bidi="ar-SA"/>
        </w:rPr>
        <w:t xml:space="preserve"> </w:t>
      </w:r>
      <w:bookmarkEnd w:id="0"/>
      <w:bookmarkEnd w:id="1"/>
      <w:bookmarkEnd w:id="2"/>
      <w:bookmarkStart w:id="3" w:name="_Toc448911500"/>
      <w:bookmarkStart w:id="4" w:name="_Toc451780690"/>
      <w:bookmarkStart w:id="5" w:name="_Toc54536915"/>
      <w:bookmarkStart w:id="6" w:name="_Toc54539703"/>
      <w:bookmarkStart w:id="7" w:name="_Toc54537258"/>
      <w:bookmarkStart w:id="8" w:name="_Toc61423253"/>
      <w:r>
        <w:rPr>
          <w:rFonts w:hint="eastAsia"/>
        </w:rPr>
        <w:t>国有建设用地使用权</w:t>
      </w:r>
      <w:r>
        <w:t>转移登记</w:t>
      </w:r>
      <w:bookmarkEnd w:id="3"/>
      <w:bookmarkEnd w:id="4"/>
      <w:r>
        <w:rPr>
          <w:rFonts w:hint="eastAsia"/>
        </w:rPr>
        <w:t>（六）</w:t>
      </w:r>
      <w:bookmarkEnd w:id="5"/>
      <w:bookmarkEnd w:id="6"/>
      <w:bookmarkEnd w:id="7"/>
      <w:bookmarkEnd w:id="8"/>
    </w:p>
    <w:p>
      <w:pPr>
        <w:spacing w:line="480" w:lineRule="exact"/>
        <w:jc w:val="both"/>
        <w:rPr>
          <w:rFonts w:hint="eastAsia" w:ascii="仿宋" w:hAnsi="仿宋" w:eastAsia="仿宋" w:cs="Times New Roman"/>
          <w:sz w:val="28"/>
          <w:szCs w:val="28"/>
          <w:lang w:val="en-US" w:eastAsia="zh-CN"/>
        </w:rPr>
      </w:pPr>
    </w:p>
    <w:p>
      <w:pPr>
        <w:bidi w:val="0"/>
        <w:jc w:val="center"/>
        <w:rPr>
          <w:rFonts w:hint="eastAsia" w:cstheme="minorBidi"/>
          <w:kern w:val="2"/>
          <w:sz w:val="21"/>
          <w:szCs w:val="24"/>
          <w:lang w:val="en-US" w:eastAsia="zh-CN" w:bidi="ar-SA"/>
        </w:rPr>
      </w:pPr>
      <w:r>
        <w:rPr>
          <w:rFonts w:hint="eastAsia" w:cstheme="minorBidi"/>
          <w:kern w:val="2"/>
          <w:sz w:val="21"/>
          <w:szCs w:val="24"/>
          <w:lang w:val="en-US" w:eastAsia="zh-CN" w:bidi="ar-SA"/>
        </w:rPr>
        <w:t xml:space="preserve">承办单位：九江市不动产登记中心柴桑区分中心窗口 </w:t>
      </w: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default" w:cstheme="minorBidi"/>
          <w:kern w:val="2"/>
          <w:sz w:val="21"/>
          <w:szCs w:val="24"/>
          <w:lang w:val="en-US" w:eastAsia="zh-CN" w:bidi="ar-SA"/>
        </w:rPr>
      </w:pP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办</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事</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指</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南</w:t>
      </w:r>
    </w:p>
    <w:p>
      <w:pPr>
        <w:tabs>
          <w:tab w:val="left" w:pos="1378"/>
        </w:tabs>
        <w:bidi w:val="0"/>
        <w:rPr>
          <w:rFonts w:hint="default"/>
          <w:sz w:val="24"/>
          <w:szCs w:val="24"/>
          <w:lang w:val="en-US" w:eastAsia="zh-CN"/>
        </w:rPr>
      </w:pPr>
    </w:p>
    <w:p>
      <w:pPr>
        <w:tabs>
          <w:tab w:val="left" w:pos="1393"/>
        </w:tabs>
        <w:bidi w:val="0"/>
        <w:jc w:val="left"/>
        <w:rPr>
          <w:rFonts w:hint="eastAsia"/>
          <w:sz w:val="24"/>
          <w:szCs w:val="24"/>
          <w:lang w:val="en-US" w:eastAsia="zh-CN"/>
        </w:rPr>
      </w:pPr>
      <w:r>
        <w:rPr>
          <w:rFonts w:hint="eastAsia"/>
          <w:sz w:val="24"/>
          <w:szCs w:val="24"/>
          <w:lang w:val="en-US" w:eastAsia="zh-CN"/>
        </w:rPr>
        <w:tab/>
      </w: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bidi w:val="0"/>
        <w:jc w:val="center"/>
        <w:rPr>
          <w:rFonts w:hint="eastAsia" w:ascii="仿宋" w:hAnsi="仿宋" w:eastAsia="仿宋" w:cs="Times New Roman"/>
          <w:kern w:val="0"/>
          <w:sz w:val="30"/>
          <w:szCs w:val="30"/>
          <w:lang w:val="en-US" w:eastAsia="zh-CN" w:bidi="ar-SA"/>
        </w:rPr>
      </w:pPr>
      <w:bookmarkStart w:id="9" w:name="_GoBack"/>
      <w:r>
        <w:rPr>
          <w:rFonts w:hint="eastAsia" w:ascii="仿宋" w:hAnsi="仿宋" w:eastAsia="仿宋" w:cs="Times New Roman"/>
          <w:kern w:val="0"/>
          <w:sz w:val="30"/>
          <w:szCs w:val="30"/>
          <w:lang w:val="en-US" w:eastAsia="zh-CN" w:bidi="ar-SA"/>
        </w:rPr>
        <w:t>咨询电话：18172922353</w:t>
      </w:r>
    </w:p>
    <w:bookmarkEnd w:id="9"/>
    <w:p>
      <w:pPr>
        <w:bidi w:val="0"/>
        <w:jc w:val="center"/>
        <w:rPr>
          <w:rFonts w:hint="eastAsia" w:ascii="黑体" w:hAnsi="黑体" w:eastAsia="黑体" w:cs="黑体"/>
          <w:kern w:val="2"/>
          <w:sz w:val="24"/>
          <w:szCs w:val="24"/>
          <w:lang w:val="en-US" w:eastAsia="zh-CN" w:bidi="ar-SA"/>
        </w:rPr>
      </w:pPr>
    </w:p>
    <w:p>
      <w:pPr>
        <w:bidi w:val="0"/>
        <w:jc w:val="center"/>
        <w:rPr>
          <w:rFonts w:hint="default" w:asciiTheme="minorHAnsi" w:hAnsiTheme="minorHAnsi" w:eastAsiaTheme="minorEastAsia" w:cstheme="minorBidi"/>
          <w:kern w:val="2"/>
          <w:sz w:val="24"/>
          <w:szCs w:val="24"/>
          <w:lang w:val="en-US" w:eastAsia="zh-CN" w:bidi="ar-SA"/>
        </w:rPr>
      </w:pPr>
    </w:p>
    <w:p>
      <w:pPr>
        <w:bidi w:val="0"/>
        <w:jc w:val="center"/>
        <w:rPr>
          <w:rFonts w:hint="default" w:asciiTheme="minorHAnsi" w:hAnsiTheme="minorHAnsi" w:eastAsiaTheme="minorEastAsia" w:cstheme="minorBidi"/>
          <w:kern w:val="2"/>
          <w:sz w:val="24"/>
          <w:szCs w:val="24"/>
          <w:lang w:val="en-US" w:eastAsia="zh-CN" w:bidi="ar-SA"/>
        </w:rPr>
      </w:pPr>
    </w:p>
    <w:p>
      <w:pPr>
        <w:tabs>
          <w:tab w:val="left" w:pos="2113"/>
        </w:tabs>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tabs>
          <w:tab w:val="left" w:pos="1243"/>
        </w:tabs>
        <w:bidi w:val="0"/>
        <w:jc w:val="left"/>
        <w:rPr>
          <w:rFonts w:hint="eastAsia"/>
          <w:lang w:val="en-US" w:eastAsia="zh-CN"/>
        </w:rPr>
      </w:pPr>
    </w:p>
    <w:p>
      <w:pPr>
        <w:tabs>
          <w:tab w:val="left" w:pos="1243"/>
        </w:tabs>
        <w:bidi w:val="0"/>
        <w:jc w:val="left"/>
        <w:rPr>
          <w:rFonts w:hint="eastAsia"/>
          <w:lang w:val="en-US" w:eastAsia="zh-CN"/>
        </w:rPr>
      </w:pPr>
    </w:p>
    <w:p>
      <w:pPr>
        <w:tabs>
          <w:tab w:val="left" w:pos="1243"/>
        </w:tabs>
        <w:bidi w:val="0"/>
        <w:jc w:val="left"/>
        <w:rPr>
          <w:rFonts w:hint="eastAsia"/>
          <w:lang w:val="en-US" w:eastAsia="zh-CN"/>
        </w:rPr>
      </w:pPr>
    </w:p>
    <w:p>
      <w:pPr>
        <w:tabs>
          <w:tab w:val="left" w:pos="1243"/>
        </w:tabs>
        <w:bidi w:val="0"/>
        <w:jc w:val="center"/>
        <w:rPr>
          <w:rFonts w:hint="eastAsia" w:asciiTheme="majorHAnsi" w:hAnsiTheme="majorHAnsi" w:eastAsiaTheme="majorEastAsia" w:cstheme="majorBidi"/>
          <w:b/>
          <w:bCs/>
          <w:kern w:val="2"/>
          <w:sz w:val="48"/>
          <w:szCs w:val="48"/>
          <w:lang w:val="en-US" w:eastAsia="zh-CN" w:bidi="ar-SA"/>
        </w:rPr>
      </w:pPr>
      <w:r>
        <w:rPr>
          <w:rFonts w:hint="eastAsia" w:asciiTheme="majorHAnsi" w:hAnsiTheme="majorHAnsi" w:eastAsiaTheme="majorEastAsia" w:cstheme="majorBidi"/>
          <w:b/>
          <w:bCs/>
          <w:kern w:val="2"/>
          <w:sz w:val="48"/>
          <w:szCs w:val="48"/>
          <w:lang w:val="en-US" w:eastAsia="zh-CN" w:bidi="ar-SA"/>
        </w:rPr>
        <w:t>国有建设用地使用权转移登记办事指南</w:t>
      </w:r>
    </w:p>
    <w:p>
      <w:pPr>
        <w:keepNext w:val="0"/>
        <w:keepLines w:val="0"/>
        <w:pageBreakBefore w:val="0"/>
        <w:widowControl w:val="0"/>
        <w:numPr>
          <w:ilvl w:val="0"/>
          <w:numId w:val="0"/>
        </w:numPr>
        <w:kinsoku/>
        <w:wordWrap/>
        <w:overflowPunct/>
        <w:topLinePunct w:val="0"/>
        <w:bidi w:val="0"/>
        <w:adjustRightInd/>
        <w:snapToGrid/>
        <w:jc w:val="left"/>
        <w:textAlignment w:val="auto"/>
        <w:rPr>
          <w:rFonts w:hint="eastAsia" w:ascii="黑体" w:hAnsi="黑体" w:eastAsia="黑体" w:cs="黑体"/>
          <w:kern w:val="0"/>
          <w:sz w:val="28"/>
          <w:szCs w:val="28"/>
          <w:lang w:val="en-US" w:eastAsia="zh-CN" w:bidi="ar-SA"/>
        </w:rPr>
      </w:pPr>
    </w:p>
    <w:p>
      <w:pPr>
        <w:keepNext w:val="0"/>
        <w:keepLines w:val="0"/>
        <w:pageBreakBefore w:val="0"/>
        <w:widowControl w:val="0"/>
        <w:numPr>
          <w:ilvl w:val="0"/>
          <w:numId w:val="0"/>
        </w:numPr>
        <w:kinsoku/>
        <w:wordWrap/>
        <w:overflowPunct/>
        <w:topLinePunct w:val="0"/>
        <w:bidi w:val="0"/>
        <w:adjustRightInd/>
        <w:snapToGrid/>
        <w:spacing w:line="520" w:lineRule="exact"/>
        <w:ind w:firstLine="534" w:firstLineChars="0"/>
        <w:jc w:val="left"/>
        <w:textAlignment w:val="auto"/>
        <w:rPr>
          <w:rFonts w:hint="eastAsia" w:ascii="黑体" w:hAnsi="黑体" w:eastAsia="黑体" w:cs="黑体"/>
          <w:sz w:val="30"/>
          <w:szCs w:val="30"/>
          <w:lang w:val="en-US" w:eastAsia="zh-CN"/>
        </w:rPr>
      </w:pPr>
      <w:r>
        <w:rPr>
          <w:rFonts w:hint="eastAsia" w:ascii="黑体" w:hAnsi="黑体" w:eastAsia="黑体" w:cs="黑体"/>
          <w:kern w:val="0"/>
          <w:sz w:val="30"/>
          <w:szCs w:val="30"/>
          <w:lang w:val="en-US" w:eastAsia="zh-CN" w:bidi="ar-SA"/>
        </w:rPr>
        <w:t>一、办理</w:t>
      </w:r>
      <w:r>
        <w:rPr>
          <w:rFonts w:hint="eastAsia" w:ascii="黑体" w:hAnsi="黑体" w:eastAsia="黑体" w:cs="黑体"/>
          <w:sz w:val="30"/>
          <w:szCs w:val="30"/>
          <w:lang w:val="en-US" w:eastAsia="zh-CN"/>
        </w:rPr>
        <w:t>事项</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ascii="仿宋" w:hAnsi="仿宋" w:eastAsia="仿宋"/>
          <w:sz w:val="30"/>
          <w:szCs w:val="30"/>
        </w:rPr>
        <w:t>已经登记的国有建设用地使用权，因下列情形导致权属发生转移的，当事人可以申请转移登记</w:t>
      </w:r>
      <w:r>
        <w:rPr>
          <w:rFonts w:hint="eastAsia"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ascii="仿宋" w:hAnsi="仿宋" w:eastAsia="仿宋"/>
          <w:sz w:val="30"/>
          <w:szCs w:val="30"/>
        </w:rPr>
        <w:t>转让、互换或赠与的；</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ascii="仿宋" w:hAnsi="仿宋" w:eastAsia="仿宋"/>
          <w:sz w:val="30"/>
          <w:szCs w:val="30"/>
        </w:rPr>
        <w:t>继承或受遗赠的；</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ascii="仿宋" w:hAnsi="仿宋" w:eastAsia="仿宋"/>
          <w:sz w:val="30"/>
          <w:szCs w:val="30"/>
        </w:rPr>
        <w:t>作价出资（入股）的；</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eastAsia="zh-CN"/>
        </w:rPr>
        <w:t>.</w:t>
      </w:r>
      <w:r>
        <w:rPr>
          <w:rFonts w:ascii="仿宋" w:hAnsi="仿宋" w:eastAsia="仿宋"/>
          <w:sz w:val="30"/>
          <w:szCs w:val="30"/>
        </w:rPr>
        <w:t>法人或其他组织合并、分立导致权属发生转移的；</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5</w:t>
      </w:r>
      <w:r>
        <w:rPr>
          <w:rFonts w:hint="eastAsia" w:ascii="仿宋" w:hAnsi="仿宋" w:eastAsia="仿宋"/>
          <w:sz w:val="30"/>
          <w:szCs w:val="30"/>
          <w:lang w:eastAsia="zh-CN"/>
        </w:rPr>
        <w:t>.</w:t>
      </w:r>
      <w:r>
        <w:rPr>
          <w:rFonts w:ascii="仿宋" w:hAnsi="仿宋" w:eastAsia="仿宋"/>
          <w:sz w:val="30"/>
          <w:szCs w:val="30"/>
        </w:rPr>
        <w:t>共有人增加或者减少导致共有份额变化的；</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6</w:t>
      </w:r>
      <w:r>
        <w:rPr>
          <w:rFonts w:hint="eastAsia" w:ascii="仿宋" w:hAnsi="仿宋" w:eastAsia="仿宋"/>
          <w:sz w:val="30"/>
          <w:szCs w:val="30"/>
          <w:lang w:eastAsia="zh-CN"/>
        </w:rPr>
        <w:t>.</w:t>
      </w:r>
      <w:r>
        <w:rPr>
          <w:rFonts w:ascii="仿宋" w:hAnsi="仿宋" w:eastAsia="仿宋"/>
          <w:sz w:val="30"/>
          <w:szCs w:val="30"/>
        </w:rPr>
        <w:t>分割、合并导致权属发生转移的；</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7</w:t>
      </w:r>
      <w:r>
        <w:rPr>
          <w:rFonts w:hint="eastAsia" w:ascii="仿宋" w:hAnsi="仿宋" w:eastAsia="仿宋"/>
          <w:sz w:val="30"/>
          <w:szCs w:val="30"/>
          <w:lang w:eastAsia="zh-CN"/>
        </w:rPr>
        <w:t>.</w:t>
      </w:r>
      <w:r>
        <w:rPr>
          <w:rFonts w:ascii="仿宋" w:hAnsi="仿宋" w:eastAsia="仿宋"/>
          <w:sz w:val="30"/>
          <w:szCs w:val="30"/>
        </w:rPr>
        <w:t>因人民法院、仲裁委员会的生效法律文书</w:t>
      </w:r>
      <w:r>
        <w:rPr>
          <w:rFonts w:hint="eastAsia" w:ascii="仿宋" w:hAnsi="仿宋" w:eastAsia="仿宋"/>
          <w:sz w:val="30"/>
          <w:szCs w:val="30"/>
        </w:rPr>
        <w:t>等</w:t>
      </w:r>
      <w:r>
        <w:rPr>
          <w:rFonts w:ascii="仿宋" w:hAnsi="仿宋" w:eastAsia="仿宋"/>
          <w:sz w:val="30"/>
          <w:szCs w:val="30"/>
        </w:rPr>
        <w:t>导致权属发生变化的；</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sz w:val="30"/>
          <w:szCs w:val="30"/>
          <w:lang w:val="en-US" w:eastAsia="zh-CN"/>
        </w:rPr>
      </w:pPr>
      <w:r>
        <w:rPr>
          <w:rFonts w:hint="eastAsia" w:ascii="仿宋" w:hAnsi="仿宋" w:eastAsia="仿宋"/>
          <w:sz w:val="30"/>
          <w:szCs w:val="30"/>
        </w:rPr>
        <w:t>8</w:t>
      </w:r>
      <w:r>
        <w:rPr>
          <w:rFonts w:hint="eastAsia" w:ascii="仿宋" w:hAnsi="仿宋" w:eastAsia="仿宋"/>
          <w:sz w:val="30"/>
          <w:szCs w:val="30"/>
          <w:lang w:eastAsia="zh-CN"/>
        </w:rPr>
        <w:t>.</w:t>
      </w:r>
      <w:r>
        <w:rPr>
          <w:rFonts w:ascii="仿宋" w:hAnsi="仿宋" w:eastAsia="仿宋"/>
          <w:sz w:val="30"/>
          <w:szCs w:val="30"/>
        </w:rPr>
        <w:t>法律、行政法规规定的其他情形。</w:t>
      </w:r>
    </w:p>
    <w:p>
      <w:pPr>
        <w:keepNext w:val="0"/>
        <w:keepLines w:val="0"/>
        <w:pageBreakBefore w:val="0"/>
        <w:widowControl w:val="0"/>
        <w:numPr>
          <w:ilvl w:val="0"/>
          <w:numId w:val="0"/>
        </w:numPr>
        <w:kinsoku/>
        <w:wordWrap/>
        <w:overflowPunct/>
        <w:topLinePunct w:val="0"/>
        <w:bidi w:val="0"/>
        <w:adjustRightInd/>
        <w:snapToGrid/>
        <w:spacing w:line="520" w:lineRule="exact"/>
        <w:ind w:firstLine="534" w:firstLineChars="0"/>
        <w:jc w:val="left"/>
        <w:textAlignment w:val="auto"/>
        <w:rPr>
          <w:rFonts w:hint="eastAsia" w:ascii="黑体" w:hAnsi="黑体" w:eastAsia="黑体" w:cs="黑体"/>
          <w:kern w:val="0"/>
          <w:sz w:val="30"/>
          <w:szCs w:val="30"/>
          <w:lang w:val="en-US" w:eastAsia="zh-CN" w:bidi="ar-SA"/>
        </w:rPr>
      </w:pPr>
      <w:r>
        <w:rPr>
          <w:rFonts w:hint="eastAsia" w:ascii="黑体" w:hAnsi="黑体" w:eastAsia="黑体" w:cs="黑体"/>
          <w:kern w:val="0"/>
          <w:sz w:val="30"/>
          <w:szCs w:val="30"/>
          <w:lang w:val="en-US" w:eastAsia="zh-CN" w:bidi="ar-SA"/>
        </w:rPr>
        <w:t>二、办理依据</w:t>
      </w:r>
    </w:p>
    <w:p>
      <w:pPr>
        <w:keepNext w:val="0"/>
        <w:keepLines w:val="0"/>
        <w:pageBreakBefore w:val="0"/>
        <w:widowControl w:val="0"/>
        <w:numPr>
          <w:ilvl w:val="0"/>
          <w:numId w:val="0"/>
        </w:numPr>
        <w:kinsoku/>
        <w:wordWrap/>
        <w:overflowPunct/>
        <w:topLinePunct w:val="0"/>
        <w:bidi w:val="0"/>
        <w:adjustRightInd/>
        <w:snapToGrid/>
        <w:spacing w:line="520" w:lineRule="exact"/>
        <w:ind w:firstLine="534" w:firstLineChars="0"/>
        <w:jc w:val="left"/>
        <w:textAlignment w:val="auto"/>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《民法典》《不动产登记暂行条例》《不动产登记暂行条例实施细则》。</w:t>
      </w:r>
    </w:p>
    <w:p>
      <w:pPr>
        <w:keepNext w:val="0"/>
        <w:keepLines w:val="0"/>
        <w:pageBreakBefore w:val="0"/>
        <w:widowControl w:val="0"/>
        <w:numPr>
          <w:ilvl w:val="0"/>
          <w:numId w:val="0"/>
        </w:numPr>
        <w:kinsoku/>
        <w:wordWrap/>
        <w:overflowPunct/>
        <w:topLinePunct w:val="0"/>
        <w:bidi w:val="0"/>
        <w:adjustRightInd/>
        <w:snapToGrid/>
        <w:spacing w:line="520" w:lineRule="exact"/>
        <w:ind w:firstLine="534" w:firstLineChars="0"/>
        <w:jc w:val="left"/>
        <w:textAlignment w:val="auto"/>
        <w:rPr>
          <w:rFonts w:hint="eastAsia" w:ascii="黑体" w:hAnsi="黑体" w:eastAsia="黑体" w:cs="黑体"/>
          <w:kern w:val="0"/>
          <w:sz w:val="30"/>
          <w:szCs w:val="30"/>
          <w:lang w:val="en-US" w:eastAsia="zh-CN" w:bidi="ar-SA"/>
        </w:rPr>
      </w:pPr>
      <w:r>
        <w:rPr>
          <w:rFonts w:hint="eastAsia" w:ascii="黑体" w:hAnsi="黑体" w:eastAsia="黑体" w:cs="黑体"/>
          <w:kern w:val="0"/>
          <w:sz w:val="30"/>
          <w:szCs w:val="30"/>
          <w:lang w:val="en-US" w:eastAsia="zh-CN" w:bidi="ar-SA"/>
        </w:rPr>
        <w:t>三、申报材料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ascii="仿宋" w:hAnsi="仿宋" w:eastAsia="仿宋"/>
          <w:sz w:val="30"/>
          <w:szCs w:val="30"/>
        </w:rPr>
        <w:t>不动产登记申请书</w:t>
      </w:r>
      <w:r>
        <w:rPr>
          <w:rFonts w:hint="eastAsia" w:ascii="仿宋" w:hAnsi="仿宋" w:eastAsia="仿宋"/>
          <w:sz w:val="30"/>
          <w:szCs w:val="30"/>
        </w:rPr>
        <w:t>（原件）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ascii="仿宋" w:hAnsi="仿宋" w:eastAsia="仿宋"/>
          <w:sz w:val="30"/>
          <w:szCs w:val="30"/>
        </w:rPr>
        <w:t>申请人身份证明</w:t>
      </w:r>
      <w:r>
        <w:rPr>
          <w:rFonts w:hint="eastAsia" w:ascii="仿宋" w:hAnsi="仿宋" w:eastAsia="仿宋"/>
          <w:sz w:val="30"/>
          <w:szCs w:val="30"/>
        </w:rPr>
        <w:t>（核对原件）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单位：①企业须提供《营业执照》(核对原件);②机关事业单位、社会团体等法人代表及非法人代表组织提交登记证照(核对原件)；③其他组织按照《国家发展改革委办公厅关于在办理相关业务中使用统一社会信用代码的通知》（发改办财金[2018]277号）提供身份材料，法人代表身份证明；如委托办理的，提供书面委托书原件1份、受托人身份证明（核对原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个人：申请人身份证明（核对原件）；如委托办理的，提供书面委托书原件1份（涉及个人出售、互换、份额约定等权利处分的委托书需经公证或到登记现场签订委托书）、受托人身份证明（核对原件）；限制民事行为能力人和无民事行为能力人必须由其监护人代理申请，提供的证明文件包括相关户口本、身份证、出生证明（核对原件）及承诺书（原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ascii="仿宋" w:hAnsi="仿宋" w:eastAsia="仿宋"/>
          <w:sz w:val="30"/>
          <w:szCs w:val="30"/>
        </w:rPr>
        <w:t>不动产权属证书</w:t>
      </w:r>
      <w:r>
        <w:rPr>
          <w:rFonts w:hint="eastAsia" w:ascii="仿宋" w:hAnsi="仿宋" w:eastAsia="仿宋"/>
          <w:sz w:val="30"/>
          <w:szCs w:val="30"/>
        </w:rPr>
        <w:t>（原件）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eastAsia="zh-CN"/>
        </w:rPr>
        <w:t>.</w:t>
      </w:r>
      <w:r>
        <w:rPr>
          <w:rFonts w:ascii="仿宋" w:hAnsi="仿宋" w:eastAsia="仿宋"/>
          <w:sz w:val="30"/>
          <w:szCs w:val="30"/>
        </w:rPr>
        <w:t>国有建设用地使用权转移的材料：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 xml:space="preserve">（1）买卖的，提交买卖合同；互换的，提交互换合同；赠与的，提交赠与合同； </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（2）因继承、受遗赠取得的，提交死亡证明、遗嘱、全部法定继承人的基 本情况以及与被继承人的亲属关系证明等，也可以提交经公证的材料或者生 效的法律文书；</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 xml:space="preserve">（3）作价出资（入股）的，提交作价出资（入股）协议； </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（4）法人或其他组织合并、分立导致权属发生转移的，提交法人或其他组织合并、分立的证明材料以及不动产权属转移的材料；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（5）法人或其他组织清算，对国有建设用地使用权进行处分的，提交成立清算组或者管理人的法院裁定书或者其他相关文件，以及买卖合同或转让合同；</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（6）共有人增加或者减少的，提交共有人增加或者减少的协议；共有份额变化的，提交份额转移协议；</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（7）分割、合并导致权属发生转移的，提交分割或合并协议书，或者记载有有关分割或合并内容的生效法律文书。实体分割或合并的，还应提交土地管理部门同意的批准文件；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（8）因人民法院、仲裁委员会的生效法律文书或人民政府行政决定导致权属发生变化的，提交人民法院、仲裁委员会的生效法律文书或人民政府生效行政决定书。</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（9）划转导致权属发生转移的，提交有批准权的人民政府的批准文件。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5</w:t>
      </w:r>
      <w:r>
        <w:rPr>
          <w:rFonts w:hint="eastAsia" w:ascii="仿宋" w:hAnsi="仿宋" w:eastAsia="仿宋"/>
          <w:sz w:val="30"/>
          <w:szCs w:val="30"/>
          <w:lang w:eastAsia="zh-CN"/>
        </w:rPr>
        <w:t>.</w:t>
      </w:r>
      <w:r>
        <w:rPr>
          <w:rFonts w:ascii="仿宋" w:hAnsi="仿宋" w:eastAsia="仿宋"/>
          <w:sz w:val="30"/>
          <w:szCs w:val="30"/>
        </w:rPr>
        <w:t>申请划拨取得国有建设用地使用权转移登记的，应当提交有批准权的人民政府的批准文件；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6</w:t>
      </w:r>
      <w:r>
        <w:rPr>
          <w:rFonts w:hint="eastAsia" w:ascii="仿宋" w:hAnsi="仿宋" w:eastAsia="仿宋"/>
          <w:sz w:val="30"/>
          <w:szCs w:val="30"/>
          <w:lang w:eastAsia="zh-CN"/>
        </w:rPr>
        <w:t>.</w:t>
      </w:r>
      <w:r>
        <w:rPr>
          <w:rFonts w:ascii="仿宋" w:hAnsi="仿宋" w:eastAsia="仿宋"/>
          <w:sz w:val="30"/>
          <w:szCs w:val="30"/>
        </w:rPr>
        <w:t xml:space="preserve">依法需要补交土地出让价款、缴纳税费的，应当提交缴清土地出让价款凭证、税费缴纳凭证； </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7</w:t>
      </w:r>
      <w:r>
        <w:rPr>
          <w:rFonts w:hint="eastAsia" w:ascii="仿宋" w:hAnsi="仿宋" w:eastAsia="仿宋"/>
          <w:sz w:val="30"/>
          <w:szCs w:val="30"/>
          <w:lang w:eastAsia="zh-CN"/>
        </w:rPr>
        <w:t>.</w:t>
      </w:r>
      <w:r>
        <w:rPr>
          <w:rFonts w:ascii="仿宋" w:hAnsi="仿宋" w:eastAsia="仿宋"/>
          <w:sz w:val="30"/>
          <w:szCs w:val="30"/>
        </w:rPr>
        <w:t>不动产权籍调查表、宗地图、宗地界址点坐标</w:t>
      </w:r>
      <w:r>
        <w:rPr>
          <w:rFonts w:hint="eastAsia" w:ascii="仿宋" w:hAnsi="仿宋" w:eastAsia="仿宋"/>
          <w:sz w:val="30"/>
          <w:szCs w:val="30"/>
        </w:rPr>
        <w:t>（原件）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涉及土地面积、界址状况变更或变化的，提交登记机构或不动产权籍管理部门审核通过的权籍调查表、宗地图 、宗地界址点坐标等。</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黑体" w:hAnsi="黑体" w:eastAsia="黑体" w:cs="黑体"/>
          <w:kern w:val="2"/>
          <w:sz w:val="30"/>
          <w:szCs w:val="30"/>
          <w:lang w:val="en-US" w:eastAsia="zh-CN" w:bidi="ar-SA"/>
        </w:rPr>
      </w:pPr>
      <w:r>
        <w:rPr>
          <w:rFonts w:hint="eastAsia" w:ascii="仿宋" w:hAnsi="仿宋" w:eastAsia="仿宋"/>
          <w:sz w:val="30"/>
          <w:szCs w:val="30"/>
        </w:rPr>
        <w:t>8</w:t>
      </w:r>
      <w:r>
        <w:rPr>
          <w:rFonts w:hint="eastAsia" w:ascii="仿宋" w:hAnsi="仿宋" w:eastAsia="仿宋"/>
          <w:sz w:val="30"/>
          <w:szCs w:val="30"/>
          <w:lang w:eastAsia="zh-CN"/>
        </w:rPr>
        <w:t>.</w:t>
      </w:r>
      <w:r>
        <w:rPr>
          <w:rFonts w:ascii="仿宋" w:hAnsi="仿宋" w:eastAsia="仿宋"/>
          <w:sz w:val="30"/>
          <w:szCs w:val="30"/>
        </w:rPr>
        <w:t>其他材料。</w:t>
      </w:r>
    </w:p>
    <w:p>
      <w:pPr>
        <w:keepNext w:val="0"/>
        <w:keepLines w:val="0"/>
        <w:pageBreakBefore w:val="0"/>
        <w:widowControl w:val="0"/>
        <w:numPr>
          <w:ilvl w:val="0"/>
          <w:numId w:val="0"/>
        </w:numPr>
        <w:kinsoku/>
        <w:wordWrap/>
        <w:overflowPunct/>
        <w:topLinePunct w:val="0"/>
        <w:bidi w:val="0"/>
        <w:adjustRightInd/>
        <w:snapToGrid/>
        <w:spacing w:line="520" w:lineRule="exact"/>
        <w:ind w:firstLine="534" w:firstLineChars="0"/>
        <w:jc w:val="left"/>
        <w:textAlignment w:val="auto"/>
        <w:rPr>
          <w:rFonts w:hint="eastAsia" w:ascii="黑体" w:hAnsi="黑体" w:eastAsia="黑体" w:cs="黑体"/>
          <w:kern w:val="0"/>
          <w:sz w:val="30"/>
          <w:szCs w:val="30"/>
          <w:lang w:val="en-US" w:eastAsia="zh-CN" w:bidi="ar-SA"/>
        </w:rPr>
      </w:pPr>
      <w:r>
        <w:rPr>
          <w:rFonts w:hint="eastAsia" w:ascii="黑体" w:hAnsi="黑体" w:eastAsia="黑体" w:cs="黑体"/>
          <w:kern w:val="0"/>
          <w:sz w:val="30"/>
          <w:szCs w:val="30"/>
          <w:lang w:val="en-US" w:eastAsia="zh-CN" w:bidi="ar-SA"/>
        </w:rPr>
        <w:t>四、办理流程</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hint="default" w:ascii="黑体" w:hAnsi="黑体" w:eastAsia="仿宋" w:cs="黑体"/>
          <w:kern w:val="2"/>
          <w:sz w:val="30"/>
          <w:szCs w:val="30"/>
          <w:lang w:val="en-US" w:eastAsia="zh-CN" w:bidi="ar-SA"/>
        </w:rPr>
      </w:pPr>
      <w:r>
        <w:rPr>
          <w:rFonts w:hint="eastAsia" w:ascii="仿宋" w:hAnsi="仿宋" w:eastAsia="仿宋" w:cs="宋体"/>
          <w:color w:val="000000"/>
          <w:spacing w:val="-8"/>
          <w:kern w:val="0"/>
          <w:sz w:val="30"/>
          <w:szCs w:val="30"/>
        </w:rPr>
        <w:t>申请受理—审核登簿缮证</w:t>
      </w:r>
      <w:r>
        <w:rPr>
          <w:rFonts w:hint="eastAsia" w:ascii="仿宋" w:hAnsi="仿宋" w:eastAsia="仿宋" w:cs="宋体"/>
          <w:color w:val="000000"/>
          <w:spacing w:val="-8"/>
          <w:kern w:val="0"/>
          <w:sz w:val="30"/>
          <w:szCs w:val="30"/>
          <w:lang w:val="en-US" w:eastAsia="zh-CN"/>
        </w:rPr>
        <w:t xml:space="preserve"> 。              </w:t>
      </w:r>
    </w:p>
    <w:p>
      <w:pPr>
        <w:keepNext w:val="0"/>
        <w:keepLines w:val="0"/>
        <w:pageBreakBefore w:val="0"/>
        <w:widowControl w:val="0"/>
        <w:numPr>
          <w:ilvl w:val="0"/>
          <w:numId w:val="0"/>
        </w:numPr>
        <w:kinsoku/>
        <w:wordWrap/>
        <w:overflowPunct/>
        <w:topLinePunct w:val="0"/>
        <w:bidi w:val="0"/>
        <w:adjustRightInd/>
        <w:snapToGrid/>
        <w:spacing w:line="520" w:lineRule="exact"/>
        <w:ind w:firstLine="534" w:firstLineChars="0"/>
        <w:jc w:val="left"/>
        <w:textAlignment w:val="auto"/>
        <w:rPr>
          <w:rFonts w:hint="eastAsia" w:ascii="黑体" w:hAnsi="黑体" w:eastAsia="黑体" w:cs="黑体"/>
          <w:kern w:val="0"/>
          <w:sz w:val="30"/>
          <w:szCs w:val="30"/>
          <w:lang w:val="en-US" w:eastAsia="zh-CN" w:bidi="ar-SA"/>
        </w:rPr>
      </w:pPr>
      <w:r>
        <w:rPr>
          <w:rFonts w:hint="eastAsia" w:ascii="黑体" w:hAnsi="黑体" w:eastAsia="黑体" w:cs="黑体"/>
          <w:kern w:val="0"/>
          <w:sz w:val="30"/>
          <w:szCs w:val="30"/>
          <w:lang w:val="en-US" w:eastAsia="zh-CN" w:bidi="ar-SA"/>
        </w:rPr>
        <w:t>五、收费标准</w:t>
      </w:r>
    </w:p>
    <w:p>
      <w:pPr>
        <w:keepNext w:val="0"/>
        <w:keepLines w:val="0"/>
        <w:pageBreakBefore w:val="0"/>
        <w:widowControl/>
        <w:kinsoku/>
        <w:wordWrap/>
        <w:overflowPunct/>
        <w:topLinePunct w:val="0"/>
        <w:bidi w:val="0"/>
        <w:adjustRightInd/>
        <w:snapToGrid/>
        <w:spacing w:line="520" w:lineRule="exact"/>
        <w:ind w:firstLine="600" w:firstLineChars="200"/>
        <w:jc w:val="left"/>
        <w:textAlignment w:val="auto"/>
        <w:rPr>
          <w:rFonts w:hint="eastAsia" w:ascii="仿宋" w:hAnsi="仿宋" w:eastAsia="仿宋" w:cs="Times New Roman"/>
          <w:kern w:val="0"/>
          <w:sz w:val="30"/>
          <w:szCs w:val="30"/>
          <w:lang w:val="en-US" w:eastAsia="zh-CN" w:bidi="ar-SA"/>
        </w:rPr>
      </w:pPr>
      <w:r>
        <w:rPr>
          <w:rFonts w:hint="eastAsia" w:ascii="仿宋" w:hAnsi="仿宋" w:eastAsia="仿宋" w:cs="仿宋"/>
          <w:sz w:val="30"/>
          <w:szCs w:val="30"/>
        </w:rPr>
        <w:t>550元/件</w:t>
      </w:r>
      <w:r>
        <w:rPr>
          <w:rFonts w:hint="eastAsia" w:ascii="仿宋" w:hAnsi="仿宋" w:eastAsia="仿宋" w:cs="仿宋"/>
          <w:sz w:val="30"/>
          <w:szCs w:val="30"/>
          <w:lang w:eastAsia="zh-CN"/>
        </w:rPr>
        <w:t>，</w:t>
      </w:r>
      <w:r>
        <w:rPr>
          <w:rFonts w:hint="eastAsia" w:ascii="仿宋" w:hAnsi="仿宋" w:eastAsia="仿宋" w:cs="仿宋"/>
          <w:sz w:val="30"/>
          <w:szCs w:val="30"/>
        </w:rPr>
        <w:t>对涉企不动产登记业务实行“零收费”（不含房地产</w:t>
      </w:r>
      <w:r>
        <w:rPr>
          <w:rFonts w:hint="eastAsia" w:ascii="仿宋" w:hAnsi="仿宋" w:eastAsia="仿宋" w:cs="Times New Roman"/>
          <w:kern w:val="0"/>
          <w:sz w:val="30"/>
          <w:szCs w:val="30"/>
          <w:lang w:val="en-US" w:eastAsia="zh-CN" w:bidi="ar-SA"/>
        </w:rPr>
        <w:t>开发及金融机构）。</w:t>
      </w:r>
    </w:p>
    <w:p>
      <w:pPr>
        <w:keepNext w:val="0"/>
        <w:keepLines w:val="0"/>
        <w:pageBreakBefore w:val="0"/>
        <w:widowControl w:val="0"/>
        <w:numPr>
          <w:ilvl w:val="0"/>
          <w:numId w:val="0"/>
        </w:numPr>
        <w:kinsoku/>
        <w:wordWrap/>
        <w:overflowPunct/>
        <w:topLinePunct w:val="0"/>
        <w:bidi w:val="0"/>
        <w:adjustRightInd/>
        <w:snapToGrid/>
        <w:spacing w:line="520" w:lineRule="exact"/>
        <w:ind w:firstLine="534" w:firstLineChars="0"/>
        <w:jc w:val="left"/>
        <w:textAlignment w:val="auto"/>
        <w:rPr>
          <w:rFonts w:hint="eastAsia" w:ascii="黑体" w:hAnsi="黑体" w:eastAsia="黑体" w:cs="黑体"/>
          <w:kern w:val="0"/>
          <w:sz w:val="30"/>
          <w:szCs w:val="30"/>
          <w:lang w:val="en-US" w:eastAsia="zh-CN" w:bidi="ar-SA"/>
        </w:rPr>
      </w:pPr>
      <w:r>
        <w:rPr>
          <w:rFonts w:hint="eastAsia" w:ascii="黑体" w:hAnsi="黑体" w:eastAsia="黑体" w:cs="黑体"/>
          <w:kern w:val="0"/>
          <w:sz w:val="30"/>
          <w:szCs w:val="30"/>
          <w:lang w:val="en-US" w:eastAsia="zh-CN" w:bidi="ar-SA"/>
        </w:rPr>
        <w:t>六、办事时限</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1小时内办结。</w:t>
      </w:r>
    </w:p>
    <w:p>
      <w:pPr>
        <w:keepNext w:val="0"/>
        <w:keepLines w:val="0"/>
        <w:pageBreakBefore w:val="0"/>
        <w:widowControl w:val="0"/>
        <w:numPr>
          <w:ilvl w:val="0"/>
          <w:numId w:val="0"/>
        </w:numPr>
        <w:kinsoku/>
        <w:wordWrap/>
        <w:overflowPunct/>
        <w:topLinePunct w:val="0"/>
        <w:bidi w:val="0"/>
        <w:adjustRightInd/>
        <w:snapToGrid/>
        <w:spacing w:line="520" w:lineRule="exact"/>
        <w:ind w:firstLine="534" w:firstLineChars="0"/>
        <w:jc w:val="left"/>
        <w:textAlignment w:val="auto"/>
        <w:rPr>
          <w:rFonts w:hint="eastAsia" w:ascii="黑体" w:hAnsi="黑体" w:eastAsia="黑体" w:cs="黑体"/>
          <w:kern w:val="0"/>
          <w:sz w:val="30"/>
          <w:szCs w:val="30"/>
          <w:lang w:val="en-US" w:eastAsia="zh-CN" w:bidi="ar-SA"/>
        </w:rPr>
      </w:pPr>
      <w:r>
        <w:rPr>
          <w:rFonts w:hint="eastAsia" w:ascii="黑体" w:hAnsi="黑体" w:eastAsia="黑体" w:cs="黑体"/>
          <w:kern w:val="0"/>
          <w:sz w:val="30"/>
          <w:szCs w:val="30"/>
          <w:lang w:val="en-US" w:eastAsia="zh-CN" w:bidi="ar-SA"/>
        </w:rPr>
        <w:t>七、办理机构及地点</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（一）窗口办理地址</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九江市柴桑区行政审批局一楼不动产登记大厅窗口（柴桑区渊明大道6号）。</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（二）网上办理网址</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fldChar w:fldCharType="begin"/>
      </w:r>
      <w:r>
        <w:rPr>
          <w:rFonts w:hint="eastAsia" w:ascii="仿宋" w:hAnsi="仿宋" w:eastAsia="仿宋"/>
          <w:sz w:val="30"/>
          <w:szCs w:val="30"/>
          <w:lang w:val="en-US" w:eastAsia="zh-CN"/>
        </w:rPr>
        <w:instrText xml:space="preserve"> HYPERLINK "http://bdcdj.jiujiang.gov.cn/" </w:instrText>
      </w:r>
      <w:r>
        <w:rPr>
          <w:rFonts w:hint="eastAsia" w:ascii="仿宋" w:hAnsi="仿宋" w:eastAsia="仿宋"/>
          <w:sz w:val="30"/>
          <w:szCs w:val="30"/>
          <w:lang w:val="en-US" w:eastAsia="zh-CN"/>
        </w:rPr>
        <w:fldChar w:fldCharType="separate"/>
      </w:r>
      <w:r>
        <w:rPr>
          <w:rFonts w:hint="eastAsia" w:ascii="仿宋" w:hAnsi="仿宋" w:eastAsia="仿宋"/>
          <w:sz w:val="30"/>
          <w:szCs w:val="30"/>
          <w:lang w:val="en-US" w:eastAsia="zh-CN"/>
        </w:rPr>
        <w:t>http://bdcdj.jiujiang.gov.cn/</w:t>
      </w:r>
      <w:r>
        <w:rPr>
          <w:rFonts w:hint="eastAsia" w:ascii="仿宋" w:hAnsi="仿宋" w:eastAsia="仿宋"/>
          <w:sz w:val="30"/>
          <w:szCs w:val="30"/>
          <w:lang w:val="en-US" w:eastAsia="zh-CN"/>
        </w:rPr>
        <w:fldChar w:fldCharType="end"/>
      </w:r>
      <w:r>
        <w:rPr>
          <w:rFonts w:hint="eastAsia" w:ascii="仿宋" w:hAnsi="仿宋" w:eastAsia="仿宋"/>
          <w:sz w:val="30"/>
          <w:szCs w:val="30"/>
          <w:lang w:val="en-US" w:eastAsia="zh-CN"/>
        </w:rPr>
        <w:t>（申请人网上申请，不动产登记机构线上审核并办结，实现一次不跑）。</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九、联系方式</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咨询电话：18172922353</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投诉电话：0792－6823110</w:t>
      </w:r>
    </w:p>
    <w:p>
      <w:pPr>
        <w:pStyle w:val="8"/>
        <w:spacing w:line="480" w:lineRule="exact"/>
        <w:ind w:firstLine="560"/>
        <w:rPr>
          <w:rFonts w:hint="default" w:ascii="仿宋" w:hAnsi="仿宋" w:eastAsia="仿宋"/>
          <w:sz w:val="28"/>
          <w:szCs w:val="28"/>
          <w:lang w:val="en-US" w:eastAsia="zh-CN"/>
        </w:rPr>
      </w:pPr>
    </w:p>
    <w:p>
      <w:pPr>
        <w:keepNext w:val="0"/>
        <w:keepLines w:val="0"/>
        <w:pageBreakBefore w:val="0"/>
        <w:kinsoku/>
        <w:wordWrap/>
        <w:overflowPunct/>
        <w:topLinePunct w:val="0"/>
        <w:bidi w:val="0"/>
        <w:adjustRightInd/>
        <w:snapToGrid/>
        <w:ind w:firstLine="420" w:firstLineChars="200"/>
        <w:jc w:val="left"/>
        <w:textAlignment w:val="auto"/>
        <w:rPr>
          <w:rFonts w:hint="default"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WRhZjdlZTMwYTIzOTI4OTNiMzZmYjE0NDg2NzEifQ=="/>
  </w:docVars>
  <w:rsids>
    <w:rsidRoot w:val="5C8F6A0E"/>
    <w:rsid w:val="0A1F2487"/>
    <w:rsid w:val="0BE026AE"/>
    <w:rsid w:val="0C7E0526"/>
    <w:rsid w:val="119D0B7F"/>
    <w:rsid w:val="1218482D"/>
    <w:rsid w:val="16493207"/>
    <w:rsid w:val="1D7214A4"/>
    <w:rsid w:val="21823A71"/>
    <w:rsid w:val="22743539"/>
    <w:rsid w:val="26475E55"/>
    <w:rsid w:val="2CB6241A"/>
    <w:rsid w:val="2EBE07DF"/>
    <w:rsid w:val="33840FEF"/>
    <w:rsid w:val="34583ED8"/>
    <w:rsid w:val="4212780E"/>
    <w:rsid w:val="43D74F5C"/>
    <w:rsid w:val="45C1250B"/>
    <w:rsid w:val="46AE6F3B"/>
    <w:rsid w:val="49172B6D"/>
    <w:rsid w:val="4BFD4C09"/>
    <w:rsid w:val="4D433896"/>
    <w:rsid w:val="51D539E8"/>
    <w:rsid w:val="526E06BD"/>
    <w:rsid w:val="54661CE6"/>
    <w:rsid w:val="549A7091"/>
    <w:rsid w:val="55624727"/>
    <w:rsid w:val="56B7174F"/>
    <w:rsid w:val="5C8F6A0E"/>
    <w:rsid w:val="617701F5"/>
    <w:rsid w:val="62925384"/>
    <w:rsid w:val="65CD0E87"/>
    <w:rsid w:val="677B0314"/>
    <w:rsid w:val="6F8917A1"/>
    <w:rsid w:val="70C073D3"/>
    <w:rsid w:val="71B608C6"/>
    <w:rsid w:val="7DF32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after="60"/>
      <w:jc w:val="center"/>
      <w:outlineLvl w:val="0"/>
    </w:pPr>
    <w:rPr>
      <w:rFonts w:asciiTheme="majorHAnsi" w:hAnsiTheme="majorHAnsi" w:eastAsiaTheme="majorEastAsia" w:cstheme="majorBidi"/>
      <w:b/>
      <w:bCs/>
      <w:sz w:val="44"/>
      <w:szCs w:val="32"/>
    </w:rPr>
  </w:style>
  <w:style w:type="character" w:styleId="7">
    <w:name w:val="Hyperlink"/>
    <w:qFormat/>
    <w:uiPriority w:val="99"/>
    <w:rPr>
      <w:color w:val="0000FF"/>
      <w:spacing w:val="0"/>
      <w:w w:val="100"/>
      <w:szCs w:val="21"/>
      <w:u w:val="single"/>
      <w:lang w:val="en-US" w:eastAsia="zh-CN"/>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1524</Words>
  <Characters>1608</Characters>
  <Lines>0</Lines>
  <Paragraphs>0</Paragraphs>
  <TotalTime>5</TotalTime>
  <ScaleCrop>false</ScaleCrop>
  <LinksUpToDate>false</LinksUpToDate>
  <CharactersWithSpaces>1633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2021-08-25T07:28:00Z</dcterms:created>
  <dc:creator>Administrator</dc:creator>
  <cp:lastModifiedBy>秋风若寒</cp:lastModifiedBy>
  <dcterms:modified xsi:type="dcterms:W3CDTF">2023-02-09T06:30:07Z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EF8F8E268A344FB6B5E03F7E53280749</vt:lpwstr>
  </property>
</Properties>
</file>