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bookmarkStart w:id="0" w:name="_Toc61423257"/>
      <w:r>
        <w:t>国有建设用地使用权及房屋所有权</w:t>
      </w:r>
      <w:bookmarkStart w:id="1" w:name="_Toc448911505"/>
      <w:bookmarkStart w:id="2" w:name="_Toc451780695"/>
      <w:bookmarkStart w:id="3" w:name="_Toc54536922"/>
      <w:bookmarkStart w:id="4" w:name="_Toc54539710"/>
      <w:bookmarkStart w:id="5" w:name="_Toc54537582"/>
      <w:bookmarkStart w:id="6" w:name="_Toc54537265"/>
    </w:p>
    <w:p>
      <w:pPr>
        <w:pStyle w:val="4"/>
        <w:jc w:val="center"/>
        <w:rPr>
          <w:rFonts w:hint="eastAsia" w:ascii="仿宋" w:hAnsi="仿宋" w:eastAsia="仿宋" w:cs="Times New Roman"/>
          <w:sz w:val="28"/>
          <w:szCs w:val="28"/>
          <w:lang w:val="en-US" w:eastAsia="zh-CN"/>
        </w:rPr>
      </w:pPr>
      <w:r>
        <w:t>转移登记</w:t>
      </w:r>
      <w:bookmarkEnd w:id="1"/>
      <w:bookmarkEnd w:id="2"/>
      <w:r>
        <w:rPr>
          <w:rFonts w:hint="eastAsia"/>
        </w:rPr>
        <w:t>（十）</w:t>
      </w:r>
      <w:bookmarkEnd w:id="0"/>
      <w:bookmarkEnd w:id="3"/>
      <w:bookmarkEnd w:id="4"/>
      <w:bookmarkEnd w:id="5"/>
      <w:bookmarkEnd w:id="6"/>
    </w:p>
    <w:p>
      <w:pPr>
        <w:tabs>
          <w:tab w:val="left" w:pos="1393"/>
        </w:tabs>
        <w:ind w:firstLine="280" w:firstLineChars="100"/>
        <w:jc w:val="both"/>
        <w:rPr>
          <w:rFonts w:hint="eastAsia"/>
          <w:sz w:val="28"/>
          <w:szCs w:val="28"/>
          <w:lang w:val="en-US" w:eastAsia="zh-CN"/>
        </w:rPr>
      </w:pPr>
    </w:p>
    <w:p>
      <w:pPr>
        <w:jc w:val="center"/>
        <w:rPr>
          <w:rFonts w:hint="eastAsia" w:cs="黑体"/>
          <w:kern w:val="2"/>
          <w:sz w:val="21"/>
          <w:szCs w:val="24"/>
          <w:lang w:val="en-US" w:eastAsia="zh-CN" w:bidi="ar-SA"/>
        </w:rPr>
      </w:pPr>
      <w:r>
        <w:rPr>
          <w:rFonts w:hint="eastAsia" w:cs="黑体"/>
          <w:kern w:val="2"/>
          <w:sz w:val="21"/>
          <w:szCs w:val="24"/>
          <w:lang w:val="en-US" w:eastAsia="zh-CN" w:bidi="ar-SA"/>
        </w:rPr>
        <w:t xml:space="preserve">承办单位：九江市不动产登记中心柴桑区分中心窗口 </w:t>
      </w: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default" w:cs="黑体"/>
          <w:kern w:val="2"/>
          <w:sz w:val="21"/>
          <w:szCs w:val="24"/>
          <w:lang w:val="en-US" w:eastAsia="zh-CN" w:bidi="ar-SA"/>
        </w:rPr>
      </w:pP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rPr>
          <w:rFonts w:hint="default"/>
          <w:sz w:val="24"/>
          <w:szCs w:val="24"/>
          <w:lang w:val="en-US" w:eastAsia="zh-CN"/>
        </w:rPr>
      </w:pPr>
    </w:p>
    <w:p>
      <w:pPr>
        <w:tabs>
          <w:tab w:val="left" w:pos="1393"/>
        </w:tabs>
        <w:jc w:val="left"/>
        <w:rPr>
          <w:rFonts w:hint="eastAsia"/>
          <w:sz w:val="24"/>
          <w:szCs w:val="24"/>
          <w:lang w:val="en-US" w:eastAsia="zh-CN"/>
        </w:rPr>
      </w:pPr>
      <w:r>
        <w:rPr>
          <w:rFonts w:hint="eastAsia"/>
          <w:sz w:val="24"/>
          <w:szCs w:val="24"/>
          <w:lang w:val="en-US" w:eastAsia="zh-CN"/>
        </w:rPr>
        <w:tab/>
      </w: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center"/>
        <w:rPr>
          <w:rFonts w:hint="eastAsia" w:ascii="Calibri" w:hAnsi="Calibri" w:eastAsia="宋体" w:cs="黑体"/>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jc w:val="center"/>
        <w:rPr>
          <w:rFonts w:hint="default" w:ascii="Calibri" w:hAnsi="Calibri" w:eastAsia="宋体" w:cs="黑体"/>
          <w:kern w:val="2"/>
          <w:sz w:val="24"/>
          <w:szCs w:val="24"/>
          <w:lang w:val="en-US" w:eastAsia="zh-CN" w:bidi="ar-SA"/>
        </w:rPr>
      </w:pPr>
    </w:p>
    <w:p>
      <w:pPr>
        <w:jc w:val="center"/>
        <w:rPr>
          <w:rFonts w:hint="default" w:ascii="Calibri" w:hAnsi="Calibri" w:eastAsia="宋体" w:cs="黑体"/>
          <w:kern w:val="2"/>
          <w:sz w:val="24"/>
          <w:szCs w:val="24"/>
          <w:lang w:val="en-US" w:eastAsia="zh-CN" w:bidi="ar-SA"/>
        </w:rPr>
      </w:pPr>
    </w:p>
    <w:p>
      <w:pPr>
        <w:jc w:val="center"/>
        <w:rPr>
          <w:rFonts w:hint="default" w:ascii="Calibri" w:hAnsi="Calibri" w:eastAsia="宋体" w:cs="黑体"/>
          <w:kern w:val="2"/>
          <w:sz w:val="24"/>
          <w:szCs w:val="24"/>
          <w:lang w:val="en-US" w:eastAsia="zh-CN" w:bidi="ar-SA"/>
        </w:rPr>
      </w:pPr>
    </w:p>
    <w:p>
      <w:pPr>
        <w:jc w:val="center"/>
        <w:rPr>
          <w:rFonts w:hint="default" w:ascii="Calibri" w:hAnsi="Calibri" w:eastAsia="宋体" w:cs="黑体"/>
          <w:kern w:val="2"/>
          <w:sz w:val="24"/>
          <w:szCs w:val="24"/>
          <w:lang w:val="en-US" w:eastAsia="zh-CN" w:bidi="ar-SA"/>
        </w:rPr>
      </w:pPr>
    </w:p>
    <w:p>
      <w:pPr>
        <w:tabs>
          <w:tab w:val="left" w:pos="1243"/>
        </w:tabs>
        <w:jc w:val="center"/>
        <w:rPr>
          <w:rFonts w:ascii="Calibri Light" w:hAnsi="Calibri Light" w:eastAsia="宋体" w:cs="黑体"/>
          <w:b/>
          <w:bCs/>
          <w:kern w:val="2"/>
          <w:sz w:val="48"/>
          <w:szCs w:val="48"/>
          <w:lang w:val="en-US" w:eastAsia="zh-CN" w:bidi="ar-SA"/>
        </w:rPr>
      </w:pPr>
      <w:r>
        <w:rPr>
          <w:rFonts w:ascii="Calibri Light" w:hAnsi="Calibri Light" w:eastAsia="宋体" w:cs="黑体"/>
          <w:b/>
          <w:bCs/>
          <w:kern w:val="2"/>
          <w:sz w:val="48"/>
          <w:szCs w:val="48"/>
          <w:lang w:val="en-US" w:eastAsia="zh-CN" w:bidi="ar-SA"/>
        </w:rPr>
        <w:t>国有建设用地使用权及房屋所有权</w:t>
      </w:r>
    </w:p>
    <w:p>
      <w:pPr>
        <w:tabs>
          <w:tab w:val="left" w:pos="1243"/>
        </w:tabs>
        <w:jc w:val="center"/>
        <w:rPr>
          <w:rFonts w:hint="eastAsia" w:ascii="Calibri Light" w:hAnsi="Calibri Light" w:eastAsia="宋体" w:cs="黑体"/>
          <w:b/>
          <w:bCs/>
          <w:kern w:val="2"/>
          <w:sz w:val="48"/>
          <w:szCs w:val="48"/>
          <w:lang w:val="en-US" w:eastAsia="zh-CN" w:bidi="ar-SA"/>
        </w:rPr>
      </w:pPr>
      <w:r>
        <w:rPr>
          <w:rFonts w:ascii="Calibri Light" w:hAnsi="Calibri Light" w:eastAsia="宋体" w:cs="黑体"/>
          <w:b/>
          <w:bCs/>
          <w:kern w:val="2"/>
          <w:sz w:val="48"/>
          <w:szCs w:val="48"/>
          <w:lang w:val="en-US" w:eastAsia="zh-CN" w:bidi="ar-SA"/>
        </w:rPr>
        <w:t>转移登记</w:t>
      </w:r>
      <w:r>
        <w:rPr>
          <w:rFonts w:hint="eastAsia" w:ascii="Calibri Light" w:hAnsi="Calibri Light" w:cs="黑体"/>
          <w:b/>
          <w:bCs/>
          <w:kern w:val="2"/>
          <w:sz w:val="48"/>
          <w:szCs w:val="48"/>
          <w:lang w:val="en-US" w:eastAsia="zh-CN" w:bidi="ar-SA"/>
        </w:rPr>
        <w:t>办事</w:t>
      </w:r>
      <w:r>
        <w:rPr>
          <w:rFonts w:hint="eastAsia" w:ascii="Calibri Light" w:hAnsi="Calibri Light" w:eastAsia="宋体" w:cs="黑体"/>
          <w:b/>
          <w:bCs/>
          <w:kern w:val="2"/>
          <w:sz w:val="48"/>
          <w:szCs w:val="48"/>
          <w:lang w:val="en-US" w:eastAsia="zh-CN" w:bidi="ar-SA"/>
        </w:rPr>
        <w:t>指南</w:t>
      </w:r>
    </w:p>
    <w:p>
      <w:pPr>
        <w:tabs>
          <w:tab w:val="left" w:pos="1243"/>
        </w:tabs>
        <w:wordWrap/>
        <w:adjustRightInd/>
        <w:snapToGrid/>
        <w:jc w:val="center"/>
        <w:textAlignment w:val="auto"/>
        <w:rPr>
          <w:rFonts w:hint="eastAsia"/>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已经登记的国有建设用地使用权及房屋所有权，因下列情形导致权属发生转移的，当事人可以申请转移登记。国有建设用地使用权转移的，其范围内的房屋所有权一并转移；房屋所有权转移，其范围内的国有建设用地使用权一并转移。</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1）单位：①企业须提供《营业执照》(核对原件);②机关事业单位、社会团体等法人代表及非法人代表组织提交登记证照(核对原件)；③其他组织按照《国家发展改革委办公厅关于在办理相关业务中使用统一社会信用代码的通知》（发改办财金[2018]277号）提供身份材料，法人代表身份证明；如委托办理的，提供书面委托书原件1份、受托人身份证明（核对原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2）个人：申请人身份证明（核对原件）；如委托办理的，提供书面委托书原件1份（涉及个人出售、互换、份额约定等权利处分的委托书需经公证或到登记现场签订委托书）、受托人身份证明（核对原件）；限制民事行为能力人和无民事行为能力人必须由其监护人代理申请，提供的证明文件包括相关户口本、身份证、出生证明（核对原件）及承诺书（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权属证明材料（原件）</w:t>
      </w:r>
      <w:r>
        <w:rPr>
          <w:rFonts w:ascii="仿宋" w:hAnsi="仿宋" w:eastAsia="仿宋"/>
          <w:sz w:val="30"/>
          <w:szCs w:val="30"/>
        </w:rPr>
        <w:t xml:space="preserve">；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不动产权属证书；已经办理预告登记的，还应当提交不动产登记证明。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产权转移材料（原件）；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（1）买卖的，提交买卖合同；互换的，提交互换协议；赠与的，提交赠与合同；</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（2）因继承、受遗赠取得的，提交死亡证明、遗嘱、全部法定继承人的基本情况以及与被继承人的亲属关系证明等，也可以提交经公证的材料或者生效的法律文书；</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 xml:space="preserve">（3）作价出资（入股）的，提交作价出资（入股）协议； </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（4）法人或其他组织合并、分立导致权属发生转移的，提交法人或其他组织合并、分立的证明材料以及不动产权属转移的材料；</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（5）共有人增加或者减少的，提交共有人增加或者减少的协议；共有份额变化的，提交份额转移协议；</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（6）不动产分割、合并导致权属发生转移的，提交分割或合并协议书，或者记载有关分割或合并内容的生效法律文书。实体分割或合并的，还应提交国土、规划等部门同意实体分割或合并的批准文件；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（7）因人民法院、仲裁委员会的生效法律文书或人民政府的生效决定书导致权属发生变化的，提交人民法院、仲裁委员会的生效法律文书或人民政府的生效决定书；</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（8）划转、调拨、移交等情形导致权属发生转移的，提交有权部门做出的划拨、调拨、移交批准文件。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（9）保留划拨性质的批准文件。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hint="eastAsia" w:ascii="仿宋" w:hAnsi="仿宋" w:eastAsia="仿宋"/>
          <w:sz w:val="30"/>
          <w:szCs w:val="30"/>
        </w:rPr>
        <w:t>权籍调查成果（原件）；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不动产面积、空间界线发生改变的，提交登记机构或不动产权籍管理部门审核通过的权籍调查表、宗地图、宗地界址点坐标等。</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hint="eastAsia" w:ascii="仿宋" w:hAnsi="仿宋" w:eastAsia="仿宋"/>
          <w:sz w:val="30"/>
          <w:szCs w:val="30"/>
        </w:rPr>
        <w:t>税费缴纳凭证（原件或经确认的复印件）；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依法需要补交土地出让价款、缴纳税费的，应当提交土地出让价款缴纳凭证、税费缴纳凭证。</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仿宋" w:hAnsi="仿宋" w:eastAsia="仿宋"/>
          <w:sz w:val="30"/>
          <w:szCs w:val="30"/>
        </w:rPr>
        <w:t>7</w:t>
      </w:r>
      <w:r>
        <w:rPr>
          <w:rFonts w:hint="eastAsia" w:ascii="仿宋" w:hAnsi="仿宋" w:eastAsia="仿宋"/>
          <w:sz w:val="30"/>
          <w:szCs w:val="30"/>
          <w:lang w:eastAsia="zh-CN"/>
        </w:rPr>
        <w:t>.</w:t>
      </w:r>
      <w:r>
        <w:rPr>
          <w:rFonts w:ascii="仿宋" w:hAnsi="仿宋" w:eastAsia="仿宋"/>
          <w:sz w:val="30"/>
          <w:szCs w:val="30"/>
        </w:rPr>
        <w:t>其他材料。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_GB2312" w:hAnsi="仿宋_GB2312" w:eastAsia="仿宋_GB2312" w:cs="仿宋_GB2312"/>
          <w:i w:val="0"/>
          <w:iCs w:val="0"/>
          <w:caps w:val="0"/>
          <w:color w:val="000000"/>
          <w:spacing w:val="0"/>
          <w:kern w:val="2"/>
          <w:sz w:val="30"/>
          <w:szCs w:val="30"/>
          <w:lang w:val="en-US" w:eastAsia="zh-CN" w:bidi="ar-SA"/>
        </w:rPr>
      </w:pPr>
      <w:r>
        <w:rPr>
          <w:rFonts w:hint="eastAsia" w:ascii="仿宋_GB2312" w:hAnsi="仿宋_GB2312" w:eastAsia="仿宋_GB2312" w:cs="仿宋_GB2312"/>
          <w:i w:val="0"/>
          <w:iCs w:val="0"/>
          <w:caps w:val="0"/>
          <w:color w:val="000000"/>
          <w:spacing w:val="0"/>
          <w:kern w:val="2"/>
          <w:sz w:val="30"/>
          <w:szCs w:val="30"/>
          <w:lang w:val="en-US" w:eastAsia="zh-CN" w:bidi="ar-SA"/>
        </w:rPr>
        <w:t>申请受理—审核登簿缮证。</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住宅类80元/件,非住宅类550元/件</w:t>
      </w:r>
      <w:r>
        <w:rPr>
          <w:rFonts w:hint="eastAsia" w:ascii="仿宋" w:hAnsi="仿宋" w:eastAsia="仿宋" w:cs="仿宋"/>
          <w:sz w:val="30"/>
          <w:szCs w:val="30"/>
          <w:lang w:eastAsia="zh-CN"/>
        </w:rPr>
        <w:t>，</w:t>
      </w:r>
      <w:r>
        <w:rPr>
          <w:rFonts w:hint="eastAsia" w:ascii="仿宋" w:hAnsi="仿宋" w:eastAsia="仿宋" w:cs="仿宋"/>
          <w:sz w:val="30"/>
          <w:szCs w:val="30"/>
        </w:rPr>
        <w:t>对涉企不动产登记业务实行“零收费”（不含房地产开发及金融机构）</w:t>
      </w:r>
      <w:r>
        <w:rPr>
          <w:rFonts w:hint="eastAsia" w:ascii="仿宋" w:hAnsi="仿宋" w:eastAsia="仿宋" w:cs="仿宋"/>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六、办事时限</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1个小时内办结。</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七、办公时间</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09：00-17:00（节假日正常办理登记业务）。</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九江市柴桑区行政审批局一楼不动产登记大厅窗口</w:t>
      </w:r>
      <w:bookmarkStart w:id="7" w:name="_GoBack"/>
      <w:bookmarkEnd w:id="7"/>
      <w:r>
        <w:rPr>
          <w:rFonts w:hint="eastAsia" w:ascii="仿宋" w:hAnsi="仿宋" w:eastAsia="仿宋" w:cs="仿宋"/>
          <w:kern w:val="2"/>
          <w:sz w:val="30"/>
          <w:szCs w:val="30"/>
          <w:lang w:val="en-US" w:eastAsia="zh-CN" w:bidi="ar-SA"/>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fldChar w:fldCharType="begin"/>
      </w:r>
      <w:r>
        <w:rPr>
          <w:rFonts w:hint="eastAsia" w:ascii="仿宋" w:hAnsi="仿宋" w:eastAsia="仿宋" w:cs="仿宋"/>
          <w:kern w:val="2"/>
          <w:sz w:val="30"/>
          <w:szCs w:val="30"/>
          <w:lang w:val="en-US" w:eastAsia="zh-CN" w:bidi="ar-SA"/>
        </w:rPr>
        <w:instrText xml:space="preserve"> HYPERLINK "http://bdcdj.jiujiang.gov.cn/" </w:instrText>
      </w:r>
      <w:r>
        <w:rPr>
          <w:rFonts w:hint="eastAsia" w:ascii="仿宋" w:hAnsi="仿宋" w:eastAsia="仿宋" w:cs="仿宋"/>
          <w:kern w:val="2"/>
          <w:sz w:val="30"/>
          <w:szCs w:val="30"/>
          <w:lang w:val="en-US" w:eastAsia="zh-CN" w:bidi="ar-SA"/>
        </w:rPr>
        <w:fldChar w:fldCharType="separate"/>
      </w:r>
      <w:r>
        <w:rPr>
          <w:rFonts w:hint="eastAsia" w:ascii="仿宋" w:hAnsi="仿宋" w:eastAsia="仿宋" w:cs="仿宋"/>
          <w:kern w:val="2"/>
          <w:sz w:val="30"/>
          <w:szCs w:val="30"/>
          <w:lang w:val="en-US" w:eastAsia="zh-CN" w:bidi="ar-SA"/>
        </w:rPr>
        <w:t>http://bdcdj.jiujiang.gov.cn/</w:t>
      </w:r>
      <w:r>
        <w:rPr>
          <w:rFonts w:hint="eastAsia" w:ascii="仿宋" w:hAnsi="仿宋" w:eastAsia="仿宋" w:cs="仿宋"/>
          <w:kern w:val="2"/>
          <w:sz w:val="30"/>
          <w:szCs w:val="30"/>
          <w:lang w:val="en-US" w:eastAsia="zh-CN" w:bidi="ar-SA"/>
        </w:rPr>
        <w:fldChar w:fldCharType="end"/>
      </w:r>
      <w:r>
        <w:rPr>
          <w:rFonts w:hint="eastAsia" w:ascii="仿宋" w:hAnsi="仿宋" w:eastAsia="仿宋" w:cs="仿宋"/>
          <w:kern w:val="2"/>
          <w:sz w:val="30"/>
          <w:szCs w:val="30"/>
          <w:lang w:val="en-US" w:eastAsia="zh-CN" w:bidi="ar-SA"/>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cs="仿宋"/>
          <w:kern w:val="2"/>
          <w:sz w:val="28"/>
          <w:szCs w:val="28"/>
          <w:lang w:val="en-US" w:eastAsia="zh-CN" w:bidi="ar-SA"/>
        </w:rPr>
      </w:pPr>
    </w:p>
    <w:p>
      <w:pPr>
        <w:wordWrap/>
        <w:adjustRightInd/>
        <w:snapToGrid/>
        <w:ind w:firstLine="420" w:firstLineChars="200"/>
        <w:jc w:val="left"/>
        <w:textAlignment w:val="auto"/>
        <w:rPr>
          <w:rFonts w:hint="default" w:ascii="Calibri" w:hAnsi="Calibri" w:eastAsia="宋体" w:cs="黑体"/>
          <w:kern w:val="2"/>
          <w:sz w:val="21"/>
          <w:szCs w:val="24"/>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00000000"/>
    <w:rsid w:val="03C70AD5"/>
    <w:rsid w:val="0808579C"/>
    <w:rsid w:val="0C522C6D"/>
    <w:rsid w:val="0D4E3C51"/>
    <w:rsid w:val="0F985AE7"/>
    <w:rsid w:val="0FB73D2F"/>
    <w:rsid w:val="12763DBB"/>
    <w:rsid w:val="145A64C2"/>
    <w:rsid w:val="1CD9117F"/>
    <w:rsid w:val="1DFE2B46"/>
    <w:rsid w:val="21977B3A"/>
    <w:rsid w:val="22C1035E"/>
    <w:rsid w:val="2C1A39C2"/>
    <w:rsid w:val="2D1265F1"/>
    <w:rsid w:val="2D6545C9"/>
    <w:rsid w:val="338D077F"/>
    <w:rsid w:val="356F5D7A"/>
    <w:rsid w:val="38E10110"/>
    <w:rsid w:val="392D66A7"/>
    <w:rsid w:val="3D581776"/>
    <w:rsid w:val="3E1F0B6E"/>
    <w:rsid w:val="41B810BD"/>
    <w:rsid w:val="42F17338"/>
    <w:rsid w:val="473569D1"/>
    <w:rsid w:val="51FD48CA"/>
    <w:rsid w:val="53021699"/>
    <w:rsid w:val="53A063C7"/>
    <w:rsid w:val="56FF090D"/>
    <w:rsid w:val="57C52BDD"/>
    <w:rsid w:val="5F3B02CD"/>
    <w:rsid w:val="65376645"/>
    <w:rsid w:val="675C5B0A"/>
    <w:rsid w:val="6E2039C3"/>
    <w:rsid w:val="70C90B7A"/>
    <w:rsid w:val="72891B18"/>
    <w:rsid w:val="78266481"/>
    <w:rsid w:val="7AFB3B49"/>
    <w:rsid w:val="7CE64DE7"/>
    <w:rsid w:val="7DB128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Calibri Light" w:hAnsi="Calibri Light" w:eastAsia="宋体" w:cs="黑体"/>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1456</Words>
  <Characters>1540</Characters>
  <Lines>0</Lines>
  <Paragraphs>0</Paragraphs>
  <TotalTime>0</TotalTime>
  <ScaleCrop>false</ScaleCrop>
  <LinksUpToDate>false</LinksUpToDate>
  <CharactersWithSpaces>1544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2023-02-09T06:31:42Z</dcterms:modified>
  <dc:title>国有建设用地使用权及房屋所有权转移登记（十）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67E6456C8CEB42D0A662BB642DF1AC04</vt:lpwstr>
  </property>
</Properties>
</file>