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Toc54537301"/>
      <w:bookmarkStart w:id="1" w:name="_Toc54539746"/>
      <w:bookmarkStart w:id="2" w:name="_Toc54536958"/>
      <w:bookmarkStart w:id="3" w:name="_Toc61423265"/>
      <w:r>
        <w:t>集体建设用地使用权及建筑物、构筑物所有权</w:t>
      </w:r>
      <w:bookmarkEnd w:id="0"/>
      <w:bookmarkEnd w:id="1"/>
      <w:bookmarkEnd w:id="2"/>
      <w:bookmarkStart w:id="4" w:name="_Toc451780705"/>
      <w:bookmarkStart w:id="5" w:name="_Toc448911515"/>
      <w:bookmarkStart w:id="6" w:name="_Toc54539747"/>
      <w:bookmarkStart w:id="7" w:name="_Toc54537302"/>
      <w:bookmarkStart w:id="8" w:name="_Toc54536959"/>
      <w:r>
        <w:t>转移登记</w:t>
      </w:r>
      <w:bookmarkEnd w:id="4"/>
      <w:bookmarkEnd w:id="5"/>
      <w:r>
        <w:rPr>
          <w:rFonts w:hint="eastAsia"/>
        </w:rPr>
        <w:t>（十八）</w:t>
      </w:r>
      <w:bookmarkEnd w:id="3"/>
      <w:bookmarkEnd w:id="6"/>
      <w:bookmarkEnd w:id="7"/>
      <w:bookmarkEnd w:id="8"/>
    </w:p>
    <w:p>
      <w:pPr>
        <w:tabs>
          <w:tab w:val="left" w:pos="1393"/>
        </w:tabs>
        <w:bidi w:val="0"/>
        <w:ind w:firstLine="280" w:firstLineChars="100"/>
        <w:jc w:val="both"/>
        <w:rPr>
          <w:rFonts w:hint="eastAsia"/>
          <w:sz w:val="28"/>
          <w:szCs w:val="28"/>
          <w:lang w:val="en-US" w:eastAsia="zh-CN"/>
        </w:rPr>
      </w:pPr>
    </w:p>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承办单位：九江市不动产登记中心柴桑区分中心窗口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center"/>
        <w:rPr>
          <w:rFonts w:hint="eastAsia" w:asciiTheme="minorHAnsi" w:hAnsiTheme="minorHAnsi" w:eastAsiaTheme="minorEastAsia" w:cstheme="minorBidi"/>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tabs>
          <w:tab w:val="left" w:pos="1378"/>
        </w:tabs>
        <w:bidi w:val="0"/>
        <w:jc w:val="center"/>
        <w:rPr>
          <w:rFonts w:hint="default" w:cstheme="minorBidi"/>
          <w:kern w:val="2"/>
          <w:sz w:val="24"/>
          <w:szCs w:val="24"/>
          <w:lang w:val="en-US" w:eastAsia="zh-CN" w:bidi="ar-SA"/>
        </w:rPr>
      </w:pPr>
    </w:p>
    <w:p>
      <w:pPr>
        <w:tabs>
          <w:tab w:val="left" w:pos="1378"/>
        </w:tabs>
        <w:bidi w:val="0"/>
        <w:jc w:val="center"/>
        <w:rPr>
          <w:rFonts w:hint="default" w:cstheme="minorBidi"/>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集体建设用地使用权及建筑物、构筑物所有权转移登记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left"/>
        <w:rPr>
          <w:rFonts w:hint="eastAsia"/>
          <w:lang w:val="en-US" w:eastAsia="zh-CN"/>
        </w:rPr>
      </w:pPr>
    </w:p>
    <w:p>
      <w:pPr>
        <w:keepNext w:val="0"/>
        <w:keepLines w:val="0"/>
        <w:pageBreakBefore w:val="0"/>
        <w:tabs>
          <w:tab w:val="left" w:pos="1243"/>
        </w:tabs>
        <w:kinsoku/>
        <w:wordWrap/>
        <w:overflowPunct/>
        <w:topLinePunct w:val="0"/>
        <w:bidi w:val="0"/>
        <w:adjustRightInd/>
        <w:snapToGrid/>
        <w:ind w:firstLine="420" w:firstLineChars="200"/>
        <w:jc w:val="left"/>
        <w:textAlignment w:val="auto"/>
        <w:rPr>
          <w:rFonts w:hint="eastAsia"/>
          <w:lang w:val="en-US" w:eastAsia="zh-CN"/>
        </w:rPr>
      </w:pPr>
    </w:p>
    <w:p>
      <w:pPr>
        <w:keepNext w:val="0"/>
        <w:keepLines w:val="0"/>
        <w:pageBreakBefore w:val="0"/>
        <w:numPr>
          <w:ilvl w:val="0"/>
          <w:numId w:val="0"/>
        </w:numPr>
        <w:tabs>
          <w:tab w:val="left" w:pos="1243"/>
        </w:tabs>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已经登记的集体建设用地使用权及建筑物、构筑物所有权，因下列情形之一导致权属发生转移的，当事人可以申请转移登记</w:t>
      </w:r>
      <w:r>
        <w:rPr>
          <w:rFonts w:hint="eastAsia"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作价出资（入股）的；</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因企业合并、分立、破产、兼并等情形，导致建筑物、构筑物所有权发生转移的；</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因人民法院、仲裁委员会的生效法律文书等导致权属转移的；</w:t>
      </w:r>
    </w:p>
    <w:p>
      <w:pPr>
        <w:pStyle w:val="8"/>
        <w:keepNext w:val="0"/>
        <w:keepLines w:val="0"/>
        <w:pageBreakBefore w:val="0"/>
        <w:kinsoku/>
        <w:wordWrap/>
        <w:overflowPunct/>
        <w:topLinePunct w:val="0"/>
        <w:bidi w:val="0"/>
        <w:adjustRightInd/>
        <w:snapToGrid/>
        <w:spacing w:line="520" w:lineRule="exact"/>
        <w:ind w:firstLineChars="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ascii="仿宋" w:hAnsi="仿宋" w:eastAsia="仿宋"/>
          <w:sz w:val="30"/>
          <w:szCs w:val="30"/>
        </w:rPr>
        <w:t>法律、行政法规规定的其他情形。</w:t>
      </w:r>
    </w:p>
    <w:p>
      <w:pPr>
        <w:pStyle w:val="8"/>
        <w:keepNext w:val="0"/>
        <w:keepLines w:val="0"/>
        <w:pageBreakBefore w:val="0"/>
        <w:kinsoku/>
        <w:wordWrap/>
        <w:overflowPunct/>
        <w:topLinePunct w:val="0"/>
        <w:bidi w:val="0"/>
        <w:adjustRightInd/>
        <w:snapToGrid/>
        <w:spacing w:line="520" w:lineRule="exact"/>
        <w:ind w:firstLineChars="0"/>
        <w:textAlignment w:val="auto"/>
        <w:rPr>
          <w:rFonts w:hint="eastAsia" w:ascii="黑体" w:hAnsi="黑体" w:eastAsia="黑体" w:cs="黑体"/>
          <w:sz w:val="30"/>
          <w:szCs w:val="30"/>
        </w:rPr>
      </w:pPr>
      <w:r>
        <w:rPr>
          <w:rFonts w:hint="eastAsia" w:ascii="黑体" w:hAnsi="黑体" w:eastAsia="黑体" w:cs="黑体"/>
          <w:sz w:val="30"/>
          <w:szCs w:val="30"/>
        </w:rPr>
        <w:t>二、办理依据</w:t>
      </w:r>
    </w:p>
    <w:p>
      <w:pPr>
        <w:pStyle w:val="8"/>
        <w:keepNext w:val="0"/>
        <w:keepLines w:val="0"/>
        <w:pageBreakBefore w:val="0"/>
        <w:kinsoku/>
        <w:wordWrap/>
        <w:overflowPunct/>
        <w:topLinePunct w:val="0"/>
        <w:bidi w:val="0"/>
        <w:adjustRightInd/>
        <w:snapToGrid/>
        <w:spacing w:line="520" w:lineRule="exact"/>
        <w:ind w:firstLineChars="0"/>
        <w:textAlignment w:val="auto"/>
        <w:rPr>
          <w:rFonts w:hint="eastAsia" w:ascii="仿宋" w:hAnsi="仿宋" w:eastAsia="仿宋"/>
          <w:sz w:val="30"/>
          <w:szCs w:val="30"/>
        </w:rPr>
      </w:pPr>
      <w:r>
        <w:rPr>
          <w:rFonts w:hint="eastAsia" w:ascii="仿宋" w:hAnsi="仿宋" w:eastAsia="仿宋"/>
          <w:sz w:val="30"/>
          <w:szCs w:val="30"/>
        </w:rPr>
        <w:t>《民法典》《不动产登记暂行条例》《不动产登记暂行条例实施细则》。</w:t>
      </w:r>
    </w:p>
    <w:p>
      <w:pPr>
        <w:pStyle w:val="8"/>
        <w:keepNext w:val="0"/>
        <w:keepLines w:val="0"/>
        <w:pageBreakBefore w:val="0"/>
        <w:kinsoku/>
        <w:wordWrap/>
        <w:overflowPunct/>
        <w:topLinePunct w:val="0"/>
        <w:bidi w:val="0"/>
        <w:adjustRightInd/>
        <w:snapToGrid/>
        <w:spacing w:line="520" w:lineRule="exact"/>
        <w:ind w:firstLineChars="0"/>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（查验原件提交复印件）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权属证明材料（原件）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hint="eastAsia" w:ascii="仿宋" w:hAnsi="仿宋" w:eastAsia="仿宋"/>
          <w:sz w:val="30"/>
          <w:szCs w:val="30"/>
        </w:rPr>
        <w:t>转移证明材料</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（1）作价出资（入股）的，提交作价出资（入股）协议；</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（2）因企业合并、分立、兼并、破产等情形导致权属发生转移的，提交企业合并、分立、兼并、破产的</w:t>
      </w:r>
      <w:r>
        <w:rPr>
          <w:rFonts w:hint="eastAsia" w:ascii="仿宋" w:hAnsi="仿宋" w:eastAsia="仿宋"/>
          <w:sz w:val="30"/>
          <w:szCs w:val="30"/>
        </w:rPr>
        <w:t>证明</w:t>
      </w:r>
      <w:r>
        <w:rPr>
          <w:rFonts w:ascii="仿宋" w:hAnsi="仿宋" w:eastAsia="仿宋"/>
          <w:sz w:val="30"/>
          <w:szCs w:val="30"/>
        </w:rPr>
        <w:t>材料、集体建设用地使用权及建筑物、构筑物所有权权属转移材料、有权部门的批准文件。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（3）因人民法院、仲裁委员会的生效法律文书导致权属转移的，提交人民法院、仲裁委员会的生效法律文书。</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hint="eastAsia" w:ascii="仿宋" w:hAnsi="仿宋" w:eastAsia="仿宋"/>
          <w:sz w:val="30"/>
          <w:szCs w:val="30"/>
        </w:rPr>
        <w:t>税费缴纳凭证（原件或经确认的复印件）；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 xml:space="preserve"> 依法需要缴纳税费的，应当提交税费缴纳凭证；</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6</w:t>
      </w:r>
      <w:r>
        <w:rPr>
          <w:rFonts w:hint="eastAsia" w:ascii="仿宋" w:hAnsi="仿宋" w:eastAsia="仿宋"/>
          <w:sz w:val="30"/>
          <w:szCs w:val="30"/>
          <w:lang w:eastAsia="zh-CN"/>
        </w:rPr>
        <w:t>.</w:t>
      </w:r>
      <w:r>
        <w:rPr>
          <w:rFonts w:hint="eastAsia" w:ascii="仿宋" w:hAnsi="仿宋" w:eastAsia="仿宋"/>
          <w:sz w:val="30"/>
          <w:szCs w:val="30"/>
        </w:rPr>
        <w:t>村民代表同意材料（原件）；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本集体经济组织三分之二以上成员或者三分之二以上村民代表同意的材料；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7</w:t>
      </w:r>
      <w:r>
        <w:rPr>
          <w:rFonts w:hint="eastAsia" w:ascii="仿宋" w:hAnsi="仿宋" w:eastAsia="仿宋"/>
          <w:sz w:val="30"/>
          <w:szCs w:val="30"/>
          <w:lang w:eastAsia="zh-CN"/>
        </w:rPr>
        <w:t>.</w:t>
      </w:r>
      <w:r>
        <w:rPr>
          <w:rFonts w:ascii="仿宋" w:hAnsi="仿宋" w:eastAsia="仿宋"/>
          <w:sz w:val="30"/>
          <w:szCs w:val="30"/>
        </w:rPr>
        <w:t>其他材料。</w:t>
      </w:r>
    </w:p>
    <w:p>
      <w:pPr>
        <w:keepNext w:val="0"/>
        <w:keepLines w:val="0"/>
        <w:pageBreakBefore w:val="0"/>
        <w:numPr>
          <w:ilvl w:val="0"/>
          <w:numId w:val="0"/>
        </w:numPr>
        <w:tabs>
          <w:tab w:val="left" w:pos="1273"/>
        </w:tabs>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四、办理流程</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spacing w:val="-8"/>
          <w:kern w:val="0"/>
          <w:sz w:val="30"/>
          <w:szCs w:val="30"/>
        </w:rPr>
        <w:t>申请受理—审核登簿缮证</w:t>
      </w:r>
      <w:r>
        <w:rPr>
          <w:rFonts w:hint="eastAsia" w:ascii="仿宋" w:hAnsi="仿宋" w:eastAsia="仿宋" w:cs="宋体"/>
          <w:color w:val="000000"/>
          <w:spacing w:val="-8"/>
          <w:kern w:val="0"/>
          <w:sz w:val="30"/>
          <w:szCs w:val="30"/>
          <w:lang w:eastAsia="zh-CN"/>
        </w:rPr>
        <w:t>。</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pStyle w:val="8"/>
        <w:keepNext w:val="0"/>
        <w:keepLines w:val="0"/>
        <w:pageBreakBefore w:val="0"/>
        <w:kinsoku/>
        <w:wordWrap/>
        <w:overflowPunct/>
        <w:topLinePunct w:val="0"/>
        <w:bidi w:val="0"/>
        <w:adjustRightInd/>
        <w:snapToGrid/>
        <w:spacing w:line="520" w:lineRule="exact"/>
        <w:ind w:left="0" w:leftChars="0" w:firstLine="568" w:firstLineChars="200"/>
        <w:textAlignment w:val="auto"/>
        <w:rPr>
          <w:rFonts w:ascii="仿宋" w:hAnsi="仿宋" w:eastAsia="仿宋"/>
          <w:sz w:val="30"/>
          <w:szCs w:val="30"/>
        </w:rPr>
      </w:pPr>
      <w:r>
        <w:rPr>
          <w:rFonts w:hint="eastAsia" w:ascii="仿宋" w:hAnsi="仿宋" w:eastAsia="仿宋" w:cs="宋体"/>
          <w:color w:val="000000"/>
          <w:spacing w:val="-8"/>
          <w:kern w:val="0"/>
          <w:sz w:val="30"/>
          <w:szCs w:val="30"/>
        </w:rPr>
        <w:t>550元/件</w:t>
      </w:r>
      <w:r>
        <w:rPr>
          <w:rFonts w:hint="eastAsia" w:ascii="仿宋" w:hAnsi="仿宋" w:eastAsia="仿宋" w:cs="宋体"/>
          <w:color w:val="000000"/>
          <w:spacing w:val="-8"/>
          <w:kern w:val="0"/>
          <w:sz w:val="30"/>
          <w:szCs w:val="30"/>
          <w:lang w:eastAsia="zh-CN"/>
        </w:rPr>
        <w:t>，</w:t>
      </w:r>
      <w:r>
        <w:rPr>
          <w:rFonts w:hint="eastAsia" w:ascii="仿宋" w:hAnsi="仿宋" w:eastAsia="仿宋" w:cs="仿宋"/>
          <w:sz w:val="30"/>
          <w:szCs w:val="30"/>
        </w:rPr>
        <w:t>对涉企不动产登记业务实行“零收费”（不含房地产开发及金融机构）</w:t>
      </w:r>
      <w:r>
        <w:rPr>
          <w:rFonts w:hint="eastAsia" w:ascii="仿宋" w:hAnsi="仿宋" w:eastAsia="仿宋"/>
          <w:sz w:val="30"/>
          <w:szCs w:val="30"/>
        </w:rPr>
        <w:t>。</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六、办事时限</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spacing w:val="-8"/>
          <w:kern w:val="0"/>
          <w:sz w:val="30"/>
          <w:szCs w:val="30"/>
          <w:lang w:eastAsia="zh-CN"/>
        </w:rPr>
      </w:pPr>
      <w:r>
        <w:rPr>
          <w:rFonts w:hint="eastAsia" w:ascii="仿宋" w:hAnsi="仿宋" w:eastAsia="仿宋" w:cs="宋体"/>
          <w:color w:val="000000"/>
          <w:spacing w:val="-8"/>
          <w:kern w:val="0"/>
          <w:sz w:val="30"/>
          <w:szCs w:val="30"/>
        </w:rPr>
        <w:t>1个工作日</w:t>
      </w:r>
      <w:r>
        <w:rPr>
          <w:rFonts w:hint="eastAsia" w:ascii="仿宋" w:hAnsi="仿宋" w:eastAsia="仿宋" w:cs="宋体"/>
          <w:color w:val="000000"/>
          <w:spacing w:val="-8"/>
          <w:kern w:val="0"/>
          <w:sz w:val="30"/>
          <w:szCs w:val="30"/>
          <w:lang w:eastAsia="zh-CN"/>
        </w:rPr>
        <w:t>。</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七、办公时间</w:t>
      </w:r>
    </w:p>
    <w:p>
      <w:pPr>
        <w:pStyle w:val="8"/>
        <w:keepNext w:val="0"/>
        <w:keepLines w:val="0"/>
        <w:pageBreakBefore w:val="0"/>
        <w:kinsoku/>
        <w:wordWrap/>
        <w:overflowPunct/>
        <w:topLinePunct w:val="0"/>
        <w:bidi w:val="0"/>
        <w:adjustRightInd/>
        <w:snapToGrid/>
        <w:spacing w:line="520" w:lineRule="exact"/>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09：00-17:00（节假日正常办理登记业务）。</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t>九江市柴桑区行政审批局一楼不动产登记大厅窗口</w:t>
      </w:r>
      <w:bookmarkStart w:id="9" w:name="_GoBack"/>
      <w:bookmarkEnd w:id="9"/>
      <w:r>
        <w:rPr>
          <w:rFonts w:hint="eastAsia" w:ascii="仿宋" w:hAnsi="仿宋" w:eastAsia="仿宋"/>
          <w:b w:val="0"/>
          <w:bCs w:val="0"/>
          <w:sz w:val="30"/>
          <w:szCs w:val="30"/>
          <w:lang w:eastAsia="zh-CN"/>
        </w:rPr>
        <w:t>（柴桑区渊明大道6号）。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default" w:ascii="仿宋" w:hAnsi="仿宋" w:eastAsia="仿宋"/>
          <w:sz w:val="30"/>
          <w:szCs w:val="30"/>
          <w:lang w:val="en-US" w:eastAsia="zh-CN"/>
        </w:rPr>
      </w:pPr>
      <w:r>
        <w:rPr>
          <w:rFonts w:hint="eastAsia" w:ascii="仿宋" w:hAnsi="仿宋" w:eastAsia="仿宋"/>
          <w:b w:val="0"/>
          <w:bCs w:val="0"/>
          <w:sz w:val="30"/>
          <w:szCs w:val="30"/>
          <w:lang w:eastAsia="zh-CN"/>
        </w:rPr>
        <w:fldChar w:fldCharType="begin"/>
      </w:r>
      <w:r>
        <w:rPr>
          <w:rFonts w:hint="eastAsia" w:ascii="仿宋" w:hAnsi="仿宋" w:eastAsia="仿宋"/>
          <w:b w:val="0"/>
          <w:bCs w:val="0"/>
          <w:sz w:val="30"/>
          <w:szCs w:val="30"/>
          <w:lang w:eastAsia="zh-CN"/>
        </w:rPr>
        <w:instrText xml:space="preserve"> HYPERLINK "http://bdcdj.jiujiang.gov.cn/" </w:instrText>
      </w:r>
      <w:r>
        <w:rPr>
          <w:rFonts w:hint="eastAsia" w:ascii="仿宋" w:hAnsi="仿宋" w:eastAsia="仿宋"/>
          <w:b w:val="0"/>
          <w:bCs w:val="0"/>
          <w:sz w:val="30"/>
          <w:szCs w:val="30"/>
          <w:lang w:eastAsia="zh-CN"/>
        </w:rPr>
        <w:fldChar w:fldCharType="separate"/>
      </w:r>
      <w:r>
        <w:rPr>
          <w:rFonts w:hint="eastAsia" w:ascii="仿宋" w:hAnsi="仿宋" w:eastAsia="仿宋"/>
          <w:b w:val="0"/>
          <w:bCs w:val="0"/>
          <w:sz w:val="30"/>
          <w:szCs w:val="30"/>
          <w:lang w:eastAsia="zh-CN"/>
        </w:rPr>
        <w:t>http://bdcdj.jiujiang.gov.cn/</w:t>
      </w:r>
      <w:r>
        <w:rPr>
          <w:rFonts w:hint="eastAsia" w:ascii="仿宋" w:hAnsi="仿宋" w:eastAsia="仿宋"/>
          <w:b w:val="0"/>
          <w:bCs w:val="0"/>
          <w:sz w:val="30"/>
          <w:szCs w:val="30"/>
          <w:lang w:eastAsia="zh-CN"/>
        </w:rPr>
        <w:fldChar w:fldCharType="end"/>
      </w:r>
      <w:r>
        <w:rPr>
          <w:rFonts w:hint="eastAsia" w:ascii="仿宋" w:hAnsi="仿宋" w:eastAsia="仿宋"/>
          <w:b w:val="0"/>
          <w:bCs w:val="0"/>
          <w:sz w:val="30"/>
          <w:szCs w:val="30"/>
          <w:lang w:eastAsia="zh-CN"/>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keepNext w:val="0"/>
        <w:keepLines w:val="0"/>
        <w:pageBreakBefore w:val="0"/>
        <w:kinsoku/>
        <w:wordWrap/>
        <w:overflowPunct/>
        <w:topLinePunct w:val="0"/>
        <w:bidi w:val="0"/>
        <w:adjustRightInd/>
        <w:snapToGrid/>
        <w:ind w:firstLine="420" w:firstLineChars="200"/>
        <w:jc w:val="left"/>
        <w:textAlignment w:val="auto"/>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12511391"/>
    <w:rsid w:val="1BCC5A5A"/>
    <w:rsid w:val="1C8F15AC"/>
    <w:rsid w:val="246F2C52"/>
    <w:rsid w:val="249D12EE"/>
    <w:rsid w:val="312C2F64"/>
    <w:rsid w:val="343B3DA1"/>
    <w:rsid w:val="37AD7490"/>
    <w:rsid w:val="39A82AD4"/>
    <w:rsid w:val="3B183641"/>
    <w:rsid w:val="413722A8"/>
    <w:rsid w:val="4212780E"/>
    <w:rsid w:val="44967244"/>
    <w:rsid w:val="479F2675"/>
    <w:rsid w:val="4B8F4184"/>
    <w:rsid w:val="4BFD4C09"/>
    <w:rsid w:val="51D539E8"/>
    <w:rsid w:val="549A7091"/>
    <w:rsid w:val="5A367C77"/>
    <w:rsid w:val="5C8F6A0E"/>
    <w:rsid w:val="5E7C7DD8"/>
    <w:rsid w:val="62F949C6"/>
    <w:rsid w:val="63EF2892"/>
    <w:rsid w:val="650F44B1"/>
    <w:rsid w:val="666D427A"/>
    <w:rsid w:val="699A7177"/>
    <w:rsid w:val="6EE5046B"/>
    <w:rsid w:val="6FF7600E"/>
    <w:rsid w:val="78167E29"/>
    <w:rsid w:val="78D16E1E"/>
    <w:rsid w:val="79040C09"/>
    <w:rsid w:val="7C6A3949"/>
    <w:rsid w:val="7F9D2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二级条标题"/>
    <w:basedOn w:val="10"/>
    <w:next w:val="8"/>
    <w:qFormat/>
    <w:uiPriority w:val="0"/>
    <w:pPr>
      <w:numPr>
        <w:ilvl w:val="2"/>
      </w:numPr>
      <w:spacing w:before="50" w:after="50"/>
      <w:outlineLvl w:val="3"/>
    </w:pPr>
  </w:style>
  <w:style w:type="paragraph" w:customStyle="1" w:styleId="10">
    <w:name w:val="一级条标题"/>
    <w:next w:val="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805</Words>
  <Characters>883</Characters>
  <Lines>0</Lines>
  <Paragraphs>0</Paragraphs>
  <TotalTime>0</TotalTime>
  <ScaleCrop>false</ScaleCrop>
  <LinksUpToDate>false</LinksUpToDate>
  <CharactersWithSpaces>888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F239B87F25B84075B12895CFB2E63C3F</vt:lpwstr>
  </property>
</Properties>
</file>