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Calibri Light" w:hAnsi="Calibri Light" w:eastAsia="宋体" w:cs="黑体"/>
          <w:b/>
          <w:bCs/>
          <w:kern w:val="2"/>
          <w:sz w:val="44"/>
          <w:szCs w:val="32"/>
          <w:lang w:val="en-US" w:eastAsia="zh-CN" w:bidi="ar-SA"/>
        </w:rPr>
      </w:pPr>
      <w:bookmarkStart w:id="0" w:name="_Toc54539772"/>
      <w:bookmarkStart w:id="1" w:name="_Toc54596798"/>
      <w:bookmarkStart w:id="2" w:name="_Toc61423271"/>
      <w:r>
        <w:t>抵押权</w:t>
      </w:r>
      <w:bookmarkStart w:id="3" w:name="_Toc451780718"/>
      <w:bookmarkStart w:id="4" w:name="_Toc448911528"/>
      <w:r>
        <w:t>首次登记</w:t>
      </w:r>
      <w:bookmarkEnd w:id="3"/>
      <w:bookmarkEnd w:id="4"/>
      <w:r>
        <w:rPr>
          <w:rFonts w:hint="eastAsia"/>
        </w:rPr>
        <w:t>（二十四）</w:t>
      </w:r>
      <w:bookmarkEnd w:id="0"/>
      <w:bookmarkEnd w:id="1"/>
      <w:bookmarkEnd w:id="2"/>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承办单位：九江市不动产登记中心柴桑区分中心窗口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tabs>
          <w:tab w:val="left" w:pos="3153"/>
        </w:tabs>
        <w:jc w:val="both"/>
        <w:rPr>
          <w:rFonts w:hint="eastAsia" w:cs="黑体"/>
          <w:kern w:val="2"/>
          <w:sz w:val="21"/>
          <w:szCs w:val="24"/>
          <w:lang w:val="en-US" w:eastAsia="zh-CN" w:bidi="ar-SA"/>
        </w:rPr>
      </w:pPr>
    </w:p>
    <w:p>
      <w:pPr>
        <w:tabs>
          <w:tab w:val="left" w:pos="1393"/>
        </w:tabs>
        <w:ind w:firstLine="210" w:firstLineChars="100"/>
        <w:jc w:val="both"/>
        <w:rPr>
          <w:rFonts w:hint="default" w:cs="黑体"/>
          <w:kern w:val="2"/>
          <w:sz w:val="21"/>
          <w:szCs w:val="24"/>
          <w:lang w:val="en-US" w:eastAsia="zh-CN" w:bidi="ar-SA"/>
        </w:rPr>
      </w:pP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243"/>
        </w:tabs>
        <w:jc w:val="center"/>
        <w:rPr>
          <w:rFonts w:ascii="Calibri Light" w:hAnsi="Calibri Light" w:eastAsia="宋体" w:cs="黑体"/>
          <w:b/>
          <w:bCs/>
          <w:kern w:val="2"/>
          <w:sz w:val="44"/>
          <w:szCs w:val="32"/>
          <w:lang w:val="en-US" w:eastAsia="zh-CN" w:bidi="ar-SA"/>
        </w:rPr>
      </w:pPr>
    </w:p>
    <w:p>
      <w:pPr>
        <w:tabs>
          <w:tab w:val="left" w:pos="1243"/>
        </w:tabs>
        <w:jc w:val="center"/>
        <w:rPr>
          <w:rFonts w:ascii="Calibri Light" w:hAnsi="Calibri Light" w:eastAsia="宋体" w:cs="黑体"/>
          <w:b/>
          <w:bCs/>
          <w:kern w:val="2"/>
          <w:sz w:val="44"/>
          <w:szCs w:val="32"/>
          <w:lang w:val="en-US" w:eastAsia="zh-CN" w:bidi="ar-SA"/>
        </w:rPr>
      </w:pPr>
    </w:p>
    <w:p>
      <w:pPr>
        <w:tabs>
          <w:tab w:val="left" w:pos="1243"/>
        </w:tabs>
        <w:jc w:val="center"/>
        <w:rPr>
          <w:rFonts w:hint="eastAsia" w:ascii="Calibri Light" w:hAnsi="Calibri Light" w:eastAsia="宋体" w:cs="黑体"/>
          <w:b/>
          <w:bCs/>
          <w:kern w:val="2"/>
          <w:sz w:val="48"/>
          <w:szCs w:val="48"/>
          <w:lang w:val="en-US" w:eastAsia="zh-CN" w:bidi="ar-SA"/>
        </w:rPr>
      </w:pPr>
      <w:r>
        <w:rPr>
          <w:rFonts w:ascii="Calibri Light" w:hAnsi="Calibri Light" w:eastAsia="宋体" w:cs="黑体"/>
          <w:b/>
          <w:bCs/>
          <w:kern w:val="2"/>
          <w:sz w:val="48"/>
          <w:szCs w:val="48"/>
          <w:lang w:val="en-US" w:eastAsia="zh-CN" w:bidi="ar-SA"/>
        </w:rPr>
        <w:t>抵押权首次登记</w:t>
      </w:r>
      <w:r>
        <w:rPr>
          <w:rFonts w:hint="eastAsia" w:ascii="Calibri Light" w:hAnsi="Calibri Light" w:cs="黑体"/>
          <w:b/>
          <w:bCs/>
          <w:kern w:val="2"/>
          <w:sz w:val="48"/>
          <w:szCs w:val="48"/>
          <w:lang w:val="en-US" w:eastAsia="zh-CN" w:bidi="ar-SA"/>
        </w:rPr>
        <w:t>办事</w:t>
      </w:r>
      <w:r>
        <w:rPr>
          <w:rFonts w:hint="eastAsia" w:ascii="Calibri Light" w:hAnsi="Calibri Light" w:eastAsia="宋体" w:cs="黑体"/>
          <w:b/>
          <w:bCs/>
          <w:kern w:val="2"/>
          <w:sz w:val="48"/>
          <w:szCs w:val="48"/>
          <w:lang w:val="en-US" w:eastAsia="zh-CN" w:bidi="ar-SA"/>
        </w:rPr>
        <w:t>指南</w:t>
      </w:r>
    </w:p>
    <w:p>
      <w:pPr>
        <w:tabs>
          <w:tab w:val="left" w:pos="1243"/>
        </w:tabs>
        <w:jc w:val="both"/>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在借贷、买卖等民事活动中，自然人、法人或其他组织为保障其债权的实现，依法设定不动产抵押权的，可以由抵</w:t>
      </w:r>
      <w:r>
        <w:rPr>
          <w:rFonts w:hint="eastAsia" w:ascii="仿宋" w:hAnsi="仿宋" w:eastAsia="仿宋"/>
          <w:sz w:val="30"/>
          <w:szCs w:val="30"/>
        </w:rPr>
        <w:t>押权人和抵押人共同申请办理不动产抵押登记。</w:t>
      </w:r>
      <w:r>
        <w:rPr>
          <w:rFonts w:hint="eastAsia" w:ascii="仿宋" w:hAnsi="仿宋" w:eastAsia="仿宋"/>
          <w:sz w:val="30"/>
          <w:szCs w:val="30"/>
          <w:lang w:val="en-US" w:eastAsia="zh-CN"/>
        </w:rPr>
        <w:t>以建设用地使用权、海域使用权抵押的，该土地、海域上的建筑物、构筑物一并抵押;以建筑物、构筑物抵押的，该建筑物、构筑物占用范围内的建设用地使用权、海域使用权一并抵押。</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（1）为担保债务的履行，债务人或者第三人不转移不动产的占有，将该不动产抵押给债权人的，当事人可以申请一般抵押权首次登记;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（2）为担保债务的履行，债务人或者第三人对一定期间内将要连续发生的债权提供担保不动产的，当事人可以申请最高额抵押权首次登记;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（3）以正在建造的建筑物设定抵押的，当事人可以申请建设用地使用权及在建建筑物抵押权首次登记。</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(一)抵押财产范围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以下列财产进行抵押的，可以申请办理不动产抵押登记: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1.建设用地使用权;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2.建筑物和其他土地附着物;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3.海域使用权;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4.以招标、拍卖、公开协商等方式取得荒地等的土地承包经营权;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rPr>
      </w:pPr>
      <w:r>
        <w:rPr>
          <w:rFonts w:hint="eastAsia" w:ascii="仿宋" w:hAnsi="仿宋" w:eastAsia="仿宋"/>
          <w:sz w:val="30"/>
          <w:szCs w:val="30"/>
          <w:lang w:val="en-US" w:eastAsia="zh-CN"/>
        </w:rPr>
        <w:t xml:space="preserve">5.正在建造的建筑物;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6.法律、行政法规未禁止抵押的其他不动产。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（二）不得办理抵押登记的财产范围 </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对于法律禁止抵押的下列财产，不得办理不动产抵押登记:</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1.土地所有权</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2.宅基地、自留地、自留山等集体所有土地的使用权，但是法律规定可以抵押的除外；</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3.学校、幼儿园、医疗机构等为公益目的成立的非营利法人的教育设施、医疗卫生设施和其他公益设施；</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4.所有权、使用权不明或者有争议的不动产</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5.依法被查封的不动产；</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6.法律、行政法规规定不得抵押的其他不动产。</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1.不动产登记申请书；</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2.申请人身份证明；</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个人提交申请人身份证明；单位、企业提交《企业法人营业执照》及组织机构代码证，机关事业单位提交机关事业单位证明及组织机构代码证，社会团体提交社会团体登记证书及组织机构代码证；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3.不动产权证书/房屋所有权证/土地使用权证；</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4.主债权合同；</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5.抵押合同、抵押物清单；</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6.其他必要材料（在建工程抵押需提供建设工程规划许可证、房屋测绘报告）。</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eastAsia="zh-CN"/>
        </w:rPr>
      </w:pPr>
      <w:bookmarkStart w:id="5" w:name="_Toc54537642"/>
      <w:bookmarkStart w:id="6" w:name="_Toc54536983"/>
      <w:bookmarkStart w:id="7" w:name="_Toc54537326"/>
      <w:bookmarkStart w:id="8" w:name="_Toc54539773"/>
      <w:r>
        <w:rPr>
          <w:rFonts w:hint="eastAsia" w:ascii="仿宋" w:hAnsi="仿宋" w:eastAsia="仿宋" w:cs="宋体"/>
          <w:color w:val="000000"/>
          <w:spacing w:val="-8"/>
          <w:kern w:val="0"/>
          <w:sz w:val="30"/>
          <w:szCs w:val="30"/>
        </w:rPr>
        <w:t>住宅：80元/件；非住宅：550元/件</w:t>
      </w:r>
      <w:bookmarkEnd w:id="5"/>
      <w:bookmarkEnd w:id="6"/>
      <w:bookmarkEnd w:id="7"/>
      <w:bookmarkEnd w:id="8"/>
      <w:r>
        <w:rPr>
          <w:rFonts w:hint="eastAsia" w:ascii="仿宋" w:hAnsi="仿宋" w:eastAsia="仿宋" w:cs="宋体"/>
          <w:color w:val="000000"/>
          <w:spacing w:val="-8"/>
          <w:kern w:val="0"/>
          <w:sz w:val="30"/>
          <w:szCs w:val="30"/>
          <w:lang w:eastAsia="zh-CN"/>
        </w:rPr>
        <w:t>，</w:t>
      </w:r>
      <w:r>
        <w:rPr>
          <w:rFonts w:hint="eastAsia" w:ascii="仿宋" w:hAnsi="仿宋" w:eastAsia="仿宋" w:cs="仿宋"/>
          <w:sz w:val="30"/>
          <w:szCs w:val="30"/>
        </w:rPr>
        <w:t>对涉企不动产登记业务实行“零收费”（不含房地产开发及金融机构）</w:t>
      </w:r>
      <w:r>
        <w:rPr>
          <w:rFonts w:hint="eastAsia" w:ascii="仿宋" w:hAnsi="仿宋" w:eastAsia="仿宋" w:cs="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default"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1小时内办结（批量抵押及在建工程抵押一个工作日办结）。</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w:t>
      </w:r>
      <w:bookmarkStart w:id="9" w:name="_GoBack"/>
      <w:bookmarkEnd w:id="9"/>
      <w:r>
        <w:rPr>
          <w:rFonts w:hint="eastAsia" w:ascii="仿宋" w:hAnsi="仿宋" w:eastAsia="仿宋"/>
          <w:b w:val="0"/>
          <w:bCs w:val="0"/>
          <w:sz w:val="30"/>
          <w:szCs w:val="30"/>
          <w:lang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b w:val="0"/>
          <w:bCs w:val="0"/>
          <w:kern w:val="0"/>
          <w:sz w:val="30"/>
          <w:szCs w:val="30"/>
          <w:lang w:val="en-US" w:eastAsia="zh-CN" w:bidi="ar-SA"/>
        </w:rPr>
      </w:pPr>
      <w:r>
        <w:rPr>
          <w:rFonts w:hint="eastAsia" w:ascii="仿宋" w:hAnsi="仿宋" w:eastAsia="仿宋" w:cs="Times New Roman"/>
          <w:b w:val="0"/>
          <w:bCs w:val="0"/>
          <w:kern w:val="0"/>
          <w:sz w:val="30"/>
          <w:szCs w:val="30"/>
          <w:lang w:val="en-US" w:eastAsia="zh-CN" w:bidi="ar-SA"/>
        </w:rPr>
        <w:fldChar w:fldCharType="begin"/>
      </w:r>
      <w:r>
        <w:rPr>
          <w:rFonts w:hint="eastAsia" w:ascii="仿宋" w:hAnsi="仿宋" w:eastAsia="仿宋" w:cs="Times New Roman"/>
          <w:b w:val="0"/>
          <w:bCs w:val="0"/>
          <w:kern w:val="0"/>
          <w:sz w:val="30"/>
          <w:szCs w:val="30"/>
          <w:lang w:val="en-US" w:eastAsia="zh-CN" w:bidi="ar-SA"/>
        </w:rPr>
        <w:instrText xml:space="preserve"> HYPERLINK "http://bdcdj.jiujiang.gov.cn/" </w:instrText>
      </w:r>
      <w:r>
        <w:rPr>
          <w:rFonts w:hint="eastAsia" w:ascii="仿宋" w:hAnsi="仿宋" w:eastAsia="仿宋" w:cs="Times New Roman"/>
          <w:b w:val="0"/>
          <w:bCs w:val="0"/>
          <w:kern w:val="0"/>
          <w:sz w:val="30"/>
          <w:szCs w:val="30"/>
          <w:lang w:val="en-US" w:eastAsia="zh-CN" w:bidi="ar-SA"/>
        </w:rPr>
        <w:fldChar w:fldCharType="separate"/>
      </w:r>
      <w:r>
        <w:rPr>
          <w:rFonts w:hint="eastAsia" w:ascii="仿宋" w:hAnsi="仿宋" w:eastAsia="仿宋" w:cs="Times New Roman"/>
          <w:b w:val="0"/>
          <w:bCs w:val="0"/>
          <w:kern w:val="0"/>
          <w:sz w:val="30"/>
          <w:szCs w:val="30"/>
          <w:lang w:val="en-US" w:eastAsia="zh-CN" w:bidi="ar-SA"/>
        </w:rPr>
        <w:t>http://bdcdj.jiujiang.gov.cn/</w:t>
      </w:r>
      <w:r>
        <w:rPr>
          <w:rFonts w:hint="eastAsia" w:ascii="仿宋" w:hAnsi="仿宋" w:eastAsia="仿宋" w:cs="Times New Roman"/>
          <w:b w:val="0"/>
          <w:bCs w:val="0"/>
          <w:kern w:val="0"/>
          <w:sz w:val="30"/>
          <w:szCs w:val="30"/>
          <w:lang w:val="en-US" w:eastAsia="zh-CN" w:bidi="ar-SA"/>
        </w:rPr>
        <w:fldChar w:fldCharType="end"/>
      </w:r>
      <w:r>
        <w:rPr>
          <w:rFonts w:hint="eastAsia" w:ascii="仿宋" w:hAnsi="仿宋" w:eastAsia="仿宋" w:cs="Times New Roman"/>
          <w:b w:val="0"/>
          <w:bCs w:val="0"/>
          <w:kern w:val="0"/>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wordWrap/>
        <w:adjustRightInd/>
        <w:snapToGrid/>
        <w:ind w:firstLine="560" w:firstLineChars="200"/>
        <w:jc w:val="left"/>
        <w:textAlignment w:val="auto"/>
        <w:rPr>
          <w:rFonts w:hint="default" w:ascii="仿宋" w:hAnsi="仿宋" w:eastAsia="仿宋" w:cs="Times New Roman"/>
          <w:b w:val="0"/>
          <w:bCs w:val="0"/>
          <w:kern w:val="0"/>
          <w:sz w:val="28"/>
          <w:szCs w:val="28"/>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spacing w:val="0"/>
        <w:kern w:val="0"/>
        <w:position w:val="0"/>
        <w:sz w:val="21"/>
        <w:szCs w:val="21"/>
        <w:u w:val="none"/>
      </w:rPr>
    </w:lvl>
    <w:lvl w:ilvl="2" w:tentative="0">
      <w:start w:val="1"/>
      <w:numFmt w:val="decimal"/>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00F7E3E"/>
    <w:rsid w:val="06271D19"/>
    <w:rsid w:val="070805EE"/>
    <w:rsid w:val="0B9322EA"/>
    <w:rsid w:val="0CA81520"/>
    <w:rsid w:val="10E713C7"/>
    <w:rsid w:val="142851FC"/>
    <w:rsid w:val="14A526D6"/>
    <w:rsid w:val="15177D84"/>
    <w:rsid w:val="15E30295"/>
    <w:rsid w:val="16F412D7"/>
    <w:rsid w:val="18DA45EA"/>
    <w:rsid w:val="19B17A41"/>
    <w:rsid w:val="1C1C25FC"/>
    <w:rsid w:val="1D8E101C"/>
    <w:rsid w:val="1F463A58"/>
    <w:rsid w:val="20061B46"/>
    <w:rsid w:val="23E15141"/>
    <w:rsid w:val="28984501"/>
    <w:rsid w:val="2A3224D8"/>
    <w:rsid w:val="2D6C1E20"/>
    <w:rsid w:val="2E0B376C"/>
    <w:rsid w:val="2F386365"/>
    <w:rsid w:val="313F11AB"/>
    <w:rsid w:val="3DA571E0"/>
    <w:rsid w:val="404C551E"/>
    <w:rsid w:val="471C5C4A"/>
    <w:rsid w:val="49371697"/>
    <w:rsid w:val="49C16F7D"/>
    <w:rsid w:val="4B170EE0"/>
    <w:rsid w:val="4E2A3455"/>
    <w:rsid w:val="4E8862BB"/>
    <w:rsid w:val="574D00A2"/>
    <w:rsid w:val="5A026F22"/>
    <w:rsid w:val="5EB81FFB"/>
    <w:rsid w:val="66E04A8F"/>
    <w:rsid w:val="7157516E"/>
    <w:rsid w:val="719C7804"/>
    <w:rsid w:val="75A12D1C"/>
    <w:rsid w:val="79163980"/>
    <w:rsid w:val="7A1C4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1"/>
        <w:numId w:val="0"/>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1197</Words>
  <Characters>1283</Characters>
  <Lines>0</Lines>
  <Paragraphs>0</Paragraphs>
  <TotalTime>0</TotalTime>
  <ScaleCrop>false</ScaleCrop>
  <LinksUpToDate>false</LinksUpToDate>
  <CharactersWithSpaces>1298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2023-02-09T06:35:32Z</dcterms:modified>
  <dc:title>抵押权首次登记（二十四）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C3B7797D3F1440D3B9C402DEE9284E3D</vt:lpwstr>
  </property>
</Properties>
</file>