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61423280"/>
      <w:r>
        <w:t>异议登记</w:t>
      </w:r>
      <w:r>
        <w:rPr>
          <w:rFonts w:hint="eastAsia"/>
        </w:rPr>
        <w:t>（三十三）</w:t>
      </w:r>
      <w:bookmarkEnd w:id="0"/>
    </w:p>
    <w:p>
      <w:pPr>
        <w:tabs>
          <w:tab w:val="left" w:pos="1393"/>
        </w:tabs>
        <w:bidi w:val="0"/>
        <w:jc w:val="both"/>
        <w:rPr>
          <w:rFonts w:hint="eastAsia"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center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5" w:name="_GoBack"/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承办单位：九江市不动产登记中心柴桑区分中心窗口 </w:t>
      </w:r>
    </w:p>
    <w:bookmarkEnd w:id="5"/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53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bidi w:val="0"/>
        <w:ind w:firstLine="210" w:firstLineChars="10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center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异议登记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一、办理事项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利害关系人认为不动产登记簿记载的事项有错误，权利人不同意更正的，利害关系人可以申请异议登记。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二、办理依据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《民法典》《不动产登记暂行条例》《不动产登记暂行条例实施细则》。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）核对原件）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个人提交申请人身份证明；单位、企业提交《企业法人营业执照》及组织机构代码证，机关事业单位提交机关事业单位证明及组织机构代码证，社会团体提交社会团体登记证书及组织机构代码证；属代为申请登记的，还须提交授权委托书（原件）、代理人身份证明；境外委托的须认证或公证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证明不动产登记薄记载的事项错误的材料（原件）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证明对登记的不动产权利有害关系的材料（原件）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申请受理—审核登簿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缮证。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</w:pPr>
      <w:bookmarkStart w:id="1" w:name="_Toc54537022"/>
      <w:bookmarkStart w:id="2" w:name="_Toc54539813"/>
      <w:bookmarkStart w:id="3" w:name="_Toc54537365"/>
      <w:bookmarkStart w:id="4" w:name="_Toc54537681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住宅：40元/件，非住宅：275元/件</w:t>
      </w:r>
      <w:bookmarkEnd w:id="1"/>
      <w:bookmarkEnd w:id="2"/>
      <w:bookmarkEnd w:id="3"/>
      <w:bookmarkEnd w:id="4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对涉企不动产登记业务实行“零收费”（不含房地产开发及金融机构）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六、办事时限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  <w:t>1小时内办结。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办公时间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09：00-17:00（节假日正常办理登记业务）。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九江市柴桑区行政审批局一楼不动产登记大厅（柴桑区渊明大道6号）。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instrText xml:space="preserve"> HYPERLINK "http://bdcdj.jiujiang.gov.cn/" </w:instrTex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http://bdcdj.jiujiang.gov.cn/</w: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 w:val="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1350DA9"/>
    <w:rsid w:val="028265A2"/>
    <w:rsid w:val="07052AF8"/>
    <w:rsid w:val="07351A07"/>
    <w:rsid w:val="10877288"/>
    <w:rsid w:val="12511391"/>
    <w:rsid w:val="129839D8"/>
    <w:rsid w:val="17884E38"/>
    <w:rsid w:val="17C91D99"/>
    <w:rsid w:val="1C8F15AC"/>
    <w:rsid w:val="1CC0774B"/>
    <w:rsid w:val="231519E9"/>
    <w:rsid w:val="2703172E"/>
    <w:rsid w:val="299918E6"/>
    <w:rsid w:val="2CE73661"/>
    <w:rsid w:val="31A23387"/>
    <w:rsid w:val="3B047E5E"/>
    <w:rsid w:val="3B5842D6"/>
    <w:rsid w:val="3D480C6A"/>
    <w:rsid w:val="3F300695"/>
    <w:rsid w:val="413722A8"/>
    <w:rsid w:val="4212780E"/>
    <w:rsid w:val="42670D77"/>
    <w:rsid w:val="435A2A08"/>
    <w:rsid w:val="46803AEE"/>
    <w:rsid w:val="468549C2"/>
    <w:rsid w:val="479F2675"/>
    <w:rsid w:val="4BFD4C09"/>
    <w:rsid w:val="50DF7A4C"/>
    <w:rsid w:val="51D539E8"/>
    <w:rsid w:val="549A7091"/>
    <w:rsid w:val="5A367C77"/>
    <w:rsid w:val="5C7D3D80"/>
    <w:rsid w:val="5C8F6A0E"/>
    <w:rsid w:val="5E7C7DD8"/>
    <w:rsid w:val="5F6649D9"/>
    <w:rsid w:val="62502731"/>
    <w:rsid w:val="63EF2892"/>
    <w:rsid w:val="650F44B1"/>
    <w:rsid w:val="66723885"/>
    <w:rsid w:val="6826512B"/>
    <w:rsid w:val="6C005672"/>
    <w:rsid w:val="6FF7600E"/>
    <w:rsid w:val="74CA4506"/>
    <w:rsid w:val="790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651</Characters>
  <Lines>0</Lines>
  <Paragraphs>0</Paragraphs>
  <TotalTime>0</TotalTime>
  <ScaleCrop>false</ScaleCrop>
  <LinksUpToDate>false</LinksUpToDate>
  <CharactersWithSpaces>655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CA12FDE8A0C5431BA1187AEEED635E8C</vt:lpwstr>
  </property>
</Properties>
</file>