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heme="majorHAnsi" w:hAnsiTheme="majorHAnsi" w:eastAsiaTheme="majorEastAsia" w:cstheme="majorBidi"/>
          <w:b/>
          <w:bCs/>
          <w:kern w:val="2"/>
          <w:sz w:val="44"/>
          <w:szCs w:val="32"/>
          <w:lang w:val="en-US" w:eastAsia="zh-CN" w:bidi="ar-SA"/>
        </w:rPr>
      </w:pPr>
      <w:bookmarkStart w:id="0" w:name="_Toc61423282"/>
      <w:r>
        <w:t>查封登记</w:t>
      </w:r>
      <w:r>
        <w:rPr>
          <w:rFonts w:hint="eastAsia"/>
        </w:rPr>
        <w:t>（三十五）</w:t>
      </w:r>
      <w:bookmarkEnd w:id="0"/>
    </w:p>
    <w:p>
      <w:pPr>
        <w:tabs>
          <w:tab w:val="left" w:pos="1243"/>
        </w:tabs>
        <w:bidi w:val="0"/>
        <w:jc w:val="center"/>
        <w:rPr>
          <w:rFonts w:hint="eastAsia" w:asciiTheme="majorHAnsi" w:hAnsiTheme="majorHAnsi" w:eastAsiaTheme="majorEastAsia" w:cstheme="majorBidi"/>
          <w:b/>
          <w:bCs/>
          <w:kern w:val="2"/>
          <w:sz w:val="44"/>
          <w:szCs w:val="32"/>
          <w:lang w:val="en-US" w:eastAsia="zh-CN" w:bidi="ar-SA"/>
        </w:rPr>
      </w:pPr>
    </w:p>
    <w:p>
      <w:pPr>
        <w:bidi w:val="0"/>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tabs>
          <w:tab w:val="left" w:pos="3153"/>
        </w:tabs>
        <w:bidi w:val="0"/>
        <w:jc w:val="both"/>
        <w:rPr>
          <w:rFonts w:hint="eastAsia" w:cstheme="minorBidi"/>
          <w:kern w:val="2"/>
          <w:sz w:val="21"/>
          <w:szCs w:val="24"/>
          <w:lang w:val="en-US" w:eastAsia="zh-CN" w:bidi="ar-SA"/>
        </w:rPr>
      </w:pPr>
    </w:p>
    <w:p>
      <w:pPr>
        <w:tabs>
          <w:tab w:val="left" w:pos="1393"/>
        </w:tabs>
        <w:bidi w:val="0"/>
        <w:ind w:firstLine="210" w:firstLineChars="100"/>
        <w:jc w:val="both"/>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bookmarkStart w:id="33" w:name="_GoBack"/>
      <w:r>
        <w:rPr>
          <w:rFonts w:hint="eastAsia" w:ascii="仿宋" w:hAnsi="仿宋" w:eastAsia="仿宋" w:cs="Times New Roman"/>
          <w:kern w:val="0"/>
          <w:sz w:val="30"/>
          <w:szCs w:val="30"/>
          <w:lang w:val="en-US" w:eastAsia="zh-CN" w:bidi="ar-SA"/>
        </w:rPr>
        <w:t>咨询电话：18172922353</w:t>
      </w:r>
    </w:p>
    <w:bookmarkEnd w:id="33"/>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default"/>
          <w:sz w:val="24"/>
          <w:szCs w:val="24"/>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查封登记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both"/>
        <w:rPr>
          <w:rFonts w:hint="eastAsia"/>
          <w:lang w:val="en-US" w:eastAsia="zh-CN"/>
        </w:rPr>
      </w:pPr>
    </w:p>
    <w:p>
      <w:pPr>
        <w:tabs>
          <w:tab w:val="left" w:pos="1243"/>
        </w:tabs>
        <w:bidi w:val="0"/>
        <w:jc w:val="both"/>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人民法院、人民检察院、公安机关等有权机关依法限制不动产权利或者人民政府其他有权部门依法没收、收回、征收不动产或者以其他形式限制不动产权利，并嘱托登记机构依据其生效法律文书或其他嘱托文件进行登记的，适用查封登记。</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 w:name="_Toc54537373"/>
      <w:bookmarkStart w:id="2" w:name="_Toc54539821"/>
      <w:bookmarkStart w:id="3" w:name="_Toc54537689"/>
      <w:bookmarkStart w:id="4" w:name="_Toc54537030"/>
      <w:r>
        <w:rPr>
          <w:rFonts w:hint="eastAsia" w:ascii="仿宋" w:hAnsi="仿宋" w:eastAsia="仿宋"/>
          <w:sz w:val="30"/>
          <w:szCs w:val="30"/>
        </w:rPr>
        <w:t>预查封：</w:t>
      </w:r>
      <w:bookmarkEnd w:id="1"/>
      <w:bookmarkEnd w:id="2"/>
      <w:bookmarkEnd w:id="3"/>
      <w:bookmarkEnd w:id="4"/>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5" w:name="_Toc54537031"/>
      <w:bookmarkStart w:id="6" w:name="_Toc54537374"/>
      <w:bookmarkStart w:id="7" w:name="_Toc54539822"/>
      <w:bookmarkStart w:id="8" w:name="_Toc54537690"/>
      <w:r>
        <w:rPr>
          <w:rFonts w:hint="eastAsia" w:ascii="仿宋" w:hAnsi="仿宋" w:eastAsia="仿宋"/>
          <w:sz w:val="30"/>
          <w:szCs w:val="30"/>
        </w:rPr>
        <w:t>对于已经办理不动产登记并记载于登记簿的不动产，办理查封登记；对下述情形的不动产，办理预查封登记。</w:t>
      </w:r>
      <w:bookmarkEnd w:id="5"/>
      <w:bookmarkEnd w:id="6"/>
      <w:bookmarkEnd w:id="7"/>
      <w:bookmarkEnd w:id="8"/>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9" w:name="_Toc54537032"/>
      <w:bookmarkStart w:id="10" w:name="_Toc54537691"/>
      <w:bookmarkStart w:id="11" w:name="_Toc54537375"/>
      <w:bookmarkStart w:id="12" w:name="_Toc54539823"/>
      <w:r>
        <w:rPr>
          <w:rFonts w:hint="eastAsia" w:ascii="仿宋" w:hAnsi="仿宋" w:eastAsia="仿宋"/>
          <w:sz w:val="30"/>
          <w:szCs w:val="30"/>
        </w:rPr>
        <w:t>（1）作为被执行人的房地产开发企业，经嘱托机关查明，办理了商品房预售许可证且但尚未办理不动产首次登记的房地产；</w:t>
      </w:r>
      <w:bookmarkEnd w:id="9"/>
      <w:bookmarkEnd w:id="10"/>
      <w:bookmarkEnd w:id="11"/>
      <w:bookmarkEnd w:id="12"/>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3" w:name="_Toc54539824"/>
      <w:bookmarkStart w:id="14" w:name="_Toc54537692"/>
      <w:bookmarkStart w:id="15" w:name="_Toc54537033"/>
      <w:bookmarkStart w:id="16" w:name="_Toc54537376"/>
      <w:r>
        <w:rPr>
          <w:rFonts w:hint="eastAsia" w:ascii="仿宋" w:hAnsi="仿宋" w:eastAsia="仿宋"/>
          <w:sz w:val="30"/>
          <w:szCs w:val="30"/>
        </w:rPr>
        <w:t>（2）被执行人购买的已办理了商品房预售合同备案手续或者预告登记的房地产；</w:t>
      </w:r>
      <w:bookmarkEnd w:id="13"/>
      <w:bookmarkEnd w:id="14"/>
      <w:bookmarkEnd w:id="15"/>
      <w:bookmarkEnd w:id="16"/>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7" w:name="_Toc54537693"/>
      <w:bookmarkStart w:id="18" w:name="_Toc54539825"/>
      <w:bookmarkStart w:id="19" w:name="_Toc54537034"/>
      <w:bookmarkStart w:id="20" w:name="_Toc54537377"/>
      <w:r>
        <w:rPr>
          <w:rFonts w:hint="eastAsia" w:ascii="仿宋" w:hAnsi="仿宋" w:eastAsia="仿宋"/>
          <w:sz w:val="30"/>
          <w:szCs w:val="30"/>
        </w:rPr>
        <w:t>（3）被执行人购买的已由房地产开发企业办理了房屋所有权首次登记，但被执行人尚未取得不动产权证书的房地产；</w:t>
      </w:r>
      <w:bookmarkEnd w:id="17"/>
      <w:bookmarkEnd w:id="18"/>
      <w:bookmarkEnd w:id="19"/>
      <w:bookmarkEnd w:id="20"/>
      <w:r>
        <w:rPr>
          <w:rFonts w:hint="eastAsia"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21" w:name="_Toc54537378"/>
      <w:bookmarkStart w:id="22" w:name="_Toc54537694"/>
      <w:bookmarkStart w:id="23" w:name="_Toc54539826"/>
      <w:bookmarkStart w:id="24" w:name="_Toc54537035"/>
      <w:r>
        <w:rPr>
          <w:rFonts w:hint="eastAsia" w:ascii="仿宋" w:hAnsi="仿宋" w:eastAsia="仿宋"/>
          <w:sz w:val="30"/>
          <w:szCs w:val="30"/>
        </w:rPr>
        <w:t>（4）经司法文书确定为被执行人的尚未登记的不动产；</w:t>
      </w:r>
      <w:bookmarkEnd w:id="21"/>
      <w:bookmarkEnd w:id="22"/>
      <w:bookmarkEnd w:id="23"/>
      <w:bookmarkEnd w:id="24"/>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25" w:name="_Toc54537036"/>
      <w:bookmarkStart w:id="26" w:name="_Toc54537379"/>
      <w:bookmarkStart w:id="27" w:name="_Toc54539827"/>
      <w:bookmarkStart w:id="28" w:name="_Toc54537695"/>
      <w:r>
        <w:rPr>
          <w:rFonts w:hint="eastAsia" w:ascii="仿宋" w:hAnsi="仿宋" w:eastAsia="仿宋"/>
          <w:sz w:val="30"/>
          <w:szCs w:val="30"/>
        </w:rPr>
        <w:t>（5）其他已有证据证明属于被执行人但尚未进行登记的不动产；</w:t>
      </w:r>
      <w:bookmarkEnd w:id="25"/>
      <w:bookmarkEnd w:id="26"/>
      <w:bookmarkEnd w:id="27"/>
      <w:bookmarkEnd w:id="28"/>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bookmarkStart w:id="29" w:name="_Toc54537696"/>
      <w:bookmarkStart w:id="30" w:name="_Toc54539828"/>
      <w:bookmarkStart w:id="31" w:name="_Toc54537380"/>
      <w:bookmarkStart w:id="32" w:name="_Toc54537037"/>
      <w:r>
        <w:rPr>
          <w:rFonts w:hint="eastAsia" w:ascii="仿宋" w:hAnsi="仿宋" w:eastAsia="仿宋"/>
          <w:sz w:val="30"/>
          <w:szCs w:val="30"/>
        </w:rPr>
        <w:t>（6）法律、行政法规规定的其他情形。</w:t>
      </w:r>
      <w:bookmarkEnd w:id="29"/>
      <w:bookmarkEnd w:id="30"/>
      <w:bookmarkEnd w:id="31"/>
      <w:bookmarkEnd w:id="32"/>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工作证和执行公务证（原件）：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人民法院、人民检察院或公安等人民政府有权机关送达人的工作证和执行公务的证明文件。委托其他法院送达的，应当提交委托送达函。</w:t>
      </w:r>
      <w:r>
        <w:rPr>
          <w:rFonts w:ascii="仿宋" w:hAnsi="仿宋" w:eastAsia="仿宋"/>
          <w:sz w:val="30"/>
          <w:szCs w:val="30"/>
        </w:rPr>
        <w:t>审查要点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相关证明材料；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（1）人民法院查封的，应提交查封或者预查封的协助执行通知书；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（2）人民检察院查封的，应提交查封函；</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（3）公安等人民政府有权机关查封的，应提交协助查封通知书。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因两个或以上嘱托事项查封同一不动产的，不动产登记机构应当为先送达查封通知书的嘱托机关办理查封登记，对后送达的嘱托机关办理轮候查封登记。轮候查封登记的顺序按照嘱托机关嘱托文书依法送达不动产登记机构的时间先后进行排列。</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ascii="仿宋" w:hAnsi="仿宋" w:eastAsia="仿宋"/>
          <w:sz w:val="30"/>
          <w:szCs w:val="30"/>
        </w:rPr>
      </w:pPr>
      <w:r>
        <w:rPr>
          <w:rFonts w:ascii="仿宋" w:hAnsi="仿宋" w:eastAsia="仿宋"/>
          <w:sz w:val="30"/>
          <w:szCs w:val="30"/>
        </w:rPr>
        <w:t>不动产在预查封期间登记在被执行人名下的，预查封登记自动转为查封登记，预查封转为正式查封后，查封期限从预查封之日起计算。</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numPr>
          <w:ilvl w:val="0"/>
          <w:numId w:val="0"/>
        </w:numPr>
        <w:kinsoku/>
        <w:wordWrap/>
        <w:overflowPunct/>
        <w:topLinePunct w:val="0"/>
        <w:bidi w:val="0"/>
        <w:adjustRightInd/>
        <w:snapToGrid/>
        <w:spacing w:line="520" w:lineRule="exact"/>
        <w:ind w:leftChars="0" w:firstLine="568"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spacing w:val="-8"/>
          <w:kern w:val="0"/>
          <w:sz w:val="30"/>
          <w:szCs w:val="30"/>
        </w:rPr>
        <w:t>申请受理—审核登簿</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kern w:val="0"/>
          <w:sz w:val="30"/>
          <w:szCs w:val="30"/>
        </w:rPr>
        <w:t>免收登记费。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立办立结</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七、</w:t>
      </w:r>
      <w:r>
        <w:rPr>
          <w:rFonts w:hint="eastAsia" w:ascii="黑体" w:hAnsi="黑体" w:eastAsia="黑体" w:cs="黑体"/>
          <w:kern w:val="2"/>
          <w:sz w:val="30"/>
          <w:szCs w:val="30"/>
          <w:lang w:val="en-US" w:eastAsia="zh-CN" w:bidi="ar-SA"/>
        </w:rPr>
        <w:t>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八、</w:t>
      </w:r>
      <w:r>
        <w:rPr>
          <w:rFonts w:hint="eastAsia" w:ascii="黑体" w:hAnsi="黑体" w:eastAsia="黑体" w:cs="黑体"/>
          <w:sz w:val="30"/>
          <w:szCs w:val="30"/>
          <w:lang w:val="en-US" w:eastAsia="zh-CN"/>
        </w:rPr>
        <w:t>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b w:val="0"/>
          <w:bCs w:val="0"/>
          <w:kern w:val="0"/>
          <w:sz w:val="30"/>
          <w:szCs w:val="30"/>
          <w:lang w:val="en-US" w:eastAsia="zh-CN" w:bidi="ar-SA"/>
        </w:rPr>
      </w:pPr>
      <w:r>
        <w:rPr>
          <w:rFonts w:hint="eastAsia" w:ascii="仿宋" w:hAnsi="仿宋" w:eastAsia="仿宋" w:cs="Times New Roman"/>
          <w:b w:val="0"/>
          <w:bCs w:val="0"/>
          <w:kern w:val="0"/>
          <w:sz w:val="30"/>
          <w:szCs w:val="30"/>
          <w:lang w:val="en-US" w:eastAsia="zh-CN" w:bidi="ar-SA"/>
        </w:rPr>
        <w:fldChar w:fldCharType="begin"/>
      </w:r>
      <w:r>
        <w:rPr>
          <w:rFonts w:hint="eastAsia" w:ascii="仿宋" w:hAnsi="仿宋" w:eastAsia="仿宋" w:cs="Times New Roman"/>
          <w:b w:val="0"/>
          <w:bCs w:val="0"/>
          <w:kern w:val="0"/>
          <w:sz w:val="30"/>
          <w:szCs w:val="30"/>
          <w:lang w:val="en-US" w:eastAsia="zh-CN" w:bidi="ar-SA"/>
        </w:rPr>
        <w:instrText xml:space="preserve"> HYPERLINK "http://bdcdj.jiujiang.gov.cn/" </w:instrText>
      </w:r>
      <w:r>
        <w:rPr>
          <w:rFonts w:hint="eastAsia" w:ascii="仿宋" w:hAnsi="仿宋" w:eastAsia="仿宋" w:cs="Times New Roman"/>
          <w:b w:val="0"/>
          <w:bCs w:val="0"/>
          <w:kern w:val="0"/>
          <w:sz w:val="30"/>
          <w:szCs w:val="30"/>
          <w:lang w:val="en-US" w:eastAsia="zh-CN" w:bidi="ar-SA"/>
        </w:rPr>
        <w:fldChar w:fldCharType="separate"/>
      </w:r>
      <w:r>
        <w:rPr>
          <w:rFonts w:hint="eastAsia" w:ascii="仿宋" w:hAnsi="仿宋" w:eastAsia="仿宋" w:cs="Times New Roman"/>
          <w:b w:val="0"/>
          <w:bCs w:val="0"/>
          <w:kern w:val="0"/>
          <w:sz w:val="30"/>
          <w:szCs w:val="30"/>
          <w:lang w:val="en-US" w:eastAsia="zh-CN" w:bidi="ar-SA"/>
        </w:rPr>
        <w:t>http://bdcdj.jiujiang.gov.cn/</w:t>
      </w:r>
      <w:r>
        <w:rPr>
          <w:rFonts w:hint="eastAsia" w:ascii="仿宋" w:hAnsi="仿宋" w:eastAsia="仿宋" w:cs="Times New Roman"/>
          <w:b w:val="0"/>
          <w:bCs w:val="0"/>
          <w:kern w:val="0"/>
          <w:sz w:val="30"/>
          <w:szCs w:val="30"/>
          <w:lang w:val="en-US" w:eastAsia="zh-CN" w:bidi="ar-SA"/>
        </w:rPr>
        <w:fldChar w:fldCharType="end"/>
      </w:r>
      <w:r>
        <w:rPr>
          <w:rFonts w:hint="eastAsia" w:ascii="仿宋" w:hAnsi="仿宋" w:eastAsia="仿宋" w:cs="Times New Roman"/>
          <w:b w:val="0"/>
          <w:bCs w:val="0"/>
          <w:kern w:val="0"/>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560" w:firstLineChars="200"/>
        <w:jc w:val="left"/>
        <w:textAlignment w:val="auto"/>
        <w:rPr>
          <w:rFonts w:hint="default" w:ascii="仿宋" w:hAnsi="仿宋" w:eastAsia="仿宋" w:cs="Times New Roman"/>
          <w:b w:val="0"/>
          <w:bCs w:val="0"/>
          <w:kern w:val="0"/>
          <w:sz w:val="28"/>
          <w:szCs w:val="28"/>
          <w:lang w:val="en-US" w:eastAsia="zh-CN" w:bidi="ar-SA"/>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350DA9"/>
    <w:rsid w:val="03F14803"/>
    <w:rsid w:val="04C213AF"/>
    <w:rsid w:val="07052AF8"/>
    <w:rsid w:val="0E742767"/>
    <w:rsid w:val="10877288"/>
    <w:rsid w:val="12511391"/>
    <w:rsid w:val="129839D8"/>
    <w:rsid w:val="152F25C1"/>
    <w:rsid w:val="1B391A9C"/>
    <w:rsid w:val="1C8F15AC"/>
    <w:rsid w:val="1CC0774B"/>
    <w:rsid w:val="1D3302CE"/>
    <w:rsid w:val="20A83220"/>
    <w:rsid w:val="2BD567BB"/>
    <w:rsid w:val="2CE73661"/>
    <w:rsid w:val="2F90069D"/>
    <w:rsid w:val="35AD193E"/>
    <w:rsid w:val="3B047E5E"/>
    <w:rsid w:val="3D192AFE"/>
    <w:rsid w:val="3D480C6A"/>
    <w:rsid w:val="3F300695"/>
    <w:rsid w:val="413722A8"/>
    <w:rsid w:val="4212780E"/>
    <w:rsid w:val="42670D77"/>
    <w:rsid w:val="435A2A08"/>
    <w:rsid w:val="4463402B"/>
    <w:rsid w:val="446F07FE"/>
    <w:rsid w:val="44932C28"/>
    <w:rsid w:val="479F2675"/>
    <w:rsid w:val="4BFD4C09"/>
    <w:rsid w:val="5059420E"/>
    <w:rsid w:val="50EA1DE6"/>
    <w:rsid w:val="50FC6D92"/>
    <w:rsid w:val="51D539E8"/>
    <w:rsid w:val="523D0E4F"/>
    <w:rsid w:val="538D4574"/>
    <w:rsid w:val="549A7091"/>
    <w:rsid w:val="55955204"/>
    <w:rsid w:val="5A367C77"/>
    <w:rsid w:val="5C8F6A0E"/>
    <w:rsid w:val="5E7C7DD8"/>
    <w:rsid w:val="5F6649D9"/>
    <w:rsid w:val="62502731"/>
    <w:rsid w:val="627604AD"/>
    <w:rsid w:val="63EF2892"/>
    <w:rsid w:val="650F44B1"/>
    <w:rsid w:val="6826512B"/>
    <w:rsid w:val="6C735A5D"/>
    <w:rsid w:val="6FF7600E"/>
    <w:rsid w:val="74CA4506"/>
    <w:rsid w:val="79040C09"/>
    <w:rsid w:val="795A292E"/>
    <w:rsid w:val="7ADA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979</Words>
  <Characters>1046</Characters>
  <Lines>0</Lines>
  <Paragraphs>0</Paragraphs>
  <TotalTime>0</TotalTime>
  <ScaleCrop>false</ScaleCrop>
  <LinksUpToDate>false</LinksUpToDate>
  <CharactersWithSpaces>1052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A3ECE099E1FA43369F5094A191A9DB7B</vt:lpwstr>
  </property>
</Properties>
</file>