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cs="仿宋_GB2312" w:asciiTheme="minorEastAsia" w:hAnsiTheme="minorEastAsia" w:eastAsiaTheme="minorEastAsia"/>
          <w:b/>
          <w:bCs/>
          <w:sz w:val="44"/>
          <w:szCs w:val="44"/>
        </w:rPr>
      </w:pPr>
      <w:r>
        <w:rPr>
          <w:rFonts w:cs="仿宋_GB2312" w:asciiTheme="minorEastAsia" w:hAnsiTheme="minorEastAsia" w:eastAsiaTheme="minorEastAsia"/>
          <w:b/>
          <w:bCs/>
          <w:sz w:val="44"/>
          <w:szCs w:val="44"/>
        </w:rPr>
        <w:t>20</w:t>
      </w:r>
      <w:r>
        <w:rPr>
          <w:rFonts w:hint="eastAsia" w:cs="仿宋_GB2312" w:asciiTheme="minorEastAsia" w:hAnsiTheme="minorEastAsia" w:eastAsiaTheme="minorEastAsia"/>
          <w:b/>
          <w:bCs/>
          <w:sz w:val="44"/>
          <w:szCs w:val="44"/>
        </w:rPr>
        <w:t>21年部门预算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（公开样式）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tabs>
          <w:tab w:val="left" w:pos="2694"/>
        </w:tabs>
        <w:rPr>
          <w:rFonts w:hint="eastAsia" w:ascii="仿宋" w:hAnsi="仿宋" w:eastAsia="仿宋" w:cs="仿宋_GB2312"/>
          <w:sz w:val="32"/>
          <w:szCs w:val="32"/>
        </w:rPr>
      </w:pPr>
    </w:p>
    <w:p>
      <w:pPr>
        <w:tabs>
          <w:tab w:val="left" w:pos="2694"/>
        </w:tabs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单位名称（盖章）：江洲镇人民政府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报送日期：2021年1月30日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单位负责人（签章）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王新丰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经办人（签章）：汪意</w:t>
      </w:r>
    </w:p>
    <w:p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52"/>
          <w:szCs w:val="52"/>
        </w:rPr>
      </w:pPr>
      <w:r>
        <w:rPr>
          <w:rFonts w:hint="eastAsia" w:ascii="仿宋" w:hAnsi="仿宋" w:eastAsia="仿宋" w:cs="仿宋_GB2312"/>
          <w:b/>
          <w:bCs/>
          <w:sz w:val="52"/>
          <w:szCs w:val="52"/>
        </w:rPr>
        <w:t>九江市柴桑区江洲镇人民政府</w:t>
      </w:r>
      <w:r>
        <w:rPr>
          <w:rFonts w:ascii="仿宋" w:hAnsi="仿宋" w:eastAsia="仿宋" w:cs="仿宋_GB2312"/>
          <w:b/>
          <w:bCs/>
          <w:sz w:val="52"/>
          <w:szCs w:val="52"/>
        </w:rPr>
        <w:t>20</w:t>
      </w:r>
      <w:r>
        <w:rPr>
          <w:rFonts w:hint="eastAsia" w:ascii="仿宋" w:hAnsi="仿宋" w:eastAsia="仿宋" w:cs="仿宋_GB2312"/>
          <w:b/>
          <w:bCs/>
          <w:sz w:val="52"/>
          <w:szCs w:val="52"/>
        </w:rPr>
        <w:t>21年部门预算公开</w:t>
      </w:r>
    </w:p>
    <w:p>
      <w:pPr>
        <w:spacing w:line="500" w:lineRule="exact"/>
        <w:jc w:val="center"/>
        <w:rPr>
          <w:rFonts w:ascii="仿宋" w:hAnsi="仿宋" w:eastAsia="仿宋" w:cs="Times New Roman"/>
          <w:sz w:val="52"/>
          <w:szCs w:val="52"/>
        </w:rPr>
      </w:pPr>
    </w:p>
    <w:p>
      <w:pPr>
        <w:spacing w:line="500" w:lineRule="exact"/>
        <w:jc w:val="center"/>
        <w:rPr>
          <w:rFonts w:ascii="仿宋" w:hAnsi="仿宋" w:eastAsia="仿宋" w:cs="Times New Roman"/>
          <w:b/>
          <w:bCs/>
          <w:sz w:val="52"/>
          <w:szCs w:val="52"/>
        </w:rPr>
      </w:pPr>
      <w:r>
        <w:rPr>
          <w:rFonts w:hint="eastAsia" w:ascii="仿宋" w:hAnsi="仿宋" w:eastAsia="仿宋" w:cs="仿宋_GB2312"/>
          <w:b/>
          <w:bCs/>
          <w:sz w:val="52"/>
          <w:szCs w:val="52"/>
        </w:rPr>
        <w:t>目录</w:t>
      </w:r>
    </w:p>
    <w:p>
      <w:pPr>
        <w:spacing w:line="500" w:lineRule="exact"/>
        <w:rPr>
          <w:rFonts w:ascii="仿宋" w:hAnsi="仿宋" w:eastAsia="仿宋" w:cs="Times New Roman"/>
          <w:sz w:val="52"/>
          <w:szCs w:val="52"/>
        </w:rPr>
      </w:pPr>
    </w:p>
    <w:p>
      <w:pPr>
        <w:spacing w:line="500" w:lineRule="exact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第一部分部门概况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部门主要职能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部门预算单位构成</w:t>
      </w:r>
    </w:p>
    <w:p>
      <w:pPr>
        <w:spacing w:line="50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第二部分</w:t>
      </w:r>
      <w:r>
        <w:rPr>
          <w:rFonts w:ascii="仿宋" w:hAnsi="仿宋" w:eastAsia="仿宋" w:cs="仿宋_GB2312"/>
          <w:bCs/>
          <w:sz w:val="32"/>
          <w:szCs w:val="32"/>
        </w:rPr>
        <w:t>20</w:t>
      </w:r>
      <w:r>
        <w:rPr>
          <w:rFonts w:hint="eastAsia" w:ascii="仿宋" w:hAnsi="仿宋" w:eastAsia="仿宋" w:cs="仿宋_GB2312"/>
          <w:bCs/>
          <w:sz w:val="32"/>
          <w:szCs w:val="32"/>
        </w:rPr>
        <w:t>21年部门预算情况说明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收入预算情况说明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支出预算情况说明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财政拨款预算收支说明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机关运行经费情况说明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“三公”经费预算安排情况说明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政府采购预算情况说明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国有资产占用情况说明</w:t>
      </w:r>
    </w:p>
    <w:p>
      <w:pPr>
        <w:pStyle w:val="7"/>
        <w:numPr>
          <w:ilvl w:val="0"/>
          <w:numId w:val="2"/>
        </w:numPr>
        <w:spacing w:line="500" w:lineRule="exact"/>
        <w:ind w:firstLine="289" w:firstLineChars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重点项目预算的绩效目标等预算绩效情况说明</w:t>
      </w:r>
    </w:p>
    <w:p>
      <w:pPr>
        <w:spacing w:line="500" w:lineRule="exact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第三部分</w:t>
      </w:r>
      <w:r>
        <w:rPr>
          <w:rFonts w:ascii="仿宋" w:hAnsi="仿宋" w:eastAsia="仿宋" w:cs="仿宋_GB2312"/>
          <w:bCs/>
          <w:sz w:val="32"/>
          <w:szCs w:val="32"/>
        </w:rPr>
        <w:t>20</w:t>
      </w:r>
      <w:r>
        <w:rPr>
          <w:rFonts w:hint="eastAsia" w:ascii="仿宋" w:hAnsi="仿宋" w:eastAsia="仿宋" w:cs="仿宋_GB2312"/>
          <w:bCs/>
          <w:sz w:val="32"/>
          <w:szCs w:val="32"/>
        </w:rPr>
        <w:t>21年预算公开表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部门收支总表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部门收入总表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部门支出总表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财政拨款收支总表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一般公共预算支出表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一般公共预算基本支出表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政府性基金预算支出表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“三公”经费支出明细表</w:t>
      </w:r>
    </w:p>
    <w:p>
      <w:pPr>
        <w:pStyle w:val="7"/>
        <w:numPr>
          <w:ilvl w:val="0"/>
          <w:numId w:val="3"/>
        </w:numPr>
        <w:spacing w:line="500" w:lineRule="exact"/>
        <w:ind w:firstLine="289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政府采购预算表</w:t>
      </w:r>
    </w:p>
    <w:p>
      <w:pPr>
        <w:ind w:firstLine="482" w:firstLineChars="150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一、部门主要职责</w:t>
      </w:r>
    </w:p>
    <w:p>
      <w:pPr>
        <w:pStyle w:val="11"/>
        <w:ind w:firstLine="643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1、加强党的建设。</w:t>
      </w:r>
      <w:r>
        <w:rPr>
          <w:rFonts w:hint="eastAsia" w:ascii="仿宋" w:hAnsi="仿宋" w:eastAsia="仿宋" w:cs="仿宋_GB2312"/>
          <w:sz w:val="32"/>
          <w:szCs w:val="32"/>
        </w:rPr>
        <w:t>落实基层党建工作责任制，统筹推进辖区基层党建工作，实现党的组织和工作全覆盖，落实全面从严治党政治责任，落实意识形态工作责任，负责辖区宣传思想和精神文明建设；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2、促进经济发展。</w:t>
      </w:r>
      <w:r>
        <w:rPr>
          <w:rFonts w:hint="eastAsia" w:ascii="仿宋" w:hAnsi="仿宋" w:eastAsia="仿宋" w:cs="仿宋_GB2312"/>
          <w:sz w:val="32"/>
          <w:szCs w:val="32"/>
        </w:rPr>
        <w:t>统筹落实关于辖区发展的重大决策，因地制宜发展区域特色经济，指导辖区产业结构调整和推进经济增长方式转变，组织基础设施建设，落实强农惠农措施，为经济主体提供示范引导和政策服务，引导和促进新型农村专业合作经济组织发展，提高经济发展的质量和水平，努力增加居民收入；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3、组织公共服务。</w:t>
      </w:r>
      <w:r>
        <w:rPr>
          <w:rFonts w:hint="eastAsia" w:ascii="仿宋" w:hAnsi="仿宋" w:eastAsia="仿宋" w:cs="仿宋_GB2312"/>
          <w:sz w:val="32"/>
          <w:szCs w:val="32"/>
        </w:rPr>
        <w:t>建立和完善公共服务体系，组织实施与群众密切相关的各项公共服务，贯彻落实教育体育、民政、财政、科技、人力资源和社会保障、文化、卫生健康、土地流转等领域相关政策法规，推进便民服务平台标准化建设；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4、实施综合管理。</w:t>
      </w:r>
      <w:r>
        <w:rPr>
          <w:rFonts w:hint="eastAsia" w:ascii="仿宋" w:hAnsi="仿宋" w:eastAsia="仿宋" w:cs="仿宋_GB2312"/>
          <w:sz w:val="32"/>
          <w:szCs w:val="32"/>
        </w:rPr>
        <w:t>组织领导和综合协调辖区内村镇管理、人口管理、社会管理、经济发展、综合执法、文明创建等综合性社会管理工作；</w:t>
      </w:r>
    </w:p>
    <w:p>
      <w:pPr>
        <w:pStyle w:val="11"/>
        <w:ind w:firstLine="643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5、维护社会稳定。</w:t>
      </w:r>
      <w:r>
        <w:rPr>
          <w:rFonts w:hint="eastAsia" w:ascii="仿宋" w:hAnsi="仿宋" w:eastAsia="仿宋" w:cs="仿宋_GB2312"/>
          <w:sz w:val="32"/>
          <w:szCs w:val="32"/>
        </w:rPr>
        <w:t>负责辖区公共安全及安全生产监管，构建公共安全防控体系，建立应对突发紧急事件的处理预案，做好安全生产、防汛、防疫、减灾救灾等工作，承担辖区平安建设和社会治安综合治理，落实社会矛盾纠纷排查调处机制，及时化解辖区社会矛盾，确保社会稳定；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6、指导基层自治。</w:t>
      </w:r>
      <w:r>
        <w:rPr>
          <w:rFonts w:hint="eastAsia" w:ascii="仿宋" w:hAnsi="仿宋" w:eastAsia="仿宋" w:cs="仿宋_GB2312"/>
          <w:sz w:val="32"/>
          <w:szCs w:val="32"/>
        </w:rPr>
        <w:t>指导村（居）民委员会建设，组织居民和单位参与村（社区）建设和管理，健全完善自治、法治、德治相结合的基层治理体系，推进村（居）务公开；</w:t>
      </w:r>
    </w:p>
    <w:p>
      <w:pPr>
        <w:pStyle w:val="11"/>
        <w:ind w:firstLine="643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7、动员社会参与。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8、实施乡村振兴战略。</w:t>
      </w:r>
      <w:r>
        <w:rPr>
          <w:rFonts w:hint="eastAsia" w:ascii="仿宋" w:hAnsi="仿宋" w:eastAsia="仿宋" w:cs="仿宋_GB2312"/>
          <w:sz w:val="32"/>
          <w:szCs w:val="32"/>
        </w:rPr>
        <w:t>贯彻落实中央、省、市、区关于实施乡村振兴战略的决策部署，提升产业发展质量，推进乡村绿色发展，打造生态宜居美丽乡村；</w:t>
      </w:r>
    </w:p>
    <w:p>
      <w:pPr>
        <w:pStyle w:val="11"/>
        <w:ind w:firstLine="643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9、加强财税管理。</w:t>
      </w:r>
      <w:r>
        <w:rPr>
          <w:rFonts w:hint="eastAsia" w:ascii="仿宋" w:hAnsi="仿宋" w:eastAsia="仿宋" w:cs="仿宋_GB2312"/>
          <w:sz w:val="32"/>
          <w:szCs w:val="32"/>
        </w:rPr>
        <w:t>负责本级财务以及集体资产管理工作，协助做好税收征管工作，指导监督村（社区）财务和资产管理工作；</w:t>
      </w:r>
    </w:p>
    <w:p>
      <w:pPr>
        <w:pStyle w:val="11"/>
        <w:ind w:firstLine="643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10、做好国防教育和兵役等工作；</w:t>
      </w:r>
    </w:p>
    <w:p>
      <w:pPr>
        <w:pStyle w:val="11"/>
        <w:ind w:firstLine="643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11、区委、区政府交办的其他各项工作任务。</w:t>
      </w:r>
    </w:p>
    <w:p>
      <w:pPr>
        <w:pStyle w:val="7"/>
        <w:ind w:firstLine="578" w:firstLineChars="180"/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pStyle w:val="7"/>
        <w:ind w:firstLine="578" w:firstLineChars="18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二、部门基本情况</w:t>
      </w:r>
    </w:p>
    <w:p>
      <w:pPr>
        <w:pStyle w:val="7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纳入本套部门预算汇编范围的单位共1个：江洲镇人民政府。编制人数61人，其中：行政编制30人，全部补助事业编制31人，实有人数45人，其中：在职45人，包括行政人员25人，全部事业人员20人。</w:t>
      </w:r>
    </w:p>
    <w:p>
      <w:pPr>
        <w:pStyle w:val="7"/>
        <w:numPr>
          <w:ilvl w:val="0"/>
          <w:numId w:val="4"/>
        </w:numPr>
        <w:ind w:firstLineChars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收入预算情况说明</w:t>
      </w:r>
    </w:p>
    <w:p>
      <w:pPr>
        <w:pStyle w:val="7"/>
        <w:ind w:firstLine="761" w:firstLineChars="238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本部门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21年度收入预算总计795.79万元，其中：财政拨款收入764.79万元，占收入预算总额96.1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；其他收入31万元，占收入预算总额3.9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ind w:firstLine="739" w:firstLineChars="23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四、支出预算情况说明</w:t>
      </w:r>
    </w:p>
    <w:p>
      <w:pPr>
        <w:pStyle w:val="7"/>
        <w:ind w:firstLine="697" w:firstLineChars="218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（一）一般公共支出预算总计795.79万元。其中：基本支出795.79万元，占支出预算总额100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，包括工资福利支出422.92万元、商品和服务支出141.48万元、对个人和家庭的补助支出183.39万元、其他资本性支出48万元。</w:t>
      </w:r>
    </w:p>
    <w:p>
      <w:pPr>
        <w:pStyle w:val="7"/>
        <w:ind w:firstLine="697" w:firstLineChars="218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按功能科目分类：一般公共服务支出737.26万元，占支出预算总额92.65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；社会保障和就业支出51.13万元，占支出预算总额6.42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；农林水支出7.4万元，占支出预算总额0.93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按经济科目分类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</w:rPr>
        <w:t>工资福利支出422.92万元，占支出预算总额53.14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；商品和服务支出141.48万元，占支出预算总额17.78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；对个人和家庭的补助支出183.39万元，占支出预算总额23.04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；其他资本性支出48万元，占支出预算总额6.04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ind w:firstLine="643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五、财政拨款支出预算情况说明</w:t>
      </w:r>
    </w:p>
    <w:p>
      <w:pPr>
        <w:pStyle w:val="7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本部门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21年度一般公共预算支出为764.79万元，占支出预算总额96.1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,同比增长28.17%，主要原因是：其他收入减少。</w:t>
      </w:r>
    </w:p>
    <w:p>
      <w:pPr>
        <w:pStyle w:val="7"/>
        <w:ind w:firstLine="800" w:firstLineChars="2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按功能科目分类：一般公共服务支出706.26万元，占支出预算总额88.75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；社会保障和就业支出51.13万元，占支出预算总额6.42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；农林水支出7.4万元，占支出预算总额0.93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按经济科目分类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</w:rPr>
        <w:t>工资福利支出422.92万元，占支出预算总额53.14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；商品和服务支出121.48万元，占支出预算总额15.26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；对个人和家庭的补助支出183.39万元，占支出预算总额23.05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；资本性支出37万元，占支出预算总额4.65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六、机关运行经费情况说明</w:t>
      </w:r>
    </w:p>
    <w:p>
      <w:pPr>
        <w:pStyle w:val="7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本部门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21年预算按机关运行经费691.26万元，较上年下降8.5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，主要原因是：坚持从严从简，勤俭办事，降低公务活动成本。</w:t>
      </w:r>
    </w:p>
    <w:p>
      <w:pPr>
        <w:pStyle w:val="7"/>
        <w:ind w:firstLine="578" w:firstLineChars="18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七、“三公”经费支出预算情况说明</w:t>
      </w:r>
    </w:p>
    <w:p>
      <w:pPr>
        <w:pStyle w:val="7"/>
        <w:ind w:firstLine="592" w:firstLineChars="18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本部门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21年度“三公”经费支出预算26万元，与较上年增长0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。其中：</w:t>
      </w:r>
    </w:p>
    <w:p>
      <w:pPr>
        <w:pStyle w:val="7"/>
        <w:numPr>
          <w:ilvl w:val="0"/>
          <w:numId w:val="5"/>
        </w:numPr>
        <w:ind w:firstLine="592" w:firstLineChars="18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因公出国（境）支出预算0万元，较上年增长0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,主要原因是：乡镇政府未涉及相关业务活动。</w:t>
      </w:r>
    </w:p>
    <w:p>
      <w:pPr>
        <w:pStyle w:val="7"/>
        <w:numPr>
          <w:ilvl w:val="0"/>
          <w:numId w:val="5"/>
        </w:numPr>
        <w:ind w:firstLine="592" w:firstLineChars="18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公务接待费支出预算18万元，较上年增长0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。其中：商务接待费支出预算18万元，较上年增长0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,主要原因是：认真贯彻各项要求，严格执行预算。</w:t>
      </w:r>
      <w:bookmarkStart w:id="0" w:name="_GoBack"/>
      <w:bookmarkEnd w:id="0"/>
    </w:p>
    <w:p>
      <w:pPr>
        <w:pStyle w:val="7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（三）公务用车购置及运行维护费支出预算8万元，其中：公务用车购置费支出预算0万元，较上年增长0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，主要原因是：本单位无公务用车购置计划；公务用车运行维护费支出预算8万元，较上年增长0</w:t>
      </w:r>
      <w:r>
        <w:rPr>
          <w:rFonts w:ascii="仿宋" w:hAnsi="仿宋" w:eastAsia="仿宋" w:cs="仿宋_GB2312"/>
          <w:sz w:val="32"/>
          <w:szCs w:val="32"/>
        </w:rPr>
        <w:t>%</w:t>
      </w:r>
      <w:r>
        <w:rPr>
          <w:rFonts w:hint="eastAsia" w:ascii="仿宋" w:hAnsi="仿宋" w:eastAsia="仿宋" w:cs="仿宋_GB2312"/>
          <w:sz w:val="32"/>
          <w:szCs w:val="32"/>
        </w:rPr>
        <w:t>,主要原因是严格执行公务用车管理制度。</w:t>
      </w:r>
    </w:p>
    <w:sectPr>
      <w:footerReference r:id="rId3" w:type="default"/>
      <w:pgSz w:w="11906" w:h="16838"/>
      <w:pgMar w:top="1418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28B5"/>
    <w:multiLevelType w:val="multilevel"/>
    <w:tmpl w:val="322628B5"/>
    <w:lvl w:ilvl="0" w:tentative="0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68EBFE6"/>
    <w:multiLevelType w:val="singleLevel"/>
    <w:tmpl w:val="368EBF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CD34C2"/>
    <w:multiLevelType w:val="multilevel"/>
    <w:tmpl w:val="65CD34C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D2748A"/>
    <w:multiLevelType w:val="multilevel"/>
    <w:tmpl w:val="70D2748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456D7A"/>
    <w:multiLevelType w:val="multilevel"/>
    <w:tmpl w:val="7E456D7A"/>
    <w:lvl w:ilvl="0" w:tentative="0">
      <w:start w:val="3"/>
      <w:numFmt w:val="japaneseCounting"/>
      <w:lvlText w:val="%1、"/>
      <w:lvlJc w:val="left"/>
      <w:pPr>
        <w:ind w:left="1440" w:hanging="720"/>
      </w:pPr>
      <w:rPr>
        <w:rFonts w:hint="default" w:cs="仿宋_GB2312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6A3F"/>
    <w:rsid w:val="000064A0"/>
    <w:rsid w:val="00023CA2"/>
    <w:rsid w:val="00035694"/>
    <w:rsid w:val="00071372"/>
    <w:rsid w:val="0008795D"/>
    <w:rsid w:val="0009202E"/>
    <w:rsid w:val="000A0C42"/>
    <w:rsid w:val="000B255A"/>
    <w:rsid w:val="000F2752"/>
    <w:rsid w:val="000F6D75"/>
    <w:rsid w:val="00100FAC"/>
    <w:rsid w:val="00111162"/>
    <w:rsid w:val="001269C6"/>
    <w:rsid w:val="001416D3"/>
    <w:rsid w:val="00152643"/>
    <w:rsid w:val="00163690"/>
    <w:rsid w:val="001744BC"/>
    <w:rsid w:val="001945CD"/>
    <w:rsid w:val="001B00B4"/>
    <w:rsid w:val="001C2AF4"/>
    <w:rsid w:val="001C53F5"/>
    <w:rsid w:val="00257EEA"/>
    <w:rsid w:val="00276A3F"/>
    <w:rsid w:val="002A4A42"/>
    <w:rsid w:val="002B48F1"/>
    <w:rsid w:val="002F0AB2"/>
    <w:rsid w:val="002F6F94"/>
    <w:rsid w:val="00304A3B"/>
    <w:rsid w:val="00344FB3"/>
    <w:rsid w:val="003547A8"/>
    <w:rsid w:val="00355EFA"/>
    <w:rsid w:val="00376F2B"/>
    <w:rsid w:val="0039120A"/>
    <w:rsid w:val="00394CBF"/>
    <w:rsid w:val="00397556"/>
    <w:rsid w:val="003A132C"/>
    <w:rsid w:val="003A1C9A"/>
    <w:rsid w:val="003A4860"/>
    <w:rsid w:val="003C7DC3"/>
    <w:rsid w:val="0040505D"/>
    <w:rsid w:val="00411804"/>
    <w:rsid w:val="00417981"/>
    <w:rsid w:val="0042230B"/>
    <w:rsid w:val="00447D8A"/>
    <w:rsid w:val="004507A4"/>
    <w:rsid w:val="00461FDA"/>
    <w:rsid w:val="00471628"/>
    <w:rsid w:val="00475FF9"/>
    <w:rsid w:val="004959B3"/>
    <w:rsid w:val="004D446D"/>
    <w:rsid w:val="004D6F2A"/>
    <w:rsid w:val="004E78F3"/>
    <w:rsid w:val="004F74AF"/>
    <w:rsid w:val="005B04F3"/>
    <w:rsid w:val="005B5A4E"/>
    <w:rsid w:val="005C061F"/>
    <w:rsid w:val="005F3CCE"/>
    <w:rsid w:val="00633D8C"/>
    <w:rsid w:val="00636573"/>
    <w:rsid w:val="00645FBA"/>
    <w:rsid w:val="006677BE"/>
    <w:rsid w:val="00670B36"/>
    <w:rsid w:val="006B4270"/>
    <w:rsid w:val="006B7D7A"/>
    <w:rsid w:val="006E0B91"/>
    <w:rsid w:val="006E7882"/>
    <w:rsid w:val="006F10EA"/>
    <w:rsid w:val="006F19B1"/>
    <w:rsid w:val="007B6D84"/>
    <w:rsid w:val="007D529F"/>
    <w:rsid w:val="007E3562"/>
    <w:rsid w:val="007E4E69"/>
    <w:rsid w:val="00825F08"/>
    <w:rsid w:val="00830FD4"/>
    <w:rsid w:val="008337F6"/>
    <w:rsid w:val="00864537"/>
    <w:rsid w:val="00865D69"/>
    <w:rsid w:val="008914DD"/>
    <w:rsid w:val="008D024C"/>
    <w:rsid w:val="008E5E5D"/>
    <w:rsid w:val="009B58A9"/>
    <w:rsid w:val="009C2E58"/>
    <w:rsid w:val="009D3B4F"/>
    <w:rsid w:val="009F0093"/>
    <w:rsid w:val="009F2BFC"/>
    <w:rsid w:val="00A50987"/>
    <w:rsid w:val="00A65F2B"/>
    <w:rsid w:val="00A91A8C"/>
    <w:rsid w:val="00AC20B1"/>
    <w:rsid w:val="00AC45B0"/>
    <w:rsid w:val="00AE0FEB"/>
    <w:rsid w:val="00B02C21"/>
    <w:rsid w:val="00B06D03"/>
    <w:rsid w:val="00B13121"/>
    <w:rsid w:val="00B2380D"/>
    <w:rsid w:val="00B47BBB"/>
    <w:rsid w:val="00B5532E"/>
    <w:rsid w:val="00B70964"/>
    <w:rsid w:val="00B905B9"/>
    <w:rsid w:val="00BA2AAE"/>
    <w:rsid w:val="00BB1A3F"/>
    <w:rsid w:val="00BD05A4"/>
    <w:rsid w:val="00BE1BDE"/>
    <w:rsid w:val="00BE3E25"/>
    <w:rsid w:val="00BF6314"/>
    <w:rsid w:val="00C03BCE"/>
    <w:rsid w:val="00C27216"/>
    <w:rsid w:val="00C337B0"/>
    <w:rsid w:val="00C4717D"/>
    <w:rsid w:val="00C56FC4"/>
    <w:rsid w:val="00C57935"/>
    <w:rsid w:val="00C633B4"/>
    <w:rsid w:val="00C8128D"/>
    <w:rsid w:val="00C828ED"/>
    <w:rsid w:val="00C93308"/>
    <w:rsid w:val="00D01023"/>
    <w:rsid w:val="00D04B1B"/>
    <w:rsid w:val="00D247C4"/>
    <w:rsid w:val="00D34AE8"/>
    <w:rsid w:val="00D42230"/>
    <w:rsid w:val="00D52C19"/>
    <w:rsid w:val="00D72816"/>
    <w:rsid w:val="00D777E6"/>
    <w:rsid w:val="00D86B02"/>
    <w:rsid w:val="00DE7BA4"/>
    <w:rsid w:val="00E17F47"/>
    <w:rsid w:val="00E27647"/>
    <w:rsid w:val="00E536BF"/>
    <w:rsid w:val="00E55175"/>
    <w:rsid w:val="00E640DE"/>
    <w:rsid w:val="00E67DBE"/>
    <w:rsid w:val="00E73759"/>
    <w:rsid w:val="00E807B6"/>
    <w:rsid w:val="00EA12D8"/>
    <w:rsid w:val="00EB230B"/>
    <w:rsid w:val="00EE0905"/>
    <w:rsid w:val="00EF2283"/>
    <w:rsid w:val="00EF275C"/>
    <w:rsid w:val="00F11382"/>
    <w:rsid w:val="00F16746"/>
    <w:rsid w:val="00F203ED"/>
    <w:rsid w:val="00F279F1"/>
    <w:rsid w:val="00F70A4D"/>
    <w:rsid w:val="00F92C3F"/>
    <w:rsid w:val="00FA2207"/>
    <w:rsid w:val="00FA32BD"/>
    <w:rsid w:val="00FC1001"/>
    <w:rsid w:val="00FC2F5E"/>
    <w:rsid w:val="00FD0F1C"/>
    <w:rsid w:val="00FD4479"/>
    <w:rsid w:val="00FE643E"/>
    <w:rsid w:val="2E8C355A"/>
    <w:rsid w:val="458E50EB"/>
    <w:rsid w:val="66635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349</Words>
  <Characters>1992</Characters>
  <Lines>16</Lines>
  <Paragraphs>4</Paragraphs>
  <TotalTime>185</TotalTime>
  <ScaleCrop>false</ScaleCrop>
  <LinksUpToDate>false</LinksUpToDate>
  <CharactersWithSpaces>2337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2016-12-26T01:43:00Z</dcterms:created>
  <dc:creator>邓居虎</dc:creator>
  <cp:lastModifiedBy>破晓喻</cp:lastModifiedBy>
  <cp:lastPrinted>2021-02-03T02:42:00Z</cp:lastPrinted>
  <dcterms:modified xsi:type="dcterms:W3CDTF">2021-02-08T01:53:14Z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