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240" w:beforeAutospacing="0" w:after="0" w:afterAutospacing="0" w:line="480" w:lineRule="atLeast"/>
        <w:jc w:val="center"/>
        <w:rPr>
          <w:rFonts w:hint="eastAsia" w:ascii="微软雅黑" w:hAnsi="微软雅黑" w:eastAsia="微软雅黑"/>
          <w:color w:val="333333"/>
          <w:sz w:val="20"/>
          <w:szCs w:val="20"/>
          <w:lang w:val="en-US" w:eastAsia="zh-CN"/>
        </w:rPr>
      </w:pPr>
      <w:r>
        <w:rPr>
          <w:rFonts w:hint="eastAsia" w:ascii="微软雅黑" w:hAnsi="微软雅黑" w:eastAsia="微软雅黑"/>
          <w:color w:val="333333"/>
          <w:sz w:val="44"/>
          <w:szCs w:val="44"/>
        </w:rPr>
        <w:t>沙河经济技术开发区管理委员</w:t>
      </w:r>
      <w:r>
        <w:rPr>
          <w:rFonts w:hint="eastAsia" w:ascii="微软雅黑" w:hAnsi="微软雅黑" w:eastAsia="微软雅黑"/>
          <w:color w:val="333333"/>
          <w:sz w:val="44"/>
          <w:szCs w:val="44"/>
          <w:lang w:eastAsia="zh-CN"/>
        </w:rPr>
        <w:t>会</w:t>
      </w:r>
    </w:p>
    <w:p>
      <w:pPr>
        <w:pStyle w:val="7"/>
        <w:shd w:val="clear" w:color="auto" w:fill="FFFFFF"/>
        <w:spacing w:before="240" w:beforeAutospacing="0" w:after="0" w:afterAutospacing="0" w:line="480" w:lineRule="atLeast"/>
        <w:jc w:val="center"/>
        <w:rPr>
          <w:rFonts w:hint="eastAsia" w:ascii="微软雅黑" w:hAnsi="微软雅黑" w:eastAsia="微软雅黑"/>
          <w:color w:val="333333"/>
          <w:sz w:val="20"/>
          <w:szCs w:val="20"/>
        </w:rPr>
      </w:pPr>
      <w:r>
        <w:rPr>
          <w:rFonts w:hint="eastAsia" w:ascii="微软雅黑" w:hAnsi="微软雅黑" w:eastAsia="微软雅黑"/>
          <w:color w:val="333333"/>
          <w:sz w:val="44"/>
          <w:szCs w:val="44"/>
        </w:rPr>
        <w:t>2021年度部门决算</w:t>
      </w:r>
    </w:p>
    <w:p>
      <w:pPr>
        <w:pStyle w:val="7"/>
        <w:shd w:val="clear" w:color="auto" w:fill="FFFFFF"/>
        <w:spacing w:before="240" w:beforeAutospacing="0" w:after="0" w:afterAutospacing="0" w:line="480" w:lineRule="atLeast"/>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jc w:val="center"/>
        <w:rPr>
          <w:rFonts w:hint="eastAsia" w:ascii="微软雅黑" w:hAnsi="微软雅黑" w:eastAsia="微软雅黑"/>
          <w:color w:val="333333"/>
          <w:sz w:val="20"/>
          <w:szCs w:val="20"/>
        </w:rPr>
      </w:pPr>
      <w:r>
        <w:rPr>
          <w:rFonts w:hint="eastAsia" w:ascii="微软雅黑" w:hAnsi="微软雅黑" w:eastAsia="微软雅黑"/>
          <w:color w:val="333333"/>
          <w:sz w:val="40"/>
          <w:szCs w:val="40"/>
        </w:rPr>
        <w:t>目 录</w:t>
      </w:r>
    </w:p>
    <w:p>
      <w:pPr>
        <w:pStyle w:val="7"/>
        <w:shd w:val="clear" w:color="auto" w:fill="FFFFFF"/>
        <w:spacing w:before="240" w:beforeAutospacing="0" w:after="0" w:afterAutospacing="0" w:line="480" w:lineRule="atLeast"/>
        <w:ind w:firstLine="634"/>
        <w:rPr>
          <w:rFonts w:hint="eastAsia" w:ascii="微软雅黑" w:hAnsi="微软雅黑" w:eastAsia="微软雅黑"/>
          <w:color w:val="333333"/>
          <w:sz w:val="20"/>
          <w:szCs w:val="20"/>
        </w:rPr>
      </w:pPr>
    </w:p>
    <w:p>
      <w:pPr>
        <w:widowControl/>
        <w:spacing w:line="600" w:lineRule="exact"/>
        <w:ind w:firstLine="640"/>
        <w:jc w:val="left"/>
        <w:rPr>
          <w:rFonts w:hint="eastAsia" w:ascii="宋体" w:hAnsi="宋体" w:eastAsia="宋体" w:cs="宋体"/>
          <w:sz w:val="32"/>
          <w:szCs w:val="30"/>
        </w:rPr>
      </w:pPr>
    </w:p>
    <w:p>
      <w:pPr>
        <w:widowControl/>
        <w:spacing w:line="600" w:lineRule="exact"/>
        <w:ind w:firstLine="640"/>
        <w:jc w:val="left"/>
        <w:rPr>
          <w:rFonts w:hint="eastAsia" w:ascii="宋体" w:hAnsi="宋体" w:eastAsia="宋体" w:cs="宋体"/>
          <w:b/>
          <w:bCs w:val="0"/>
          <w:sz w:val="32"/>
          <w:szCs w:val="32"/>
        </w:rPr>
      </w:pPr>
      <w:r>
        <w:rPr>
          <w:rFonts w:hint="eastAsia" w:ascii="宋体" w:hAnsi="宋体" w:eastAsia="宋体" w:cs="宋体"/>
          <w:b/>
          <w:bCs w:val="0"/>
          <w:sz w:val="32"/>
          <w:szCs w:val="32"/>
        </w:rPr>
        <w:t xml:space="preserve">第一部分  </w:t>
      </w:r>
      <w:r>
        <w:rPr>
          <w:rFonts w:hint="eastAsia" w:ascii="宋体" w:hAnsi="宋体" w:eastAsia="宋体" w:cs="宋体"/>
          <w:b/>
          <w:bCs w:val="0"/>
          <w:sz w:val="32"/>
          <w:szCs w:val="32"/>
          <w:lang w:eastAsia="zh-CN"/>
        </w:rPr>
        <w:t>沙河开发区</w:t>
      </w:r>
      <w:r>
        <w:rPr>
          <w:rFonts w:hint="eastAsia" w:ascii="宋体" w:hAnsi="宋体" w:eastAsia="宋体" w:cs="宋体"/>
          <w:b/>
          <w:bCs w:val="0"/>
          <w:sz w:val="32"/>
          <w:szCs w:val="32"/>
        </w:rPr>
        <w:t>部门概况</w:t>
      </w:r>
    </w:p>
    <w:p>
      <w:pPr>
        <w:widowControl/>
        <w:spacing w:line="600" w:lineRule="exact"/>
        <w:ind w:firstLine="640"/>
        <w:jc w:val="left"/>
        <w:rPr>
          <w:rFonts w:hint="eastAsia" w:ascii="宋体" w:hAnsi="宋体" w:eastAsia="宋体" w:cs="宋体"/>
          <w:sz w:val="32"/>
          <w:szCs w:val="30"/>
        </w:rPr>
      </w:pPr>
      <w:r>
        <w:rPr>
          <w:rFonts w:hint="eastAsia" w:ascii="宋体" w:hAnsi="宋体" w:eastAsia="宋体" w:cs="宋体"/>
          <w:b/>
          <w:sz w:val="32"/>
          <w:szCs w:val="30"/>
        </w:rPr>
        <w:t xml:space="preserve">    </w:t>
      </w:r>
      <w:r>
        <w:rPr>
          <w:rFonts w:hint="eastAsia" w:ascii="宋体" w:hAnsi="宋体" w:eastAsia="宋体" w:cs="宋体"/>
          <w:sz w:val="32"/>
          <w:szCs w:val="30"/>
        </w:rPr>
        <w:t>一、部门主要职责</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二、部门基本情况</w:t>
      </w:r>
    </w:p>
    <w:p>
      <w:pPr>
        <w:widowControl/>
        <w:spacing w:line="600" w:lineRule="exact"/>
        <w:ind w:firstLine="640"/>
        <w:jc w:val="left"/>
        <w:rPr>
          <w:rFonts w:hint="eastAsia" w:ascii="宋体" w:hAnsi="宋体" w:eastAsia="宋体" w:cs="宋体"/>
          <w:b/>
          <w:bCs/>
          <w:sz w:val="32"/>
          <w:szCs w:val="32"/>
        </w:rPr>
      </w:pPr>
      <w:r>
        <w:rPr>
          <w:rFonts w:hint="eastAsia" w:ascii="宋体" w:hAnsi="宋体" w:eastAsia="宋体" w:cs="宋体"/>
          <w:b/>
          <w:bCs/>
          <w:sz w:val="32"/>
          <w:szCs w:val="32"/>
        </w:rPr>
        <w:t>第二部分  2021年度部门决算表</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一、收入支出决算总表</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二、收入决算表</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三、支出决算表</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四、财政拨款收入支出决算总表</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五、一般公共预算财政拨款支出决算表</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六、一般公共预算财政拨款基本支出决算表</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七、一般公共预算财政拨款“三公”经费支出决算</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表</w:t>
      </w:r>
    </w:p>
    <w:p>
      <w:pPr>
        <w:widowControl/>
        <w:numPr>
          <w:ilvl w:val="0"/>
          <w:numId w:val="1"/>
        </w:numPr>
        <w:spacing w:line="600" w:lineRule="exact"/>
        <w:jc w:val="left"/>
        <w:rPr>
          <w:rFonts w:hint="eastAsia" w:ascii="宋体" w:hAnsi="宋体" w:eastAsia="宋体" w:cs="宋体"/>
          <w:kern w:val="0"/>
          <w:sz w:val="32"/>
          <w:szCs w:val="32"/>
        </w:rPr>
      </w:pPr>
      <w:r>
        <w:rPr>
          <w:rFonts w:hint="eastAsia" w:ascii="宋体" w:hAnsi="宋体" w:eastAsia="宋体" w:cs="宋体"/>
          <w:kern w:val="0"/>
          <w:sz w:val="32"/>
          <w:szCs w:val="32"/>
        </w:rPr>
        <w:t>政府性基金预算财政拨款收入支出决算表</w:t>
      </w:r>
    </w:p>
    <w:p>
      <w:pPr>
        <w:widowControl/>
        <w:numPr>
          <w:ilvl w:val="0"/>
          <w:numId w:val="1"/>
        </w:numPr>
        <w:spacing w:line="600" w:lineRule="exact"/>
        <w:jc w:val="left"/>
        <w:rPr>
          <w:rFonts w:hint="eastAsia" w:ascii="宋体" w:hAnsi="宋体" w:eastAsia="宋体" w:cs="宋体"/>
          <w:kern w:val="0"/>
          <w:sz w:val="32"/>
          <w:szCs w:val="32"/>
        </w:rPr>
      </w:pPr>
      <w:r>
        <w:rPr>
          <w:rFonts w:hint="eastAsia" w:ascii="宋体" w:hAnsi="宋体" w:eastAsia="宋体" w:cs="宋体"/>
          <w:kern w:val="0"/>
          <w:sz w:val="32"/>
          <w:szCs w:val="32"/>
        </w:rPr>
        <w:t>国有资本经营预算财政拨款支出决算表</w:t>
      </w:r>
    </w:p>
    <w:p>
      <w:pPr>
        <w:widowControl/>
        <w:spacing w:line="600" w:lineRule="exact"/>
        <w:ind w:firstLine="640"/>
        <w:jc w:val="left"/>
        <w:rPr>
          <w:rFonts w:hint="eastAsia" w:ascii="宋体" w:hAnsi="宋体" w:eastAsia="宋体" w:cs="宋体"/>
          <w:kern w:val="0"/>
          <w:sz w:val="32"/>
          <w:szCs w:val="32"/>
        </w:rPr>
      </w:pPr>
      <w:r>
        <w:rPr>
          <w:rFonts w:hint="eastAsia" w:ascii="宋体" w:hAnsi="宋体" w:eastAsia="宋体" w:cs="宋体"/>
          <w:kern w:val="0"/>
          <w:sz w:val="32"/>
          <w:szCs w:val="32"/>
        </w:rPr>
        <w:t xml:space="preserve">    十、国有资产占用情况表</w:t>
      </w:r>
    </w:p>
    <w:p>
      <w:pPr>
        <w:widowControl/>
        <w:spacing w:line="600" w:lineRule="exact"/>
        <w:jc w:val="left"/>
        <w:rPr>
          <w:rFonts w:hint="eastAsia" w:ascii="宋体" w:hAnsi="宋体" w:eastAsia="宋体" w:cs="宋体"/>
          <w:b/>
          <w:bCs/>
          <w:sz w:val="32"/>
          <w:szCs w:val="32"/>
        </w:rPr>
      </w:pPr>
      <w:r>
        <w:rPr>
          <w:rFonts w:hint="eastAsia" w:ascii="宋体" w:hAnsi="宋体" w:eastAsia="宋体" w:cs="宋体"/>
          <w:kern w:val="0"/>
          <w:sz w:val="32"/>
          <w:szCs w:val="32"/>
        </w:rPr>
        <w:t xml:space="preserve">   </w:t>
      </w:r>
      <w:r>
        <w:rPr>
          <w:rFonts w:hint="eastAsia" w:ascii="宋体" w:hAnsi="宋体" w:eastAsia="宋体" w:cs="宋体"/>
          <w:b/>
          <w:bCs/>
          <w:kern w:val="0"/>
          <w:sz w:val="32"/>
          <w:szCs w:val="32"/>
        </w:rPr>
        <w:t xml:space="preserve"> </w:t>
      </w:r>
      <w:r>
        <w:rPr>
          <w:rFonts w:hint="eastAsia" w:ascii="宋体" w:hAnsi="宋体" w:eastAsia="宋体" w:cs="宋体"/>
          <w:b/>
          <w:bCs/>
          <w:sz w:val="32"/>
          <w:szCs w:val="32"/>
        </w:rPr>
        <w:t>第三部分  2021年度部门决算情况说明</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一、收入决算情况说明</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二、支出决算情况说明</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三、财政拨款支出决算情况说明</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四、一般公共预算财政拨款基本支出决算情况说明</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五、一般公共预算财政拨款“三公”经费支出决算</w:t>
      </w:r>
    </w:p>
    <w:p>
      <w:pPr>
        <w:widowControl/>
        <w:spacing w:line="600" w:lineRule="exact"/>
        <w:jc w:val="left"/>
        <w:rPr>
          <w:rFonts w:hint="eastAsia" w:ascii="宋体" w:hAnsi="宋体" w:eastAsia="宋体" w:cs="宋体"/>
          <w:sz w:val="32"/>
          <w:szCs w:val="30"/>
        </w:rPr>
      </w:pPr>
      <w:r>
        <w:rPr>
          <w:rFonts w:hint="eastAsia" w:ascii="宋体" w:hAnsi="宋体" w:eastAsia="宋体" w:cs="宋体"/>
          <w:sz w:val="32"/>
          <w:szCs w:val="30"/>
        </w:rPr>
        <w:t xml:space="preserve">    情况说明</w:t>
      </w:r>
    </w:p>
    <w:p>
      <w:pPr>
        <w:widowControl/>
        <w:spacing w:line="600" w:lineRule="exact"/>
        <w:ind w:firstLine="1280" w:firstLineChars="400"/>
        <w:jc w:val="left"/>
        <w:rPr>
          <w:rFonts w:hint="eastAsia" w:ascii="宋体" w:hAnsi="宋体" w:eastAsia="宋体" w:cs="宋体"/>
          <w:sz w:val="32"/>
          <w:szCs w:val="30"/>
        </w:rPr>
      </w:pPr>
      <w:r>
        <w:rPr>
          <w:rFonts w:hint="eastAsia" w:ascii="宋体" w:hAnsi="宋体" w:eastAsia="宋体" w:cs="宋体"/>
          <w:sz w:val="32"/>
          <w:szCs w:val="30"/>
        </w:rPr>
        <w:t>六、机关运行经费支出情况说明</w:t>
      </w:r>
    </w:p>
    <w:p>
      <w:pPr>
        <w:widowControl/>
        <w:spacing w:line="600" w:lineRule="exact"/>
        <w:ind w:firstLine="640"/>
        <w:jc w:val="left"/>
        <w:rPr>
          <w:rFonts w:hint="eastAsia" w:ascii="宋体" w:hAnsi="宋体" w:eastAsia="宋体" w:cs="宋体"/>
          <w:sz w:val="32"/>
          <w:szCs w:val="30"/>
        </w:rPr>
      </w:pPr>
      <w:r>
        <w:rPr>
          <w:rFonts w:hint="eastAsia" w:ascii="宋体" w:hAnsi="宋体" w:eastAsia="宋体" w:cs="宋体"/>
          <w:sz w:val="32"/>
          <w:szCs w:val="30"/>
        </w:rPr>
        <w:t xml:space="preserve">    七、政府采购支出情况说明</w:t>
      </w:r>
    </w:p>
    <w:p>
      <w:pPr>
        <w:widowControl/>
        <w:spacing w:line="600" w:lineRule="exact"/>
        <w:ind w:firstLine="640"/>
        <w:jc w:val="left"/>
        <w:rPr>
          <w:rFonts w:hint="eastAsia" w:ascii="宋体" w:hAnsi="宋体" w:eastAsia="宋体" w:cs="宋体"/>
          <w:sz w:val="32"/>
          <w:szCs w:val="30"/>
        </w:rPr>
      </w:pPr>
      <w:r>
        <w:rPr>
          <w:rFonts w:hint="eastAsia" w:ascii="宋体" w:hAnsi="宋体" w:eastAsia="宋体" w:cs="宋体"/>
          <w:sz w:val="32"/>
          <w:szCs w:val="30"/>
        </w:rPr>
        <w:t xml:space="preserve">    八、国有资产占用情况说明</w:t>
      </w:r>
    </w:p>
    <w:p>
      <w:pPr>
        <w:widowControl/>
        <w:spacing w:line="600" w:lineRule="exact"/>
        <w:ind w:firstLine="640"/>
        <w:jc w:val="left"/>
        <w:rPr>
          <w:rFonts w:hint="eastAsia" w:ascii="宋体" w:hAnsi="宋体" w:eastAsia="宋体" w:cs="宋体"/>
          <w:sz w:val="32"/>
          <w:szCs w:val="30"/>
        </w:rPr>
      </w:pPr>
      <w:r>
        <w:rPr>
          <w:rFonts w:hint="eastAsia" w:ascii="宋体" w:hAnsi="宋体" w:eastAsia="宋体" w:cs="宋体"/>
          <w:sz w:val="32"/>
          <w:szCs w:val="30"/>
        </w:rPr>
        <w:t xml:space="preserve">    九、预算绩效情况说明</w:t>
      </w:r>
    </w:p>
    <w:p>
      <w:pPr>
        <w:widowControl/>
        <w:spacing w:line="600" w:lineRule="exact"/>
        <w:ind w:firstLine="640"/>
        <w:jc w:val="left"/>
        <w:rPr>
          <w:rFonts w:hint="eastAsia" w:ascii="宋体" w:hAnsi="宋体" w:eastAsia="宋体" w:cs="宋体"/>
          <w:b/>
          <w:bCs/>
          <w:sz w:val="32"/>
          <w:szCs w:val="30"/>
        </w:rPr>
      </w:pPr>
      <w:r>
        <w:rPr>
          <w:rFonts w:hint="eastAsia" w:ascii="宋体" w:hAnsi="宋体" w:eastAsia="宋体" w:cs="宋体"/>
          <w:b/>
          <w:bCs/>
          <w:sz w:val="32"/>
          <w:szCs w:val="32"/>
        </w:rPr>
        <w:t>第四部分  名词解释</w:t>
      </w:r>
    </w:p>
    <w:p>
      <w:pPr>
        <w:ind w:firstLine="630"/>
        <w:jc w:val="center"/>
        <w:rPr>
          <w:rFonts w:hint="eastAsia" w:ascii="宋体" w:hAnsi="宋体" w:eastAsia="宋体" w:cs="宋体"/>
          <w:b/>
          <w:sz w:val="36"/>
          <w:szCs w:val="36"/>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numPr>
          <w:ilvl w:val="0"/>
          <w:numId w:val="0"/>
        </w:numPr>
        <w:shd w:val="clear" w:color="auto" w:fill="FFFFFF"/>
        <w:spacing w:before="240" w:beforeAutospacing="0" w:after="0" w:afterAutospacing="0" w:line="480" w:lineRule="atLeast"/>
        <w:ind w:firstLine="440" w:firstLineChars="100"/>
        <w:jc w:val="center"/>
        <w:rPr>
          <w:rFonts w:hint="eastAsia" w:ascii="宋体" w:hAnsi="宋体" w:eastAsia="宋体" w:cs="宋体"/>
          <w:color w:val="333333"/>
          <w:sz w:val="20"/>
          <w:szCs w:val="20"/>
        </w:rPr>
      </w:pPr>
      <w:r>
        <w:rPr>
          <w:rFonts w:hint="eastAsia" w:ascii="宋体" w:hAnsi="宋体" w:eastAsia="宋体" w:cs="宋体"/>
          <w:color w:val="333333"/>
          <w:sz w:val="44"/>
          <w:szCs w:val="44"/>
        </w:rPr>
        <w:t>沙河经济技术开发区管理委员会部门概况</w:t>
      </w:r>
    </w:p>
    <w:p>
      <w:pPr>
        <w:pStyle w:val="7"/>
        <w:shd w:val="clear" w:color="auto" w:fill="FFFFFF"/>
        <w:spacing w:before="240" w:beforeAutospacing="0" w:after="0" w:afterAutospacing="0" w:line="480" w:lineRule="atLeast"/>
        <w:ind w:firstLine="634"/>
        <w:jc w:val="center"/>
        <w:rPr>
          <w:rFonts w:hint="eastAsia" w:ascii="宋体" w:hAnsi="宋体" w:eastAsia="宋体" w:cs="宋体"/>
          <w:color w:val="333333"/>
          <w:sz w:val="20"/>
          <w:szCs w:val="20"/>
        </w:rPr>
      </w:pP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一、部门主要职能</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1、加强党的建设。落实基层党建工作责任制，统筹推进辖区基层党建工作，实现党的组织和工作全覆盖，落实全面从严治党政治责任，落实意识形态工作责任，负责辖区宣传思想和精神文明建设；</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2、促进经济发展。统筹落实关于辖区发展的重大决策，因地制宜发展区域特色经济，指导辖区产业结构调整和推进经济增长方式转变，组织基础设施建设，落实强农惠农措施，为经济主体提供示范引导和政策服务，引导和促进新型农村专业合作经济组织发展，提高经济发展的质量和水平，努力增加居民收入；</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3、组织公共服务。建立和完善公共服务体系，组织实施与群众密切相关的各项公共服务，贯彻落实教育体育、民政、财政、科技、人力资源和社会保障、文化、卫生健康、土地流转等领域相关政策法规，推进便民服务平台标准化建设；</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4、实施综合管理。组织领导和综合协调辖区内村镇管理、人口管理、社会管理、经济发展、综合执法、文明创建等综合性社会管理工作；</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5、维护社会稳定。负责辖区公共安全及安全生产监管，构建公共安全防控体系，建立应对突发紧急事件的处理预案，做好安全生产、防汛、防疫、减灾救灾等工作，承担辖区平安建设和社会治安综合治理，落实社会矛盾纠纷排查调处机制，及时化解辖区社会矛盾，确保社会稳定；</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6、指导基层自治。指导村（居）民委员会建设，组织居民和单位参与村（社区）建设和管理，健全完善自治、法治、德治相结合的基层治理体系，推进村（居）务公开；</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7、动员社会参与。</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8、实施乡村振兴战略。贯彻落实中央、省、市、区关于实施乡村振兴战略的决策部署，提升产业发展质量，推进乡村绿色发展，打造生态宜居美丽乡村；</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9、加强财税管理。负责本级财务以及集体资产管理工作，协助做好税收征管工作，指导监督村（社区）财务和资产管理工作；</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10、做好国防教育和兵役等工作；</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11、区委、区政府交办的其他各项工作任务。 二、部门基本情况</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纳入本套部门决算汇编范围的单位共 1 个，包括：九江市柴桑区沙河经济技术开发区管委会。内设机构共7个，分别为水管站、财政所、农业综合站、民政所、人力资源和社会保障服务所、农村生活垃圾治理办公室和民营经济发展服务所。</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本部门2021年年末实有人数 43 人，其中在职人员 43 人，离休人员 0 人，退休人员 0 人（不含由养老保险基金发放养老金的离退休人员）；年末其他人员 0人；年末学生人数 0 人；由养老保险基金发放养老金的离退休人员 20人。</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ind w:firstLine="634"/>
        <w:jc w:val="center"/>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ind w:firstLine="878"/>
        <w:jc w:val="both"/>
        <w:rPr>
          <w:rFonts w:hint="eastAsia" w:ascii="微软雅黑" w:hAnsi="微软雅黑" w:eastAsia="微软雅黑"/>
          <w:color w:val="333333"/>
          <w:sz w:val="20"/>
          <w:szCs w:val="20"/>
        </w:rPr>
      </w:pPr>
      <w:r>
        <w:rPr>
          <w:rFonts w:hint="eastAsia" w:ascii="微软雅黑" w:hAnsi="微软雅黑" w:eastAsia="微软雅黑"/>
          <w:color w:val="333333"/>
          <w:sz w:val="44"/>
          <w:szCs w:val="44"/>
        </w:rPr>
        <w:t>第二部分 2021年度部门决算表</w:t>
      </w:r>
    </w:p>
    <w:p>
      <w:pPr>
        <w:pStyle w:val="7"/>
        <w:shd w:val="clear" w:color="auto" w:fill="FFFFFF"/>
        <w:spacing w:before="240" w:beforeAutospacing="0" w:after="0" w:afterAutospacing="0" w:line="480" w:lineRule="atLeast"/>
        <w:jc w:val="both"/>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jc w:val="both"/>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584825" cy="7457440"/>
            <wp:effectExtent l="0" t="0" r="15875" b="10160"/>
            <wp:docPr id="1" name="图片 1" descr="http://www.chaisang.gov.cn/zwgk/zfxxgk/xzxxgk/shjjjskfq/zdgk_148767/glhfw_148775/czzj_148778/ndczyjsjsgjf_148779/202211/W020221117387848876327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chaisang.gov.cn/zwgk/zfxxgk/xzxxgk/shjjjskfq/zdgk_148767/glhfw_148775/czzj_148778/ndczyjsjsgjf_148779/202211/W020221117387848876327_ORIGIN.png"/>
                    <pic:cNvPicPr>
                      <a:picLocks noChangeAspect="1" noChangeArrowheads="1"/>
                    </pic:cNvPicPr>
                  </pic:nvPicPr>
                  <pic:blipFill>
                    <a:blip r:embed="rId4" cstate="print"/>
                    <a:srcRect/>
                    <a:stretch>
                      <a:fillRect/>
                    </a:stretch>
                  </pic:blipFill>
                  <pic:spPr>
                    <a:xfrm>
                      <a:off x="0" y="0"/>
                      <a:ext cx="5584825" cy="7457440"/>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76850" cy="9286875"/>
            <wp:effectExtent l="19050" t="0" r="0" b="0"/>
            <wp:docPr id="2" name="图片 2" descr="http://www.chaisang.gov.cn/zwgk/zfxxgk/xzxxgk/shjjjskfq/zdgk_148767/glhfw_148775/czzj_148778/ndczyjsjsgjf_148779/202211/W020221117387848927797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http://www.chaisang.gov.cn/zwgk/zfxxgk/xzxxgk/shjjjskfq/zdgk_148767/glhfw_148775/czzj_148778/ndczyjsjsgjf_148779/202211/W020221117387848927797_ORIGIN.png"/>
                    <pic:cNvPicPr>
                      <a:picLocks noChangeAspect="1" noChangeArrowheads="1"/>
                    </pic:cNvPicPr>
                  </pic:nvPicPr>
                  <pic:blipFill>
                    <a:blip r:embed="rId5" cstate="print"/>
                    <a:srcRect/>
                    <a:stretch>
                      <a:fillRect/>
                    </a:stretch>
                  </pic:blipFill>
                  <pic:spPr>
                    <a:xfrm>
                      <a:off x="0" y="0"/>
                      <a:ext cx="5276850" cy="9286875"/>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67325" cy="10325100"/>
            <wp:effectExtent l="0" t="0" r="9525" b="0"/>
            <wp:docPr id="3" name="图片 3" descr="http://www.chaisang.gov.cn/zwgk/zfxxgk/xzxxgk/shjjjskfq/zdgk_148767/glhfw_148775/czzj_148778/ndczyjsjsgjf_148779/202211/W020221117387848977308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www.chaisang.gov.cn/zwgk/zfxxgk/xzxxgk/shjjjskfq/zdgk_148767/glhfw_148775/czzj_148778/ndczyjsjsgjf_148779/202211/W020221117387848977308_ORIGIN.png"/>
                    <pic:cNvPicPr>
                      <a:picLocks noChangeAspect="1" noChangeArrowheads="1"/>
                    </pic:cNvPicPr>
                  </pic:nvPicPr>
                  <pic:blipFill>
                    <a:blip r:embed="rId6" cstate="print"/>
                    <a:srcRect/>
                    <a:stretch>
                      <a:fillRect/>
                    </a:stretch>
                  </pic:blipFill>
                  <pic:spPr>
                    <a:xfrm>
                      <a:off x="0" y="0"/>
                      <a:ext cx="5267325" cy="10325100"/>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763895" cy="6845935"/>
            <wp:effectExtent l="0" t="0" r="8255" b="12065"/>
            <wp:docPr id="4" name="图片 4" descr="http://www.chaisang.gov.cn/zwgk/zfxxgk/xzxxgk/shjjjskfq/zdgk_148767/glhfw_148775/czzj_148778/ndczyjsjsgjf_148779/202211/W020221117387849010892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http://www.chaisang.gov.cn/zwgk/zfxxgk/xzxxgk/shjjjskfq/zdgk_148767/glhfw_148775/czzj_148778/ndczyjsjsgjf_148779/202211/W020221117387849010892_ORIGIN.png"/>
                    <pic:cNvPicPr>
                      <a:picLocks noChangeAspect="1" noChangeArrowheads="1"/>
                    </pic:cNvPicPr>
                  </pic:nvPicPr>
                  <pic:blipFill>
                    <a:blip r:embed="rId7" cstate="print"/>
                    <a:srcRect/>
                    <a:stretch>
                      <a:fillRect/>
                    </a:stretch>
                  </pic:blipFill>
                  <pic:spPr>
                    <a:xfrm>
                      <a:off x="0" y="0"/>
                      <a:ext cx="5763895" cy="6845935"/>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67325" cy="9544050"/>
            <wp:effectExtent l="19050" t="0" r="9525" b="0"/>
            <wp:docPr id="5" name="图片 5" descr="http://www.chaisang.gov.cn/zwgk/zfxxgk/xzxxgk/shjjjskfq/zdgk_148767/glhfw_148775/czzj_148778/ndczyjsjsgjf_148779/202211/W020221117387849048347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www.chaisang.gov.cn/zwgk/zfxxgk/xzxxgk/shjjjskfq/zdgk_148767/glhfw_148775/czzj_148778/ndczyjsjsgjf_148779/202211/W020221117387849048347_ORIGIN.png"/>
                    <pic:cNvPicPr>
                      <a:picLocks noChangeAspect="1" noChangeArrowheads="1"/>
                    </pic:cNvPicPr>
                  </pic:nvPicPr>
                  <pic:blipFill>
                    <a:blip r:embed="rId8" cstate="print"/>
                    <a:srcRect/>
                    <a:stretch>
                      <a:fillRect/>
                    </a:stretch>
                  </pic:blipFill>
                  <pic:spPr>
                    <a:xfrm>
                      <a:off x="0" y="0"/>
                      <a:ext cx="5267325" cy="9544050"/>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67325" cy="4295775"/>
            <wp:effectExtent l="19050" t="0" r="9525" b="0"/>
            <wp:docPr id="6" name="图片 6" descr="http://www.chaisang.gov.cn/zwgk/zfxxgk/xzxxgk/shjjjskfq/zdgk_148767/glhfw_148775/czzj_148778/ndczyjsjsgjf_148779/202211/W020221117387849074636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http://www.chaisang.gov.cn/zwgk/zfxxgk/xzxxgk/shjjjskfq/zdgk_148767/glhfw_148775/czzj_148778/ndczyjsjsgjf_148779/202211/W020221117387849074636_ORIGIN.png"/>
                    <pic:cNvPicPr>
                      <a:picLocks noChangeAspect="1" noChangeArrowheads="1"/>
                    </pic:cNvPicPr>
                  </pic:nvPicPr>
                  <pic:blipFill>
                    <a:blip r:embed="rId9" cstate="print"/>
                    <a:srcRect/>
                    <a:stretch>
                      <a:fillRect/>
                    </a:stretch>
                  </pic:blipFill>
                  <pic:spPr>
                    <a:xfrm>
                      <a:off x="0" y="0"/>
                      <a:ext cx="5267325" cy="4295775"/>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67325" cy="3695700"/>
            <wp:effectExtent l="19050" t="0" r="9525" b="0"/>
            <wp:docPr id="7" name="图片 7" descr="http://www.chaisang.gov.cn/zwgk/zfxxgk/xzxxgk/shjjjskfq/zdgk_148767/glhfw_148775/czzj_148778/ndczyjsjsgjf_148779/202211/W020221117387849099180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http://www.chaisang.gov.cn/zwgk/zfxxgk/xzxxgk/shjjjskfq/zdgk_148767/glhfw_148775/czzj_148778/ndczyjsjsgjf_148779/202211/W020221117387849099180_ORIGIN.png"/>
                    <pic:cNvPicPr>
                      <a:picLocks noChangeAspect="1" noChangeArrowheads="1"/>
                    </pic:cNvPicPr>
                  </pic:nvPicPr>
                  <pic:blipFill>
                    <a:blip r:embed="rId10" cstate="print"/>
                    <a:srcRect/>
                    <a:stretch>
                      <a:fillRect/>
                    </a:stretch>
                  </pic:blipFill>
                  <pic:spPr>
                    <a:xfrm>
                      <a:off x="0" y="0"/>
                      <a:ext cx="5267325" cy="3695700"/>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67325" cy="2524125"/>
            <wp:effectExtent l="19050" t="0" r="9525" b="0"/>
            <wp:docPr id="8" name="图片 8" descr="http://www.chaisang.gov.cn/zwgk/zfxxgk/xzxxgk/shjjjskfq/zdgk_148767/glhfw_148775/czzj_148778/ndczyjsjsgjf_148779/202211/W020221117387849123218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http://www.chaisang.gov.cn/zwgk/zfxxgk/xzxxgk/shjjjskfq/zdgk_148767/glhfw_148775/czzj_148778/ndczyjsjsgjf_148779/202211/W020221117387849123218_ORIGIN.png"/>
                    <pic:cNvPicPr>
                      <a:picLocks noChangeAspect="1" noChangeArrowheads="1"/>
                    </pic:cNvPicPr>
                  </pic:nvPicPr>
                  <pic:blipFill>
                    <a:blip r:embed="rId11" cstate="print"/>
                    <a:srcRect/>
                    <a:stretch>
                      <a:fillRect/>
                    </a:stretch>
                  </pic:blipFill>
                  <pic:spPr>
                    <a:xfrm>
                      <a:off x="0" y="0"/>
                      <a:ext cx="5267325" cy="2524125"/>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67325" cy="2314575"/>
            <wp:effectExtent l="19050" t="0" r="9525" b="0"/>
            <wp:docPr id="9" name="图片 9" descr="http://www.chaisang.gov.cn/zwgk/zfxxgk/xzxxgk/shjjjskfq/zdgk_148767/glhfw_148775/czzj_148778/ndczyjsjsgjf_148779/202211/W020221117387849145928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http://www.chaisang.gov.cn/zwgk/zfxxgk/xzxxgk/shjjjskfq/zdgk_148767/glhfw_148775/czzj_148778/ndczyjsjsgjf_148779/202211/W020221117387849145928_ORIGIN.png"/>
                    <pic:cNvPicPr>
                      <a:picLocks noChangeAspect="1" noChangeArrowheads="1"/>
                    </pic:cNvPicPr>
                  </pic:nvPicPr>
                  <pic:blipFill>
                    <a:blip r:embed="rId12" cstate="print"/>
                    <a:srcRect/>
                    <a:stretch>
                      <a:fillRect/>
                    </a:stretch>
                  </pic:blipFill>
                  <pic:spPr>
                    <a:xfrm>
                      <a:off x="0" y="0"/>
                      <a:ext cx="5267325" cy="2314575"/>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r>
        <w:rPr>
          <w:rFonts w:ascii="微软雅黑" w:hAnsi="微软雅黑" w:eastAsia="微软雅黑"/>
          <w:color w:val="333333"/>
          <w:sz w:val="20"/>
          <w:szCs w:val="20"/>
        </w:rPr>
        <w:drawing>
          <wp:inline distT="0" distB="0" distL="0" distR="0">
            <wp:extent cx="5276850" cy="2371725"/>
            <wp:effectExtent l="19050" t="0" r="0" b="0"/>
            <wp:docPr id="10" name="图片 10" descr="http://www.chaisang.gov.cn/zwgk/zfxxgk/xzxxgk/shjjjskfq/zdgk_148767/glhfw_148775/czzj_148778/ndczyjsjsgjf_148779/202211/W020221117387849179781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http://www.chaisang.gov.cn/zwgk/zfxxgk/xzxxgk/shjjjskfq/zdgk_148767/glhfw_148775/czzj_148778/ndczyjsjsgjf_148779/202211/W020221117387849179781_ORIGIN.png"/>
                    <pic:cNvPicPr>
                      <a:picLocks noChangeAspect="1" noChangeArrowheads="1"/>
                    </pic:cNvPicPr>
                  </pic:nvPicPr>
                  <pic:blipFill>
                    <a:blip r:embed="rId13" cstate="print"/>
                    <a:srcRect/>
                    <a:stretch>
                      <a:fillRect/>
                    </a:stretch>
                  </pic:blipFill>
                  <pic:spPr>
                    <a:xfrm>
                      <a:off x="0" y="0"/>
                      <a:ext cx="5276850" cy="2371725"/>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rPr>
          <w:rFonts w:hint="eastAsia" w:ascii="微软雅黑" w:hAnsi="微软雅黑" w:eastAsia="微软雅黑"/>
          <w:color w:val="333333"/>
          <w:sz w:val="20"/>
          <w:szCs w:val="20"/>
        </w:rPr>
      </w:pPr>
    </w:p>
    <w:p>
      <w:pPr>
        <w:pStyle w:val="7"/>
        <w:shd w:val="clear" w:color="auto" w:fill="FFFFFF"/>
        <w:spacing w:before="240" w:beforeAutospacing="0" w:after="0" w:afterAutospacing="0" w:line="480" w:lineRule="atLeast"/>
        <w:jc w:val="both"/>
        <w:rPr>
          <w:rFonts w:hint="eastAsia" w:ascii="宋体" w:hAnsi="宋体" w:eastAsia="宋体" w:cs="宋体"/>
          <w:b/>
          <w:bCs/>
          <w:color w:val="333333"/>
          <w:sz w:val="20"/>
          <w:szCs w:val="20"/>
        </w:rPr>
      </w:pPr>
      <w:r>
        <w:rPr>
          <w:rFonts w:hint="eastAsia" w:ascii="宋体" w:hAnsi="宋体" w:eastAsia="宋体" w:cs="宋体"/>
          <w:b/>
          <w:bCs/>
          <w:color w:val="333333"/>
          <w:sz w:val="44"/>
          <w:szCs w:val="44"/>
        </w:rPr>
        <w:t>第三部分 </w:t>
      </w:r>
      <w:r>
        <w:rPr>
          <w:rFonts w:hint="eastAsia" w:ascii="宋体" w:hAnsi="宋体" w:eastAsia="宋体" w:cs="宋体"/>
          <w:b/>
          <w:bCs/>
          <w:color w:val="333333"/>
          <w:sz w:val="44"/>
          <w:szCs w:val="44"/>
          <w:lang w:val="en-US" w:eastAsia="zh-CN"/>
        </w:rPr>
        <w:t xml:space="preserve"> </w:t>
      </w:r>
      <w:r>
        <w:rPr>
          <w:rFonts w:hint="eastAsia" w:ascii="宋体" w:hAnsi="宋体" w:eastAsia="宋体" w:cs="宋体"/>
          <w:b/>
          <w:bCs/>
          <w:color w:val="333333"/>
          <w:sz w:val="44"/>
          <w:szCs w:val="44"/>
        </w:rPr>
        <w:t>2021年度部门决算情况说明</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一、收入决算情况说明</w:t>
      </w:r>
      <w:bookmarkStart w:id="0" w:name="_GoBack"/>
      <w:bookmarkEnd w:id="0"/>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本部门2021年度收入总计 4877.17 万元，其中年初结转和结余432.46 万元，较2020年减少60万元，下降12 %；本年收入合计4877.17 万元，较2020年减少3251.11 万元，下降 39.99 %，主要原因是：调减了征地拆迁项目资金。</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本年收入的具体构成为：财政拨款收入 4877.17万元，占 100 %；事业收入0万元，占0 %；经营收入 0 万元，占0%；其他收入0万元，占0%。</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二、支出决算情况说明</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本部门2021年度支出总计 4937.41 万元，其中本年支出合计 4937.41万元，较2020年减少3190.87万元，下降39.27 %，主要原因是：调减了征地拆迁项目资金；年末结转和结余432.46 万元，较2020年减少60万元，下降12%，主要原因是：用于征地拆迁。</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本年支出的具体构成为：基本支出1676.35 万元，占 33.95 %；项目支出 3261.06 万元，占 66.05%；经营支出 0 万元，占0 %；其他支出（对附属单位补助支出、上缴上级支出） 0万元，占 0 %。</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三、财政拨款支出决算情况说明</w:t>
      </w:r>
    </w:p>
    <w:p>
      <w:pPr>
        <w:pStyle w:val="7"/>
        <w:shd w:val="clear" w:color="auto" w:fill="FFFFFF"/>
        <w:spacing w:before="0" w:beforeAutospacing="0" w:after="0" w:afterAutospacing="0" w:line="240" w:lineRule="auto"/>
        <w:ind w:firstLine="0"/>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本部门2021年度财政拨款本年支出年初预算数为1659.18 万元，决算数为 4937.41 万元，完成年初预算的 297.58 %。其中：</w:t>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r>
        <w:rPr>
          <w:rFonts w:hint="eastAsia" w:ascii="宋体" w:hAnsi="宋体" w:eastAsia="宋体" w:cs="宋体"/>
          <w:color w:val="333333"/>
          <w:sz w:val="30"/>
          <w:szCs w:val="30"/>
        </w:rPr>
        <w:t>（一）一般公共服务支出年初预算数为 1607.99万元，决算数为 777.35万元，完成年初预算的 48.34 %，主要原因是：增加了社会保障就业支出。</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（二）文化旅游体育与传媒支出年初预算数为0万元，决算数为3.72万元，完成年初预算的 0 %，主要原因是：年终追加。</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（三）社会保障和就业支出年初预算数为43.79万元，决算数为393.51万元，完成年初预算的898.62%，主要原因是：基层政权建设和社区治理。</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（四）卫生健康支出年初预算数为 0 万元，决算数为40.48万元，完成年初预算的 0 %，主要原因是：公共卫生和疫情防控。</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（五）节能环保支出年初预算数为 0 万元，决算数为47.48万元，完成年初预算的 0 %，主要原因是：环境保护管理。</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（六）城乡社区支出年初预算数为 0 万元，决算数为3098.95万元，完成年初预算的 0 %，主要原因是：城乡社区公共设施支出。</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（七）农林水支出年初预算数为7.4万元，决算数为452.23万元，完成年初预算的6026.21%，主要原因是： 村民委员会和村党支部。</w:t>
      </w:r>
    </w:p>
    <w:p>
      <w:pPr>
        <w:pStyle w:val="7"/>
        <w:shd w:val="clear" w:color="auto" w:fill="FFFFFF"/>
        <w:spacing w:before="240" w:beforeAutospacing="0" w:after="0" w:afterAutospacing="0" w:line="480" w:lineRule="atLeast"/>
        <w:ind w:firstLine="302"/>
        <w:rPr>
          <w:rFonts w:hint="eastAsia" w:ascii="宋体" w:hAnsi="宋体" w:eastAsia="宋体" w:cs="宋体"/>
          <w:color w:val="333333"/>
          <w:sz w:val="20"/>
          <w:szCs w:val="20"/>
        </w:rPr>
      </w:pPr>
      <w:r>
        <w:rPr>
          <w:rFonts w:hint="eastAsia" w:ascii="宋体" w:hAnsi="宋体" w:eastAsia="宋体" w:cs="宋体"/>
          <w:color w:val="333333"/>
          <w:sz w:val="30"/>
          <w:szCs w:val="30"/>
        </w:rPr>
        <w:t>（八）住房保障支出年初预算数为 0 万元，决算数为119.49万元，完成年初预算的 0 %，主要原因是：棚户区改造、老旧小区改造。</w:t>
      </w:r>
    </w:p>
    <w:p>
      <w:pPr>
        <w:pStyle w:val="7"/>
        <w:shd w:val="clear" w:color="auto" w:fill="FFFFFF"/>
        <w:spacing w:before="240" w:beforeAutospacing="0" w:after="0" w:afterAutospacing="0" w:line="480" w:lineRule="atLeast"/>
        <w:ind w:firstLine="302"/>
        <w:rPr>
          <w:rFonts w:hint="eastAsia" w:ascii="宋体" w:hAnsi="宋体" w:eastAsia="宋体" w:cs="宋体"/>
          <w:color w:val="333333"/>
          <w:sz w:val="20"/>
          <w:szCs w:val="20"/>
        </w:rPr>
      </w:pPr>
      <w:r>
        <w:rPr>
          <w:rFonts w:hint="eastAsia" w:ascii="宋体" w:hAnsi="宋体" w:eastAsia="宋体" w:cs="宋体"/>
          <w:color w:val="333333"/>
          <w:sz w:val="30"/>
          <w:szCs w:val="30"/>
        </w:rPr>
        <w:t>（九）国有资本经营预算支出年初预算数为 0 万元，决算数为0.2万元，完成年初预算的0 %，主要原因是：年终追加。</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（十)其他支出年初预算数为0万元，决算数为4万元，完成年初预算的0%，主要原因是：年终调整。</w:t>
      </w:r>
    </w:p>
    <w:p>
      <w:pPr>
        <w:pStyle w:val="7"/>
        <w:shd w:val="clear" w:color="auto" w:fill="FFFFFF"/>
        <w:spacing w:before="240" w:beforeAutospacing="0" w:after="0" w:afterAutospacing="0" w:line="480" w:lineRule="atLeast"/>
        <w:ind w:firstLine="590"/>
        <w:rPr>
          <w:rFonts w:hint="eastAsia" w:ascii="宋体" w:hAnsi="宋体" w:eastAsia="宋体" w:cs="宋体"/>
          <w:color w:val="333333"/>
          <w:sz w:val="20"/>
          <w:szCs w:val="20"/>
        </w:rPr>
      </w:pPr>
      <w:r>
        <w:rPr>
          <w:rFonts w:hint="eastAsia" w:ascii="宋体" w:hAnsi="宋体" w:eastAsia="宋体" w:cs="宋体"/>
          <w:color w:val="333333"/>
          <w:sz w:val="30"/>
          <w:szCs w:val="30"/>
        </w:rPr>
        <w:t>四、一般公共预算财政拨款基本支出决算情况说明</w:t>
      </w:r>
    </w:p>
    <w:p>
      <w:pPr>
        <w:pStyle w:val="7"/>
        <w:shd w:val="clear" w:color="auto" w:fill="FFFFFF"/>
        <w:spacing w:before="240" w:beforeAutospacing="0" w:after="0" w:afterAutospacing="0" w:line="480" w:lineRule="atLeast"/>
        <w:ind w:firstLine="590"/>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本部门2021年度一般公共预算财政拨款基本支出1649.13万元，其中：</w:t>
      </w:r>
    </w:p>
    <w:p>
      <w:pPr>
        <w:pStyle w:val="7"/>
        <w:shd w:val="clear" w:color="auto" w:fill="FFFFFF"/>
        <w:spacing w:before="240" w:beforeAutospacing="0" w:after="0" w:afterAutospacing="0" w:line="480" w:lineRule="atLeast"/>
        <w:ind w:firstLine="590"/>
        <w:rPr>
          <w:rFonts w:hint="eastAsia" w:ascii="宋体" w:hAnsi="宋体" w:eastAsia="宋体" w:cs="宋体"/>
          <w:color w:val="333333"/>
          <w:sz w:val="20"/>
          <w:szCs w:val="20"/>
        </w:rPr>
      </w:pPr>
      <w:r>
        <w:rPr>
          <w:rFonts w:hint="eastAsia" w:ascii="宋体" w:hAnsi="宋体" w:eastAsia="宋体" w:cs="宋体"/>
          <w:color w:val="333333"/>
          <w:sz w:val="30"/>
          <w:szCs w:val="30"/>
        </w:rPr>
        <w:t>（一）工资福利支出497.55 万元，较2020年增加167.97 万元，增长50.96 %，主要原因是：预算调整。</w:t>
      </w:r>
    </w:p>
    <w:p>
      <w:pPr>
        <w:pStyle w:val="7"/>
        <w:shd w:val="clear" w:color="auto" w:fill="FFFFFF"/>
        <w:spacing w:before="240" w:beforeAutospacing="0" w:after="0" w:afterAutospacing="0" w:line="480" w:lineRule="atLeast"/>
        <w:ind w:firstLine="590"/>
        <w:rPr>
          <w:rFonts w:hint="eastAsia" w:ascii="宋体" w:hAnsi="宋体" w:eastAsia="宋体" w:cs="宋体"/>
          <w:color w:val="333333"/>
          <w:sz w:val="20"/>
          <w:szCs w:val="20"/>
        </w:rPr>
      </w:pPr>
      <w:r>
        <w:rPr>
          <w:rFonts w:hint="eastAsia" w:ascii="宋体" w:hAnsi="宋体" w:eastAsia="宋体" w:cs="宋体"/>
          <w:color w:val="333333"/>
          <w:sz w:val="30"/>
          <w:szCs w:val="30"/>
        </w:rPr>
        <w:t>（二）商品和服务支出 536.36 万元，较2020年增加71.3 万元，增长15.33 %，主要原因是：预算调整。</w:t>
      </w:r>
    </w:p>
    <w:p>
      <w:pPr>
        <w:pStyle w:val="7"/>
        <w:shd w:val="clear" w:color="auto" w:fill="FFFFFF"/>
        <w:spacing w:before="240" w:beforeAutospacing="0" w:after="0" w:afterAutospacing="0" w:line="480" w:lineRule="atLeast"/>
        <w:ind w:firstLine="590"/>
        <w:rPr>
          <w:rFonts w:hint="eastAsia" w:ascii="宋体" w:hAnsi="宋体" w:eastAsia="宋体" w:cs="宋体"/>
          <w:color w:val="333333"/>
          <w:sz w:val="20"/>
          <w:szCs w:val="20"/>
        </w:rPr>
      </w:pPr>
      <w:r>
        <w:rPr>
          <w:rFonts w:hint="eastAsia" w:ascii="宋体" w:hAnsi="宋体" w:eastAsia="宋体" w:cs="宋体"/>
          <w:color w:val="333333"/>
          <w:sz w:val="30"/>
          <w:szCs w:val="30"/>
        </w:rPr>
        <w:t>（三）对个人和家庭补助支出600.6 万元，较2020年减少112.24 万元，下降15.74 %，主要原因是：预算调整。</w:t>
      </w:r>
    </w:p>
    <w:p>
      <w:pPr>
        <w:pStyle w:val="7"/>
        <w:shd w:val="clear" w:color="auto" w:fill="FFFFFF"/>
        <w:spacing w:before="240" w:beforeAutospacing="0" w:after="0" w:afterAutospacing="0" w:line="480" w:lineRule="atLeast"/>
        <w:ind w:firstLine="590"/>
        <w:rPr>
          <w:rFonts w:hint="eastAsia" w:ascii="宋体" w:hAnsi="宋体" w:eastAsia="宋体" w:cs="宋体"/>
          <w:color w:val="333333"/>
          <w:sz w:val="20"/>
          <w:szCs w:val="20"/>
        </w:rPr>
      </w:pPr>
      <w:r>
        <w:rPr>
          <w:rFonts w:hint="eastAsia" w:ascii="宋体" w:hAnsi="宋体" w:eastAsia="宋体" w:cs="宋体"/>
          <w:color w:val="333333"/>
          <w:sz w:val="30"/>
          <w:szCs w:val="30"/>
        </w:rPr>
        <w:t>（四）资本性支出 14.62 万元，较2020年减少21.58 万元，下降59 %，主要原因是：减少了固定资产购置。</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五、一般公共预算财政拨款“三公”经费支出决算情况说明</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本部门2021年度一般公共预算财政拨款“三公”经费支出年初预算数为 23 万元，决算数为 14.1 万元，完成预算的 61.3 %，决算数较2020年减少0.41 万元，下降2.82 %，其中：</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（一）因公出国（境）支出年初预算数为 0 万元，决算数为 0万元，完成预算的0 %，决算数较2020年增加（减少）0 万元，增长（下降） 0 %，主要原因是</w:t>
      </w:r>
      <w:r>
        <w:rPr>
          <w:rFonts w:hint="eastAsia" w:ascii="宋体" w:hAnsi="宋体" w:eastAsia="宋体" w:cs="宋体"/>
          <w:color w:val="333333"/>
          <w:sz w:val="30"/>
          <w:szCs w:val="30"/>
          <w:lang w:eastAsia="zh-CN"/>
        </w:rPr>
        <w:t>：没有发生这项支出。</w:t>
      </w:r>
      <w:r>
        <w:rPr>
          <w:rFonts w:hint="eastAsia" w:ascii="宋体" w:hAnsi="宋体" w:eastAsia="宋体" w:cs="宋体"/>
          <w:color w:val="333333"/>
          <w:sz w:val="30"/>
          <w:szCs w:val="30"/>
        </w:rPr>
        <w:t>（减少）的主要原因是：</w:t>
      </w:r>
      <w:r>
        <w:rPr>
          <w:rFonts w:hint="eastAsia" w:ascii="宋体" w:hAnsi="宋体" w:eastAsia="宋体" w:cs="宋体"/>
          <w:color w:val="333333"/>
          <w:sz w:val="30"/>
          <w:szCs w:val="30"/>
          <w:lang w:eastAsia="zh-CN"/>
        </w:rPr>
        <w:t>没有发生这项支出</w:t>
      </w:r>
      <w:r>
        <w:rPr>
          <w:rFonts w:hint="eastAsia" w:ascii="宋体" w:hAnsi="宋体" w:eastAsia="宋体" w:cs="宋体"/>
          <w:color w:val="333333"/>
          <w:sz w:val="30"/>
          <w:szCs w:val="30"/>
        </w:rPr>
        <w:t>。全年安排因公出国（境）团组 0个，0累计0人次，主要为：</w:t>
      </w:r>
      <w:r>
        <w:rPr>
          <w:rFonts w:hint="eastAsia" w:ascii="宋体" w:hAnsi="宋体" w:eastAsia="宋体" w:cs="宋体"/>
          <w:color w:val="333333"/>
          <w:sz w:val="30"/>
          <w:szCs w:val="30"/>
          <w:lang w:eastAsia="zh-CN"/>
        </w:rPr>
        <w:t>没有发生这项支出</w:t>
      </w:r>
      <w:r>
        <w:rPr>
          <w:rFonts w:hint="eastAsia" w:ascii="宋体" w:hAnsi="宋体" w:eastAsia="宋体" w:cs="宋体"/>
          <w:color w:val="333333"/>
          <w:sz w:val="30"/>
          <w:szCs w:val="30"/>
        </w:rPr>
        <w:t>。</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（二）公务接待费支出年初预算数为 15 万元，决算数为 万元，完成预算的7.9 %，决算数较2020年减少0.06万元，下降0.75 %，主要原因是减少开支。决算数较年初预算数减少的主要原因是：落实过紧日子要求压减。全年国内公务接待122 批</w:t>
      </w:r>
      <w:r>
        <w:rPr>
          <w:rFonts w:hint="eastAsia" w:ascii="宋体" w:hAnsi="宋体" w:eastAsia="宋体" w:cs="宋体"/>
          <w:color w:val="333333"/>
          <w:sz w:val="30"/>
          <w:szCs w:val="30"/>
          <w:lang w:eastAsia="zh-CN"/>
        </w:rPr>
        <w:t>次</w:t>
      </w:r>
      <w:r>
        <w:rPr>
          <w:rFonts w:hint="eastAsia" w:ascii="宋体" w:hAnsi="宋体" w:eastAsia="宋体" w:cs="宋体"/>
          <w:color w:val="333333"/>
          <w:sz w:val="30"/>
          <w:szCs w:val="30"/>
        </w:rPr>
        <w:t>，累计接待 987 人次，其中外事接待 0 批，累计接待0 人次，主要为：商务接待。</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（三）公务用车购置及运行维护费支出 6.2万元，其中公务用车购置年初预算数为 0万元，决算数为 0 万元，完成预算的 %，决算数较2020年</w:t>
      </w:r>
      <w:r>
        <w:rPr>
          <w:rFonts w:hint="eastAsia" w:ascii="宋体" w:hAnsi="宋体" w:eastAsia="宋体" w:cs="宋体"/>
          <w:color w:val="333333"/>
          <w:sz w:val="30"/>
          <w:szCs w:val="30"/>
          <w:lang w:eastAsia="zh-CN"/>
        </w:rPr>
        <w:t>持平</w:t>
      </w:r>
      <w:r>
        <w:rPr>
          <w:rFonts w:hint="eastAsia" w:ascii="宋体" w:hAnsi="宋体" w:eastAsia="宋体" w:cs="宋体"/>
          <w:color w:val="333333"/>
          <w:sz w:val="30"/>
          <w:szCs w:val="30"/>
        </w:rPr>
        <w:t>，增长（下降） 0 %，主要原因是</w:t>
      </w:r>
      <w:r>
        <w:rPr>
          <w:rFonts w:hint="eastAsia" w:ascii="宋体" w:hAnsi="宋体" w:eastAsia="宋体" w:cs="宋体"/>
          <w:color w:val="333333"/>
          <w:sz w:val="30"/>
          <w:szCs w:val="30"/>
          <w:lang w:eastAsia="zh-CN"/>
        </w:rPr>
        <w:t>：未购置车辆</w:t>
      </w:r>
      <w:r>
        <w:rPr>
          <w:rFonts w:hint="eastAsia" w:ascii="宋体" w:hAnsi="宋体" w:eastAsia="宋体" w:cs="宋体"/>
          <w:color w:val="333333"/>
          <w:sz w:val="30"/>
          <w:szCs w:val="30"/>
        </w:rPr>
        <w:t>，全年购置公务用车0 辆。决算数较年初预算数增加（减少）的主要原因是</w:t>
      </w:r>
      <w:r>
        <w:rPr>
          <w:rFonts w:hint="eastAsia" w:ascii="宋体" w:hAnsi="宋体" w:eastAsia="宋体" w:cs="宋体"/>
          <w:color w:val="333333"/>
          <w:sz w:val="30"/>
          <w:szCs w:val="30"/>
          <w:lang w:eastAsia="zh-CN"/>
        </w:rPr>
        <w:t>：未购置车辆</w:t>
      </w:r>
      <w:r>
        <w:rPr>
          <w:rFonts w:hint="eastAsia" w:ascii="宋体" w:hAnsi="宋体" w:eastAsia="宋体" w:cs="宋体"/>
          <w:color w:val="333333"/>
          <w:sz w:val="30"/>
          <w:szCs w:val="30"/>
          <w:lang w:val="en-US" w:eastAsia="zh-CN"/>
        </w:rPr>
        <w:t>;</w:t>
      </w:r>
      <w:r>
        <w:rPr>
          <w:rFonts w:hint="eastAsia" w:ascii="宋体" w:hAnsi="宋体" w:eastAsia="宋体" w:cs="宋体"/>
          <w:color w:val="333333"/>
          <w:sz w:val="30"/>
          <w:szCs w:val="30"/>
        </w:rPr>
        <w:t>公务用车运行维护费支出年初预算数为 8 万元，决算数为 6.2 万元，完成预算的 77.5%，决算数较2020年减少0.35万元，下降5.34%，主要原因是落实过紧日子要求压减</w:t>
      </w:r>
      <w:r>
        <w:rPr>
          <w:rFonts w:hint="eastAsia" w:ascii="宋体" w:hAnsi="宋体" w:eastAsia="宋体" w:cs="宋体"/>
          <w:color w:val="333333"/>
          <w:sz w:val="30"/>
          <w:szCs w:val="30"/>
          <w:lang w:eastAsia="zh-CN"/>
        </w:rPr>
        <w:t>支出</w:t>
      </w:r>
      <w:r>
        <w:rPr>
          <w:rFonts w:hint="eastAsia" w:ascii="宋体" w:hAnsi="宋体" w:eastAsia="宋体" w:cs="宋体"/>
          <w:color w:val="333333"/>
          <w:sz w:val="30"/>
          <w:szCs w:val="30"/>
        </w:rPr>
        <w:t>，年末公务用车保有 2 辆。决算数较年初预算数减少的主要原因是：落实过紧日子要求压减</w:t>
      </w:r>
      <w:r>
        <w:rPr>
          <w:rFonts w:hint="eastAsia" w:ascii="宋体" w:hAnsi="宋体" w:eastAsia="宋体" w:cs="宋体"/>
          <w:color w:val="333333"/>
          <w:sz w:val="30"/>
          <w:szCs w:val="30"/>
          <w:lang w:eastAsia="zh-CN"/>
        </w:rPr>
        <w:t>支出</w:t>
      </w:r>
      <w:r>
        <w:rPr>
          <w:rFonts w:hint="eastAsia" w:ascii="宋体" w:hAnsi="宋体" w:eastAsia="宋体" w:cs="宋体"/>
          <w:color w:val="333333"/>
          <w:sz w:val="30"/>
          <w:szCs w:val="30"/>
        </w:rPr>
        <w:t>。</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六、机关运行经费支出情况说明</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本部门2021年度机关运行经费支出 1649.13 万元（与部门决算中行政单位和参照公务员法管理事业单位一般公共预算财政拨款基本支出中公用经费之和一致），较年初预算数减少10.05 万元，降低0.6 %，主要原因是：落实过紧日子要求压减。</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七、政府采购支出情况说明</w:t>
      </w:r>
    </w:p>
    <w:p>
      <w:pPr>
        <w:pStyle w:val="3"/>
        <w:shd w:val="clear" w:color="auto" w:fill="FFFFFF"/>
        <w:spacing w:before="240" w:beforeAutospacing="0" w:after="0" w:afterAutospacing="0" w:line="480" w:lineRule="atLeast"/>
        <w:ind w:firstLine="605"/>
        <w:jc w:val="both"/>
        <w:rPr>
          <w:rFonts w:hint="eastAsia" w:ascii="宋体" w:hAnsi="宋体" w:eastAsia="宋体" w:cs="宋体"/>
          <w:color w:val="333333"/>
        </w:rPr>
      </w:pPr>
      <w:r>
        <w:rPr>
          <w:rFonts w:hint="eastAsia" w:ascii="宋体" w:hAnsi="宋体" w:eastAsia="宋体" w:cs="宋体"/>
          <w:color w:val="333333"/>
          <w:sz w:val="30"/>
          <w:szCs w:val="30"/>
        </w:rPr>
        <w:t>本部门2021年度政府采购支出总额 14.62万元，其中：政府采购货物支出 14.62 万元、政府采购工程支出 0 万元、政府采购服务支出 0 万元。授予中小企业合同金额 0 万元，占政府采购支出总额的0 %，其中：授予小微企业合同金额 0 万元，占政府采购支出总额的 0 %；货物采购授予中小企业合同金额占货物支出金额的 0 %，工程采购授予中小企业合同金额占工程支出金额的 0 %，服务采购授予中小企业合同金额占服务支出金额的 0%。</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八、国有资产占用情况说明。</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截止2021年12月31日，本部门（单位）国有资产占用情况见公开10表《国有资产占用情况表》。其中车辆中的其他用车主要2部，是单位公务用</w:t>
      </w:r>
      <w:r>
        <w:rPr>
          <w:rFonts w:hint="eastAsia" w:ascii="宋体" w:hAnsi="宋体" w:eastAsia="宋体" w:cs="宋体"/>
          <w:color w:val="333333"/>
          <w:sz w:val="30"/>
          <w:szCs w:val="30"/>
          <w:lang w:eastAsia="zh-CN"/>
        </w:rPr>
        <w:t>车</w:t>
      </w:r>
      <w:r>
        <w:rPr>
          <w:rFonts w:hint="eastAsia" w:ascii="宋体" w:hAnsi="宋体" w:eastAsia="宋体" w:cs="宋体"/>
          <w:color w:val="333333"/>
          <w:sz w:val="30"/>
          <w:szCs w:val="30"/>
        </w:rPr>
        <w:t>。</w:t>
      </w:r>
    </w:p>
    <w:p>
      <w:pPr>
        <w:pStyle w:val="7"/>
        <w:shd w:val="clear" w:color="auto" w:fill="FFFFFF"/>
        <w:spacing w:before="240" w:beforeAutospacing="0" w:after="0" w:afterAutospacing="0" w:line="480" w:lineRule="atLeast"/>
        <w:ind w:firstLine="634"/>
        <w:rPr>
          <w:rFonts w:hint="eastAsia" w:ascii="宋体" w:hAnsi="宋体" w:eastAsia="宋体" w:cs="宋体"/>
          <w:color w:val="333333"/>
          <w:sz w:val="20"/>
          <w:szCs w:val="20"/>
        </w:rPr>
      </w:pPr>
      <w:r>
        <w:rPr>
          <w:rFonts w:hint="eastAsia" w:ascii="宋体" w:hAnsi="宋体" w:eastAsia="宋体" w:cs="宋体"/>
          <w:color w:val="333333"/>
          <w:sz w:val="30"/>
          <w:szCs w:val="30"/>
        </w:rPr>
        <w:t>九、预算绩效情况说明</w:t>
      </w:r>
    </w:p>
    <w:p>
      <w:pPr>
        <w:pStyle w:val="7"/>
        <w:shd w:val="clear" w:color="auto" w:fill="FFFFFF"/>
        <w:spacing w:before="240" w:beforeAutospacing="0" w:after="0" w:afterAutospacing="0" w:line="480" w:lineRule="atLeast"/>
        <w:rPr>
          <w:rFonts w:hint="eastAsia" w:ascii="宋体" w:hAnsi="宋体" w:eastAsia="宋体" w:cs="宋体"/>
          <w:color w:val="333333"/>
          <w:sz w:val="20"/>
          <w:szCs w:val="20"/>
        </w:rPr>
      </w:pPr>
      <w:r>
        <w:rPr>
          <w:rFonts w:hint="eastAsia" w:ascii="宋体" w:hAnsi="宋体" w:eastAsia="宋体" w:cs="宋体"/>
          <w:color w:val="333333"/>
          <w:sz w:val="30"/>
          <w:szCs w:val="30"/>
        </w:rPr>
        <w:t>（一）绩效管理工作开展情况。</w:t>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r>
        <w:rPr>
          <w:rFonts w:hint="eastAsia" w:ascii="宋体" w:hAnsi="宋体" w:eastAsia="宋体" w:cs="宋体"/>
          <w:color w:val="333333"/>
          <w:sz w:val="30"/>
          <w:szCs w:val="30"/>
        </w:rPr>
        <w:t>根据预算绩效管理要求，我部门组织对纳入2021年度部门预算范围的二级项目 5个全面开展绩效自评，共涉及资金200.91万元，政府性基金预算支出 0 万元，从评价情况来看，单位绩效状况良好。</w:t>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r>
        <w:rPr>
          <w:rFonts w:hint="eastAsia" w:ascii="宋体" w:hAnsi="宋体" w:eastAsia="宋体" w:cs="宋体"/>
          <w:color w:val="333333"/>
          <w:sz w:val="30"/>
          <w:szCs w:val="30"/>
        </w:rPr>
        <w:t>（二）部门决算中项目绩效自评情况。</w:t>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r>
        <w:rPr>
          <w:rFonts w:hint="eastAsia" w:ascii="宋体" w:hAnsi="宋体" w:eastAsia="宋体" w:cs="宋体"/>
          <w:color w:val="333333"/>
          <w:sz w:val="30"/>
          <w:szCs w:val="30"/>
        </w:rPr>
        <w:t>我单位2021年部门预算编制及执行符合预算及相关法律法规，会计核算符合相关法律法规规定，建立和完善了有关财务管理制度和相关内部控制制度。根据年初设置的目标，我单位部门整体支出评价自评得分87分，部门整体支出年开展绩效自评共涉及资金200.91万元，年初预算数1659.18万元， 全年决算数4937.41万元，已完成预算的100%。</w:t>
      </w:r>
    </w:p>
    <w:p>
      <w:pPr>
        <w:pStyle w:val="7"/>
        <w:shd w:val="clear" w:color="auto" w:fill="FFFFFF"/>
        <w:spacing w:before="240" w:beforeAutospacing="0" w:after="0" w:afterAutospacing="0" w:line="480" w:lineRule="atLeast"/>
        <w:ind w:firstLine="605"/>
        <w:rPr>
          <w:rFonts w:hint="eastAsia" w:ascii="微软雅黑" w:hAnsi="微软雅黑" w:eastAsia="微软雅黑"/>
          <w:color w:val="333333"/>
          <w:sz w:val="20"/>
          <w:szCs w:val="20"/>
        </w:rPr>
      </w:pPr>
      <w:r>
        <w:rPr>
          <w:rFonts w:hint="eastAsia" w:ascii="宋体" w:hAnsi="宋体" w:eastAsia="宋体" w:cs="宋体"/>
          <w:color w:val="333333"/>
          <w:sz w:val="30"/>
          <w:szCs w:val="30"/>
        </w:rPr>
        <w:t>整体支出自评情况：扶贫和救助工作经费7.87万元，扶贫干部培训7人，举办脱贫攻坚宣传教育活动3场，帮扶总户119户，帮助遭遇突发事件生活陷入困境的16人，帮助遭遇突发事件生活陷入困境的家庭5户。蛟滩湖排涝资金10万元，电排站排涝维护维修率100%，排涝期间供电率100%，解决农牧场百姓汛期生活问题69户。区政府工作经费及公益事业建设资金167.24万元，开展各项工作提供办公用品、办公设备、车辆保障、机关食堂等全方位保障100%，组织开展公益事业活动3次，区政府各项工作运行正常。</w:t>
      </w:r>
      <w:r>
        <w:rPr>
          <w:rFonts w:ascii="微软雅黑" w:hAnsi="微软雅黑" w:eastAsia="微软雅黑"/>
          <w:color w:val="333333"/>
          <w:sz w:val="20"/>
          <w:szCs w:val="20"/>
        </w:rPr>
        <w:drawing>
          <wp:inline distT="0" distB="0" distL="0" distR="0">
            <wp:extent cx="5267325" cy="8653780"/>
            <wp:effectExtent l="0" t="0" r="9525" b="13970"/>
            <wp:docPr id="11" name="图片 11" descr="http://www.chaisang.gov.cn/zwgk/zfxxgk/xzxxgk/shjjjskfq/zdgk_148767/glhfw_148775/czzj_148778/ndczyjsjsgjf_148779/202211/W020221117387849219336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http://www.chaisang.gov.cn/zwgk/zfxxgk/xzxxgk/shjjjskfq/zdgk_148767/glhfw_148775/czzj_148778/ndczyjsjsgjf_148779/202211/W020221117387849219336_ORIGIN.png"/>
                    <pic:cNvPicPr>
                      <a:picLocks noChangeAspect="1" noChangeArrowheads="1"/>
                    </pic:cNvPicPr>
                  </pic:nvPicPr>
                  <pic:blipFill>
                    <a:blip r:embed="rId14" cstate="print"/>
                    <a:srcRect/>
                    <a:stretch>
                      <a:fillRect/>
                    </a:stretch>
                  </pic:blipFill>
                  <pic:spPr>
                    <a:xfrm>
                      <a:off x="0" y="0"/>
                      <a:ext cx="5267325" cy="8653780"/>
                    </a:xfrm>
                    <a:prstGeom prst="rect">
                      <a:avLst/>
                    </a:prstGeom>
                    <a:noFill/>
                    <a:ln w="9525">
                      <a:noFill/>
                      <a:miter lim="800000"/>
                      <a:headEnd/>
                      <a:tailEnd/>
                    </a:ln>
                  </pic:spPr>
                </pic:pic>
              </a:graphicData>
            </a:graphic>
          </wp:inline>
        </w:drawing>
      </w:r>
      <w:r>
        <w:rPr>
          <w:rFonts w:ascii="微软雅黑" w:hAnsi="微软雅黑" w:eastAsia="微软雅黑"/>
          <w:color w:val="333333"/>
          <w:sz w:val="20"/>
          <w:szCs w:val="20"/>
        </w:rPr>
        <w:drawing>
          <wp:inline distT="0" distB="0" distL="0" distR="0">
            <wp:extent cx="5276850" cy="5657850"/>
            <wp:effectExtent l="19050" t="0" r="0" b="0"/>
            <wp:docPr id="12" name="图片 12" descr="http://www.chaisang.gov.cn/zwgk/zfxxgk/xzxxgk/shjjjskfq/zdgk_148767/glhfw_148775/czzj_148778/ndczyjsjsgjf_148779/202211/W020221117387849246710_ORI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http://www.chaisang.gov.cn/zwgk/zfxxgk/xzxxgk/shjjjskfq/zdgk_148767/glhfw_148775/czzj_148778/ndczyjsjsgjf_148779/202211/W020221117387849246710_ORIGIN.png"/>
                    <pic:cNvPicPr>
                      <a:picLocks noChangeAspect="1" noChangeArrowheads="1"/>
                    </pic:cNvPicPr>
                  </pic:nvPicPr>
                  <pic:blipFill>
                    <a:blip r:embed="rId15" cstate="print"/>
                    <a:srcRect/>
                    <a:stretch>
                      <a:fillRect/>
                    </a:stretch>
                  </pic:blipFill>
                  <pic:spPr>
                    <a:xfrm>
                      <a:off x="0" y="0"/>
                      <a:ext cx="5276850" cy="5657850"/>
                    </a:xfrm>
                    <a:prstGeom prst="rect">
                      <a:avLst/>
                    </a:prstGeom>
                    <a:noFill/>
                    <a:ln w="9525">
                      <a:noFill/>
                      <a:miter lim="800000"/>
                      <a:headEnd/>
                      <a:tailEnd/>
                    </a:ln>
                  </pic:spPr>
                </pic:pic>
              </a:graphicData>
            </a:graphic>
          </wp:inline>
        </w:drawing>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r>
        <w:rPr>
          <w:rFonts w:hint="eastAsia" w:ascii="宋体" w:hAnsi="宋体" w:eastAsia="宋体" w:cs="宋体"/>
          <w:color w:val="333333"/>
          <w:sz w:val="30"/>
          <w:szCs w:val="30"/>
        </w:rPr>
        <w:t>（三）部门评价项目绩效评价情况。</w:t>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r>
        <w:rPr>
          <w:rFonts w:hint="eastAsia" w:ascii="宋体" w:hAnsi="宋体" w:eastAsia="宋体" w:cs="宋体"/>
          <w:color w:val="333333"/>
          <w:sz w:val="30"/>
          <w:szCs w:val="30"/>
        </w:rPr>
        <w:t>每个省级部门至少将1个部门评价报告向社会公开，报告框架可参考《项目支出绩效评价办法》（财预〔2020〕10号）中《项目支出绩效评价报告（参考提纲）》。</w:t>
      </w: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p>
    <w:p>
      <w:pPr>
        <w:pStyle w:val="7"/>
        <w:shd w:val="clear" w:color="auto" w:fill="FFFFFF"/>
        <w:spacing w:before="240" w:beforeAutospacing="0" w:after="0" w:afterAutospacing="0" w:line="480" w:lineRule="atLeast"/>
        <w:ind w:firstLine="605"/>
        <w:rPr>
          <w:rFonts w:hint="eastAsia" w:ascii="宋体" w:hAnsi="宋体" w:eastAsia="宋体" w:cs="宋体"/>
          <w:color w:val="333333"/>
          <w:sz w:val="20"/>
          <w:szCs w:val="20"/>
        </w:rPr>
      </w:pPr>
    </w:p>
    <w:p>
      <w:pPr>
        <w:pStyle w:val="7"/>
        <w:shd w:val="clear" w:color="auto" w:fill="FFFFFF"/>
        <w:spacing w:before="240" w:beforeAutospacing="0" w:after="0" w:afterAutospacing="0" w:line="480" w:lineRule="atLeast"/>
        <w:ind w:firstLine="634"/>
        <w:jc w:val="center"/>
        <w:rPr>
          <w:rFonts w:hint="eastAsia" w:ascii="宋体" w:hAnsi="宋体" w:eastAsia="宋体" w:cs="宋体"/>
          <w:color w:val="333333"/>
          <w:sz w:val="20"/>
          <w:szCs w:val="20"/>
        </w:rPr>
      </w:pPr>
      <w:r>
        <w:rPr>
          <w:rFonts w:hint="eastAsia" w:ascii="宋体" w:hAnsi="宋体" w:eastAsia="宋体" w:cs="宋体"/>
          <w:color w:val="333333"/>
          <w:sz w:val="44"/>
          <w:szCs w:val="44"/>
        </w:rPr>
        <w:t>第四部分 名词解释</w:t>
      </w:r>
    </w:p>
    <w:p>
      <w:pPr>
        <w:pStyle w:val="3"/>
        <w:shd w:val="clear" w:color="auto" w:fill="FFFFFF"/>
        <w:spacing w:before="240" w:beforeAutospacing="0" w:after="0" w:afterAutospacing="0" w:line="480" w:lineRule="atLeast"/>
        <w:ind w:firstLine="605"/>
        <w:jc w:val="both"/>
        <w:rPr>
          <w:rFonts w:hint="eastAsia" w:ascii="宋体" w:hAnsi="宋体" w:eastAsia="宋体" w:cs="宋体"/>
          <w:color w:val="333333"/>
        </w:rPr>
      </w:pPr>
    </w:p>
    <w:p>
      <w:pPr>
        <w:pStyle w:val="7"/>
        <w:shd w:val="clear" w:color="auto" w:fill="FFFFFF"/>
        <w:spacing w:before="240" w:beforeAutospacing="0" w:after="0" w:afterAutospacing="0" w:line="480" w:lineRule="atLeast"/>
        <w:ind w:firstLine="605"/>
        <w:jc w:val="both"/>
        <w:rPr>
          <w:rFonts w:hint="eastAsia" w:ascii="宋体" w:hAnsi="宋体" w:eastAsia="宋体" w:cs="宋体"/>
          <w:color w:val="333333"/>
          <w:sz w:val="20"/>
          <w:szCs w:val="20"/>
        </w:rPr>
      </w:pPr>
      <w:r>
        <w:rPr>
          <w:rFonts w:hint="eastAsia" w:ascii="宋体" w:hAnsi="宋体" w:eastAsia="宋体" w:cs="宋体"/>
          <w:color w:val="333333"/>
          <w:sz w:val="30"/>
          <w:szCs w:val="30"/>
        </w:rPr>
        <w:t>名词解释应以财务会计制度、政府收支分类科目以及部门预算管理等规定为基本说明，可在此基础上结合部门实际情况适当细化。</w:t>
      </w:r>
    </w:p>
    <w:p>
      <w:pPr>
        <w:pStyle w:val="7"/>
        <w:shd w:val="clear" w:color="auto" w:fill="FFFFFF"/>
        <w:spacing w:before="240" w:beforeAutospacing="0" w:after="0" w:afterAutospacing="0" w:line="480" w:lineRule="atLeast"/>
        <w:ind w:firstLine="605"/>
        <w:jc w:val="both"/>
        <w:rPr>
          <w:rFonts w:hint="eastAsia" w:ascii="宋体" w:hAnsi="宋体" w:eastAsia="宋体" w:cs="宋体"/>
          <w:color w:val="333333"/>
          <w:sz w:val="20"/>
          <w:szCs w:val="20"/>
        </w:rPr>
      </w:pPr>
      <w:r>
        <w:rPr>
          <w:rFonts w:hint="eastAsia" w:ascii="宋体" w:hAnsi="宋体" w:eastAsia="宋体" w:cs="宋体"/>
          <w:color w:val="333333"/>
          <w:sz w:val="20"/>
          <w:szCs w:val="20"/>
        </w:rPr>
        <w:t>“</w:t>
      </w:r>
      <w:r>
        <w:rPr>
          <w:rStyle w:val="6"/>
          <w:rFonts w:hint="eastAsia" w:ascii="宋体" w:hAnsi="宋体" w:eastAsia="宋体" w:cs="宋体"/>
          <w:color w:val="333333"/>
          <w:sz w:val="30"/>
          <w:szCs w:val="30"/>
        </w:rPr>
        <w:t>三公”经费支出和机关运行经费支出口径必须予以说明</w:t>
      </w:r>
      <w:r>
        <w:rPr>
          <w:rFonts w:hint="eastAsia" w:ascii="宋体" w:hAnsi="宋体" w:eastAsia="宋体" w:cs="宋体"/>
          <w:color w:val="333333"/>
          <w:sz w:val="30"/>
          <w:szCs w:val="30"/>
        </w:rPr>
        <w:t>（可参照如下格式进行说明）。</w:t>
      </w:r>
    </w:p>
    <w:p>
      <w:pPr>
        <w:pStyle w:val="7"/>
        <w:shd w:val="clear" w:color="auto" w:fill="FFFFFF"/>
        <w:spacing w:before="240" w:beforeAutospacing="0" w:after="0" w:afterAutospacing="0" w:line="480" w:lineRule="atLeast"/>
        <w:ind w:firstLine="605"/>
        <w:jc w:val="both"/>
        <w:rPr>
          <w:rFonts w:hint="eastAsia" w:ascii="宋体" w:hAnsi="宋体" w:eastAsia="宋体" w:cs="宋体"/>
          <w:color w:val="333333"/>
          <w:sz w:val="20"/>
          <w:szCs w:val="20"/>
        </w:rPr>
      </w:pPr>
      <w:r>
        <w:rPr>
          <w:rFonts w:hint="eastAsia" w:ascii="宋体" w:hAnsi="宋体" w:eastAsia="宋体" w:cs="宋体"/>
          <w:color w:val="333333"/>
          <w:sz w:val="20"/>
          <w:szCs w:val="20"/>
        </w:rPr>
        <w:t>“</w:t>
      </w:r>
      <w:r>
        <w:rPr>
          <w:rFonts w:hint="eastAsia" w:ascii="宋体" w:hAnsi="宋体" w:eastAsia="宋体" w:cs="宋体"/>
          <w:color w:val="333333"/>
          <w:sz w:val="30"/>
          <w:szCs w:val="30"/>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pPr>
        <w:pStyle w:val="7"/>
        <w:shd w:val="clear" w:color="auto" w:fill="FFFFFF"/>
        <w:spacing w:before="240" w:beforeAutospacing="0" w:after="0" w:afterAutospacing="0" w:line="480" w:lineRule="atLeast"/>
        <w:ind w:firstLine="605"/>
        <w:jc w:val="both"/>
        <w:rPr>
          <w:rFonts w:hint="eastAsia" w:ascii="宋体" w:hAnsi="宋体" w:eastAsia="宋体" w:cs="宋体"/>
        </w:rPr>
      </w:pPr>
      <w:r>
        <w:rPr>
          <w:rFonts w:hint="eastAsia" w:ascii="宋体" w:hAnsi="宋体" w:eastAsia="宋体" w:cs="宋体"/>
          <w:color w:val="333333"/>
          <w:sz w:val="30"/>
          <w:szCs w:val="30"/>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sectPr>
      <w:pgSz w:w="11906" w:h="16838"/>
      <w:pgMar w:top="1440" w:right="106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g0ZTU5YzE5OTA2NjYwMTFiOTQzNzhiNzg1MjEyZWIifQ=="/>
  </w:docVars>
  <w:rsids>
    <w:rsidRoot w:val="00820A60"/>
    <w:rsid w:val="00820A60"/>
    <w:rsid w:val="00D844F9"/>
    <w:rsid w:val="16190030"/>
    <w:rsid w:val="2B0B2684"/>
    <w:rsid w:val="2EC348EB"/>
    <w:rsid w:val="3C0812EB"/>
    <w:rsid w:val="3FAD4026"/>
    <w:rsid w:val="4BE16DAF"/>
    <w:rsid w:val="53184323"/>
    <w:rsid w:val="7C99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paragraph" w:customStyle="1" w:styleId="7">
    <w:name w:val="western"/>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4547</Words>
  <Characters>4986</Characters>
  <Lines>38</Lines>
  <Paragraphs>10</Paragraphs>
  <TotalTime>10</TotalTime>
  <ScaleCrop>false</ScaleCrop>
  <LinksUpToDate>false</LinksUpToDate>
  <CharactersWithSpaces>5211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2023-04-27T04:31:00Z</dcterms:created>
  <dc:creator>Administrator</dc:creator>
  <cp:lastModifiedBy>胡学章</cp:lastModifiedBy>
  <cp:lastPrinted>2023-04-28T02:23:00Z</cp:lastPrinted>
  <dcterms:modified xsi:type="dcterms:W3CDTF">2023-04-28T02:57:37Z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57152F5ECBEA43A6BB0D778C377D75B7_12</vt:lpwstr>
  </property>
</Properties>
</file>